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A9AF">
      <w:pPr>
        <w:widowControl/>
        <w:snapToGrid w:val="0"/>
        <w:spacing w:line="360" w:lineRule="auto"/>
        <w:ind w:firstLine="643" w:firstLineChars="200"/>
        <w:jc w:val="center"/>
        <w:rPr>
          <w:rFonts w:hint="eastAsia" w:asciiTheme="minorEastAsia" w:hAnsiTheme="minorEastAsia" w:eastAsiaTheme="minorEastAsia" w:cstheme="minorEastAsia"/>
          <w:b/>
          <w:bCs/>
          <w:sz w:val="32"/>
          <w:szCs w:val="40"/>
        </w:rPr>
      </w:pPr>
      <w:bookmarkStart w:id="0" w:name="_Toc3463"/>
      <w:r>
        <w:rPr>
          <w:rFonts w:hint="eastAsia" w:asciiTheme="minorEastAsia" w:hAnsiTheme="minorEastAsia" w:eastAsiaTheme="minorEastAsia" w:cstheme="minorEastAsia"/>
          <w:b/>
          <w:bCs/>
          <w:sz w:val="32"/>
          <w:szCs w:val="40"/>
        </w:rPr>
        <w:t>招标项目需求及技术要求</w:t>
      </w:r>
      <w:bookmarkEnd w:id="0"/>
    </w:p>
    <w:p w14:paraId="6978F052">
      <w:pPr>
        <w:widowControl/>
        <w:snapToGrid w:val="0"/>
        <w:spacing w:line="360" w:lineRule="auto"/>
        <w:ind w:firstLine="422"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
          <w:bCs/>
          <w:szCs w:val="24"/>
        </w:rPr>
        <w:t>一、商务要求</w:t>
      </w:r>
      <w:r>
        <w:rPr>
          <w:rFonts w:hint="eastAsia" w:asciiTheme="minorEastAsia" w:hAnsiTheme="minorEastAsia" w:eastAsiaTheme="minorEastAsia" w:cstheme="minorEastAsia"/>
          <w:szCs w:val="24"/>
        </w:rPr>
        <w:t xml:space="preserve"> </w:t>
      </w:r>
    </w:p>
    <w:p w14:paraId="6CDE2A83">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 交付的时间和地点</w:t>
      </w:r>
    </w:p>
    <w:p w14:paraId="7B286727">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交货期：接采购人通知之日起</w:t>
      </w:r>
      <w:r>
        <w:rPr>
          <w:rFonts w:hint="eastAsia" w:asciiTheme="minorEastAsia" w:hAnsiTheme="minorEastAsia" w:eastAsiaTheme="minorEastAsia" w:cstheme="minorEastAsia"/>
          <w:szCs w:val="24"/>
          <w:lang w:val="en-US" w:eastAsia="zh-CN"/>
        </w:rPr>
        <w:t>45</w:t>
      </w:r>
      <w:r>
        <w:rPr>
          <w:rFonts w:hint="eastAsia" w:asciiTheme="minorEastAsia" w:hAnsiTheme="minorEastAsia" w:eastAsiaTheme="minorEastAsia" w:cstheme="minorEastAsia"/>
          <w:szCs w:val="24"/>
        </w:rPr>
        <w:t>个日历天内完成交货及安装调试</w:t>
      </w:r>
    </w:p>
    <w:p w14:paraId="502F1571">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交货地点：采购人指定地点</w:t>
      </w:r>
      <w:bookmarkStart w:id="1" w:name="_GoBack"/>
      <w:bookmarkEnd w:id="1"/>
    </w:p>
    <w:p w14:paraId="62FCA0AD">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质量标准：符合相关的国家标准、行业标准和专业标准</w:t>
      </w:r>
    </w:p>
    <w:p w14:paraId="27197946">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2.包装和运输：须满足《关于印发〈商品包装政府采购需求标准（试行）〉〈快递包装政府采购需求标准（试行）〉的通知》（财办库﹝2020﹞123号））</w:t>
      </w:r>
    </w:p>
    <w:p w14:paraId="1B3FDC42">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3.质保期：</w:t>
      </w:r>
      <w:r>
        <w:rPr>
          <w:rFonts w:hint="eastAsia" w:asciiTheme="minorEastAsia" w:hAnsiTheme="minorEastAsia" w:eastAsiaTheme="minorEastAsia" w:cstheme="minorEastAsia"/>
          <w:szCs w:val="24"/>
          <w:lang w:val="en-US" w:eastAsia="zh-CN"/>
        </w:rPr>
        <w:t>5</w:t>
      </w:r>
      <w:r>
        <w:rPr>
          <w:rFonts w:hint="eastAsia" w:asciiTheme="minorEastAsia" w:hAnsiTheme="minorEastAsia" w:eastAsiaTheme="minorEastAsia" w:cstheme="minorEastAsia"/>
          <w:szCs w:val="24"/>
        </w:rPr>
        <w:t>年</w:t>
      </w:r>
    </w:p>
    <w:p w14:paraId="3FEDB50E">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4.履约验收：符合招标文件和投标文件的要求，满足国家、行业及采购人验收标准。</w:t>
      </w:r>
    </w:p>
    <w:p w14:paraId="11FA5DBA">
      <w:pPr>
        <w:widowControl/>
        <w:snapToGrid w:val="0"/>
        <w:spacing w:line="360" w:lineRule="auto"/>
        <w:ind w:firstLine="422"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
          <w:bCs/>
          <w:szCs w:val="24"/>
        </w:rPr>
        <w:t>二、技术要求</w:t>
      </w:r>
      <w:r>
        <w:rPr>
          <w:rFonts w:hint="eastAsia" w:asciiTheme="minorEastAsia" w:hAnsiTheme="minorEastAsia" w:eastAsiaTheme="minorEastAsia" w:cstheme="minorEastAsia"/>
          <w:szCs w:val="24"/>
        </w:rPr>
        <w:t xml:space="preserve"> </w:t>
      </w:r>
    </w:p>
    <w:p w14:paraId="0F9B4EDF">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1.设备制造工艺、稳定性内容完整、描述详细，符合本项目的采购需求；</w:t>
      </w:r>
    </w:p>
    <w:p w14:paraId="08740368">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2.供货方案，包括但不限于实施计划、工作流程、供货措施内容完整、描述详细，符合本项目的采购需求；</w:t>
      </w:r>
    </w:p>
    <w:p w14:paraId="39989BD3">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3.设备安装调试、试运行测试、运行维护，内容完整、描述详细，符合本项目的采购需求；</w:t>
      </w:r>
    </w:p>
    <w:p w14:paraId="08DA0A71">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4.备品备件保障措施考虑周全、高效、可行，符合本项目的采购需求。</w:t>
      </w:r>
    </w:p>
    <w:p w14:paraId="0C8C4EA1">
      <w:pPr>
        <w:widowControl/>
        <w:snapToGrid w:val="0"/>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5.售后服务方案内容、售后服务人员配备、售后服务计划、故障响应时间、售后服务设备，内容完整、描述详细，符合本项目的采购需求；</w:t>
      </w:r>
    </w:p>
    <w:p w14:paraId="78831568">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6.质保期内保证措施，包括但不限于发生质量问题的应对措施、突发状况发生后的改进措施内容完整、描述详细，符合本项目的采购需求；</w:t>
      </w:r>
    </w:p>
    <w:p w14:paraId="3805727D">
      <w:pPr>
        <w:spacing w:line="360" w:lineRule="auto"/>
        <w:ind w:firstLine="422" w:firstLineChars="200"/>
        <w:rPr>
          <w:rFonts w:hint="eastAsia" w:asciiTheme="minorEastAsia" w:hAnsiTheme="minorEastAsia" w:eastAsiaTheme="minorEastAsia" w:cstheme="minorEastAsia"/>
          <w:b/>
          <w:bCs/>
          <w:szCs w:val="24"/>
          <w:lang w:val="en-US" w:eastAsia="zh-CN"/>
        </w:rPr>
      </w:pPr>
      <w:r>
        <w:rPr>
          <w:rFonts w:hint="eastAsia" w:asciiTheme="minorEastAsia" w:hAnsiTheme="minorEastAsia" w:eastAsiaTheme="minorEastAsia" w:cstheme="minorEastAsia"/>
          <w:b/>
          <w:bCs/>
          <w:szCs w:val="24"/>
          <w:lang w:val="en-US" w:eastAsia="zh-CN"/>
        </w:rPr>
        <w:t>三、核心产品</w:t>
      </w:r>
    </w:p>
    <w:p w14:paraId="1EF60881">
      <w:pPr>
        <w:spacing w:line="360" w:lineRule="auto"/>
        <w:ind w:firstLine="420" w:firstLineChars="200"/>
        <w:rPr>
          <w:rFonts w:hint="eastAsia" w:ascii="宋体" w:hAnsi="宋体" w:cs="宋体"/>
          <w:b/>
          <w:bCs/>
          <w:sz w:val="28"/>
          <w:szCs w:val="28"/>
          <w:highlight w:val="none"/>
          <w:lang w:val="en-US" w:eastAsia="zh-CN"/>
        </w:rPr>
      </w:pPr>
      <w:r>
        <w:rPr>
          <w:rFonts w:hint="eastAsia" w:asciiTheme="minorEastAsia" w:hAnsiTheme="minorEastAsia" w:eastAsiaTheme="minorEastAsia" w:cstheme="minorEastAsia"/>
          <w:szCs w:val="24"/>
          <w:u w:val="single"/>
          <w:lang w:val="en-US" w:eastAsia="zh-CN"/>
        </w:rPr>
        <w:t>普通病床（成人不带脚轮）</w:t>
      </w:r>
      <w:r>
        <w:rPr>
          <w:rFonts w:hint="eastAsia" w:asciiTheme="minorEastAsia" w:hAnsiTheme="minorEastAsia" w:eastAsiaTheme="minorEastAsia" w:cstheme="minorEastAsia"/>
          <w:szCs w:val="24"/>
          <w:lang w:val="en-US" w:eastAsia="zh-CN"/>
        </w:rPr>
        <w:t>为本项目核心产品。</w:t>
      </w:r>
      <w:r>
        <w:rPr>
          <w:rFonts w:hint="eastAsia" w:ascii="宋体" w:hAnsi="宋体" w:cs="宋体"/>
          <w:b/>
          <w:bCs/>
          <w:sz w:val="28"/>
          <w:szCs w:val="28"/>
          <w:highlight w:val="none"/>
          <w:lang w:val="en-US" w:eastAsia="zh-CN"/>
        </w:rPr>
        <w:br w:type="page"/>
      </w:r>
    </w:p>
    <w:p w14:paraId="7FDE8F27">
      <w:pPr>
        <w:numPr>
          <w:ilvl w:val="0"/>
          <w:numId w:val="0"/>
        </w:numPr>
        <w:jc w:val="center"/>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1、两功能电动病床29套</w:t>
      </w:r>
    </w:p>
    <w:p w14:paraId="4BBA2297">
      <w:pPr>
        <w:numPr>
          <w:ilvl w:val="0"/>
          <w:numId w:val="0"/>
        </w:numPr>
        <w:jc w:val="both"/>
        <w:rPr>
          <w:rFonts w:hint="eastAsia" w:ascii="宋体" w:hAnsi="宋体" w:cs="宋体"/>
          <w:b/>
          <w:bCs/>
          <w:szCs w:val="21"/>
          <w:highlight w:val="none"/>
          <w:lang w:val="en-US" w:eastAsia="zh-CN"/>
        </w:rPr>
      </w:pPr>
    </w:p>
    <w:tbl>
      <w:tblPr>
        <w:tblStyle w:val="4"/>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876"/>
        <w:gridCol w:w="1868"/>
        <w:gridCol w:w="1607"/>
        <w:gridCol w:w="1607"/>
        <w:gridCol w:w="1926"/>
      </w:tblGrid>
      <w:tr w14:paraId="4AEB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2A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两功能电动病床</w:t>
            </w:r>
          </w:p>
        </w:tc>
      </w:tr>
      <w:tr w14:paraId="456A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0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61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FD1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长（mm)</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22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宽（mm)</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39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高（mm)</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FD0D">
            <w:pPr>
              <w:rPr>
                <w:rFonts w:hint="eastAsia" w:asciiTheme="minorEastAsia" w:hAnsiTheme="minorEastAsia" w:eastAsiaTheme="minorEastAsia" w:cstheme="minorEastAsia"/>
                <w:i w:val="0"/>
                <w:iCs w:val="0"/>
                <w:color w:val="000000"/>
                <w:sz w:val="21"/>
                <w:szCs w:val="21"/>
                <w:u w:val="none"/>
              </w:rPr>
            </w:pPr>
          </w:p>
        </w:tc>
      </w:tr>
      <w:tr w14:paraId="6621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FAA3">
            <w:pPr>
              <w:jc w:val="center"/>
              <w:rPr>
                <w:rFonts w:hint="eastAsia" w:asciiTheme="minorEastAsia" w:hAnsiTheme="minorEastAsia" w:eastAsiaTheme="minorEastAsia" w:cstheme="minorEastAsia"/>
                <w:i w:val="0"/>
                <w:iCs w:val="0"/>
                <w:color w:val="000000"/>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74D6">
            <w:pPr>
              <w:jc w:val="center"/>
              <w:rPr>
                <w:rFonts w:hint="eastAsia" w:asciiTheme="minorEastAsia" w:hAnsiTheme="minorEastAsia" w:eastAsiaTheme="minorEastAsia" w:cstheme="minorEastAsia"/>
                <w:b/>
                <w:bCs/>
                <w:i w:val="0"/>
                <w:iCs w:val="0"/>
                <w:color w:val="000000"/>
                <w:sz w:val="21"/>
                <w:szCs w:val="21"/>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2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2150</w:t>
            </w:r>
            <w:r>
              <w:rPr>
                <w:rFonts w:hint="eastAsia" w:ascii="宋体" w:hAnsi="宋体" w:cs="宋体"/>
                <w:i w:val="0"/>
                <w:iCs w:val="0"/>
                <w:color w:val="000000"/>
                <w:kern w:val="0"/>
                <w:sz w:val="21"/>
                <w:szCs w:val="21"/>
                <w:u w:val="none"/>
                <w:lang w:val="en-US" w:eastAsia="zh-CN" w:bidi="ar"/>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2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1030</w:t>
            </w:r>
            <w:r>
              <w:rPr>
                <w:rFonts w:hint="eastAsia" w:ascii="宋体" w:hAnsi="宋体" w:cs="宋体"/>
                <w:i w:val="0"/>
                <w:iCs w:val="0"/>
                <w:color w:val="000000"/>
                <w:kern w:val="0"/>
                <w:sz w:val="21"/>
                <w:szCs w:val="21"/>
                <w:u w:val="none"/>
                <w:lang w:val="en-US" w:eastAsia="zh-CN" w:bidi="ar"/>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F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w:t>
            </w:r>
            <w:r>
              <w:rPr>
                <w:rFonts w:hint="eastAsia" w:ascii="宋体" w:hAnsi="宋体" w:cs="宋体"/>
                <w:i w:val="0"/>
                <w:iCs w:val="0"/>
                <w:color w:val="000000"/>
                <w:kern w:val="0"/>
                <w:sz w:val="21"/>
                <w:szCs w:val="21"/>
                <w:u w:val="none"/>
                <w:lang w:val="en-US" w:eastAsia="zh-CN" w:bidi="ar"/>
              </w:rPr>
              <w:t>±20</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970C">
            <w:pPr>
              <w:rPr>
                <w:rFonts w:hint="default" w:asciiTheme="minorEastAsia" w:hAnsiTheme="minorEastAsia" w:eastAsiaTheme="minorEastAsia" w:cstheme="minorEastAsia"/>
                <w:i w:val="0"/>
                <w:iCs w:val="0"/>
                <w:color w:val="000000"/>
                <w:sz w:val="21"/>
                <w:szCs w:val="21"/>
                <w:u w:val="none"/>
                <w:lang w:val="en-US"/>
              </w:rPr>
            </w:pPr>
          </w:p>
        </w:tc>
      </w:tr>
      <w:tr w14:paraId="4096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7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88A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功能要求</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8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电动病床能通过手控器进行背、脚体位高低调节</w:t>
            </w:r>
          </w:p>
        </w:tc>
      </w:tr>
      <w:tr w14:paraId="634C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D91A">
            <w:pPr>
              <w:jc w:val="center"/>
              <w:rPr>
                <w:rFonts w:hint="eastAsia" w:asciiTheme="minorEastAsia" w:hAnsiTheme="minorEastAsia" w:eastAsiaTheme="minorEastAsia" w:cstheme="minorEastAsia"/>
                <w:i w:val="0"/>
                <w:iCs w:val="0"/>
                <w:color w:val="000000"/>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A8C8">
            <w:pPr>
              <w:jc w:val="center"/>
              <w:rPr>
                <w:rFonts w:hint="eastAsia" w:asciiTheme="minorEastAsia" w:hAnsiTheme="minorEastAsia" w:eastAsiaTheme="minorEastAsia" w:cstheme="minorEastAsia"/>
                <w:b/>
                <w:bCs/>
                <w:i w:val="0"/>
                <w:iCs w:val="0"/>
                <w:color w:val="000000"/>
                <w:sz w:val="21"/>
                <w:szCs w:val="21"/>
                <w:u w:val="none"/>
              </w:rPr>
            </w:pP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D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背部升降（0°-70°±5°）</w:t>
            </w:r>
          </w:p>
        </w:tc>
      </w:tr>
      <w:tr w14:paraId="0CBC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C342">
            <w:pPr>
              <w:jc w:val="center"/>
              <w:rPr>
                <w:rFonts w:hint="eastAsia" w:asciiTheme="minorEastAsia" w:hAnsiTheme="minorEastAsia" w:eastAsiaTheme="minorEastAsia" w:cstheme="minorEastAsia"/>
                <w:i w:val="0"/>
                <w:iCs w:val="0"/>
                <w:color w:val="000000"/>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C02E">
            <w:pPr>
              <w:jc w:val="center"/>
              <w:rPr>
                <w:rFonts w:hint="eastAsia" w:asciiTheme="minorEastAsia" w:hAnsiTheme="minorEastAsia" w:eastAsiaTheme="minorEastAsia" w:cstheme="minorEastAsia"/>
                <w:b/>
                <w:bCs/>
                <w:i w:val="0"/>
                <w:iCs w:val="0"/>
                <w:color w:val="000000"/>
                <w:sz w:val="21"/>
                <w:szCs w:val="21"/>
                <w:u w:val="none"/>
              </w:rPr>
            </w:pP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6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腿部升降（0°-35°±5°）</w:t>
            </w:r>
          </w:p>
        </w:tc>
      </w:tr>
      <w:tr w14:paraId="7948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7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7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w:t>
            </w:r>
          </w:p>
          <w:p w14:paraId="18C6117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面</w:t>
            </w:r>
          </w:p>
          <w:p w14:paraId="5E4DB6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板</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0A4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冷轧碳钢板1.2mm一次冲压成型（需提供原生产厂家提供的产品质量书）。床板强度高，受力均衡，抗压力强，并带透气孔，兼防滑功能；下面焊接钢管加强，坚实耐用。(为保证产品生产过程的牢固性、平整度投标生产厂家需提供2台以上包含2台激光切割机设备的合同、发票以及现场工作照片。另需要提供投标生产厂家焊接机器手臂2台以上包含2台激光切割机设备的合同、发票以及现场工作照片）。</w:t>
            </w:r>
          </w:p>
        </w:tc>
      </w:tr>
      <w:tr w14:paraId="23A2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6"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D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60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床体</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BEE5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静态可承载300Kg、动态可承载200Kg；背部床面采用双支撑结构，双支撑为冷钢板冲压成形，加强背板的承重力，摇杆承受压力小，摇动时操作省力。</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采用冷轧钢管,40mmX60mmX1.5mm矩形钢管, 经过机器人集群焊焊接而成，表面平整无毛刺。机器人集群焊接，焊接工艺质量优良,坚固耐用,床架结构为上下框结构。</w:t>
            </w:r>
          </w:p>
        </w:tc>
      </w:tr>
      <w:tr w14:paraId="3601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D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5D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床尾</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851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床尾均采用ABS原装工程塑料，利用自有模具一次注塑成型，易清洗、易消毒，抗菌防菌，防腐蚀。床体四角有专用模具一次冲压成型的钢制牛角式防撞护角加含油尼龙防撞轮，有效保护床体和公共实施，床尾带有亚克力透明床头卡。床头、床尾为插式固定配有锁定开关，急救时可快速拆卸兼做CPR确保患者安全。</w:t>
            </w:r>
          </w:p>
        </w:tc>
      </w:tr>
      <w:tr w14:paraId="3025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0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153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刹车系统</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脚轮</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1BA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Style w:val="7"/>
                <w:rFonts w:hint="eastAsia" w:asciiTheme="minorEastAsia" w:hAnsiTheme="minorEastAsia" w:eastAsiaTheme="minorEastAsia" w:cstheme="minorEastAsia"/>
                <w:sz w:val="21"/>
                <w:szCs w:val="21"/>
                <w:lang w:val="en-US" w:eastAsia="zh-CN" w:bidi="ar"/>
              </w:rPr>
              <w:t>采用≥5寸医用中控脚轮四个，轮面采用TPR耐磨材料，脚轮骨架采用航空铝材一次压铸成型内置全封闭自润滑轴承，专用品质，静音耐磨，质地坚硬切轻盈。中控制刹车功能，刹车效果稳定，各尺寸精度高，脚轮强度高。固定旋转方位（定向脚轮）；全方位释放（万向脚轮）；全方位锁定功能（止旋、止转）。</w:t>
            </w:r>
            <w:r>
              <w:rPr>
                <w:rStyle w:val="8"/>
                <w:rFonts w:hint="eastAsia" w:asciiTheme="minorEastAsia" w:hAnsiTheme="minorEastAsia" w:eastAsiaTheme="minorEastAsia" w:cstheme="minorEastAsia"/>
                <w:sz w:val="21"/>
                <w:szCs w:val="21"/>
                <w:lang w:val="en-US" w:eastAsia="zh-CN" w:bidi="ar"/>
              </w:rPr>
              <w:t>承重量高，运行平稳，无噪音，通过控制横杆踩压与提升实现控制功能，</w:t>
            </w:r>
            <w:r>
              <w:rPr>
                <w:rStyle w:val="7"/>
                <w:rFonts w:hint="eastAsia" w:asciiTheme="minorEastAsia" w:hAnsiTheme="minorEastAsia" w:eastAsiaTheme="minorEastAsia" w:cstheme="minorEastAsia"/>
                <w:sz w:val="21"/>
                <w:szCs w:val="21"/>
                <w:lang w:val="en-US" w:eastAsia="zh-CN" w:bidi="ar"/>
              </w:rPr>
              <w:t>内置全封闭自润滑轴承，不需加油护理，防异物卷</w:t>
            </w:r>
            <w:r>
              <w:rPr>
                <w:rStyle w:val="7"/>
                <w:rFonts w:hint="eastAsia" w:asciiTheme="minorEastAsia" w:hAnsiTheme="minorEastAsia" w:eastAsiaTheme="minorEastAsia" w:cstheme="minorEastAsia"/>
                <w:i w:val="0"/>
                <w:iCs w:val="0"/>
                <w:color w:val="000000"/>
                <w:sz w:val="21"/>
                <w:szCs w:val="21"/>
                <w:lang w:val="en-US" w:eastAsia="zh-CN" w:bidi="ar"/>
              </w:rPr>
              <w:t>入,独立刹车；轮面采用TPR高分子耐磨材料，耐磨，无噪音。（为保证静音轮配件的耐久性投标生产厂家需要具备检验静音轮耐久性检验设备，需要提供投标生产厂家检验设备的发票、合同和现场照片，交货之前需对此批货物进行检验并提供投标生产厂家出具的检验报告）。</w:t>
            </w:r>
          </w:p>
        </w:tc>
      </w:tr>
      <w:tr w14:paraId="6F4B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2"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A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2F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护栏</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61E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高强度ABS阻尼隐藏式护栏，配有角度显示，可立卧定位，牢固可靠 ，本色，装有气弹簧缓冲护栏提升与下降的速度，延长护栏使用寿命，通过提手开关实现上下提升功能。四片分体内宿式护栏，采用ABS塑钢材质一体注塑成型制作，背部及腿部护栏可分别升降管制，提升病患上下床之安全性与便利性，内缩式护栏设计使病患转床时具零间隙转运功能，避免跌落之危险</w:t>
            </w:r>
          </w:p>
        </w:tc>
      </w:tr>
      <w:tr w14:paraId="39BF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1"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E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57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BA1D6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厚度≥8CM，半棕半棉，环保级棕片，高弹海绵，面料防水，防滑，透气抗菌，内芯为高密海绵和棕丝（提供按检测依据 GB 18587-2001 标准出具的甲醛释放量≤0.050 的检验报告）。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床垫外套采用涤纶针织复膜布，符合涤纶针织复膜布三项检测: 机织面料通过软垫家具材料的抗香烟燃烧测试床垫面料材质抗细菌滋生，除菌率(大肠杆菌、肺炎克雷伯氏菌≥99%)（提供按检测依据 WS/T 650-2019 出具的带有CMA或CNAS标志的等级检验报告）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床垫所用面料耐光色牢度等级≥4 级（提供按检测依据GB/T8427-2008出具的带有CMA或CNAS标志的等级检验报告）</w:t>
            </w:r>
          </w:p>
          <w:p w14:paraId="38C98D53">
            <w:pPr>
              <w:keepNext w:val="0"/>
              <w:keepLines w:val="0"/>
              <w:widowControl/>
              <w:suppressLineNumbers w:val="0"/>
              <w:jc w:val="both"/>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r w14:paraId="74A1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2"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D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B7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表面涂饰</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44A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表面采用环保室内型环氧树脂静电粉末喷涂，床体经抛丸后送到喷粉室中进行内外静电喷粉，其厚度不小于80wm，后经高温炉固化。全程经大型喷涂流水线一体化完成;表面光洁亮丽，具有环保、抑菌、防锈、耐腐蚀、绝缘性高、附着力强、耐摩擦等技术特点，颜色可根据院方要求定制。（需提供粉末涂料的大肠杆菌和金黄色葡萄球菌24小时抗菌性第三方检验报告）</w:t>
            </w:r>
          </w:p>
        </w:tc>
      </w:tr>
      <w:tr w14:paraId="4E9F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9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1E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电控系统</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9E6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由两个直流电机和手控器构成,通过手控器可以控制床体的两个功能。推杆电机为直流推杆电机，直流安全电压电机驱动系统和控制盒，产品防护等级IPX4，符合ICE60601-1-2标准要求，安全方便，运行低噪音，无故障运行高达 8000 小时，3年质保</w:t>
            </w:r>
          </w:p>
        </w:tc>
      </w:tr>
      <w:tr w14:paraId="7CC4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6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EA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其他配置</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953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二节式304不锈钢四爪输液架2支。6、床头床尾两边配有四个输液插孔，配有304不锈钢四爪输液架，可多体位进行输液。床体两边配有两个引流挂钩。</w:t>
            </w:r>
          </w:p>
        </w:tc>
      </w:tr>
    </w:tbl>
    <w:p w14:paraId="46F1424F">
      <w:pPr>
        <w:rPr>
          <w:rFonts w:hint="eastAsia" w:ascii="宋体" w:hAnsi="宋体" w:cs="宋体"/>
          <w:b/>
          <w:bCs/>
          <w:szCs w:val="21"/>
          <w:highlight w:val="none"/>
        </w:rPr>
      </w:pPr>
      <w:r>
        <w:rPr>
          <w:rFonts w:hint="eastAsia" w:ascii="宋体" w:hAnsi="宋体" w:cs="宋体"/>
          <w:b/>
          <w:bCs/>
          <w:szCs w:val="21"/>
          <w:highlight w:val="none"/>
        </w:rPr>
        <w:br w:type="page"/>
      </w:r>
    </w:p>
    <w:p w14:paraId="4680FB48">
      <w:pPr>
        <w:jc w:val="center"/>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2、五功能电动病床4套</w:t>
      </w:r>
    </w:p>
    <w:tbl>
      <w:tblPr>
        <w:tblStyle w:val="4"/>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990"/>
        <w:gridCol w:w="1447"/>
        <w:gridCol w:w="2150"/>
        <w:gridCol w:w="2150"/>
        <w:gridCol w:w="1073"/>
      </w:tblGrid>
      <w:tr w14:paraId="74CA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ACD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五功能电动病床</w:t>
            </w:r>
          </w:p>
        </w:tc>
      </w:tr>
      <w:tr w14:paraId="45E9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8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vMerge w:val="restart"/>
            <w:tcBorders>
              <w:top w:val="nil"/>
              <w:left w:val="single" w:color="000000" w:sz="4" w:space="0"/>
              <w:bottom w:val="single" w:color="000000" w:sz="4" w:space="0"/>
              <w:right w:val="single" w:color="000000" w:sz="4" w:space="0"/>
            </w:tcBorders>
            <w:shd w:val="clear" w:color="auto" w:fill="auto"/>
            <w:noWrap/>
            <w:vAlign w:val="center"/>
          </w:tcPr>
          <w:p w14:paraId="7257E2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w:t>
            </w:r>
          </w:p>
        </w:tc>
        <w:tc>
          <w:tcPr>
            <w:tcW w:w="1447" w:type="dxa"/>
            <w:tcBorders>
              <w:top w:val="nil"/>
              <w:left w:val="single" w:color="000000" w:sz="4" w:space="0"/>
              <w:bottom w:val="single" w:color="000000" w:sz="4" w:space="0"/>
              <w:right w:val="single" w:color="000000" w:sz="4" w:space="0"/>
            </w:tcBorders>
            <w:shd w:val="clear" w:color="auto" w:fill="auto"/>
            <w:noWrap/>
            <w:vAlign w:val="center"/>
          </w:tcPr>
          <w:p w14:paraId="65A514B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长（mm)</w:t>
            </w:r>
          </w:p>
        </w:tc>
        <w:tc>
          <w:tcPr>
            <w:tcW w:w="2150" w:type="dxa"/>
            <w:tcBorders>
              <w:top w:val="nil"/>
              <w:left w:val="single" w:color="000000" w:sz="4" w:space="0"/>
              <w:bottom w:val="single" w:color="000000" w:sz="4" w:space="0"/>
              <w:right w:val="single" w:color="000000" w:sz="4" w:space="0"/>
            </w:tcBorders>
            <w:shd w:val="clear" w:color="auto" w:fill="auto"/>
            <w:noWrap/>
            <w:vAlign w:val="center"/>
          </w:tcPr>
          <w:p w14:paraId="78A45C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宽（mm)</w:t>
            </w:r>
          </w:p>
        </w:tc>
        <w:tc>
          <w:tcPr>
            <w:tcW w:w="2150" w:type="dxa"/>
            <w:tcBorders>
              <w:top w:val="nil"/>
              <w:left w:val="single" w:color="000000" w:sz="4" w:space="0"/>
              <w:bottom w:val="single" w:color="000000" w:sz="4" w:space="0"/>
              <w:right w:val="single" w:color="000000" w:sz="4" w:space="0"/>
            </w:tcBorders>
            <w:shd w:val="clear" w:color="auto" w:fill="auto"/>
            <w:noWrap/>
            <w:vAlign w:val="center"/>
          </w:tcPr>
          <w:p w14:paraId="5A6216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高（mm)</w:t>
            </w:r>
          </w:p>
        </w:tc>
        <w:tc>
          <w:tcPr>
            <w:tcW w:w="1073" w:type="dxa"/>
            <w:tcBorders>
              <w:top w:val="nil"/>
              <w:left w:val="single" w:color="000000" w:sz="4" w:space="0"/>
              <w:bottom w:val="single" w:color="000000" w:sz="4" w:space="0"/>
              <w:right w:val="single" w:color="000000" w:sz="4" w:space="0"/>
            </w:tcBorders>
            <w:shd w:val="clear" w:color="auto" w:fill="auto"/>
            <w:noWrap/>
            <w:vAlign w:val="center"/>
          </w:tcPr>
          <w:p w14:paraId="5C7F09BC">
            <w:pPr>
              <w:rPr>
                <w:rFonts w:hint="eastAsia" w:asciiTheme="minorEastAsia" w:hAnsiTheme="minorEastAsia" w:eastAsiaTheme="minorEastAsia" w:cstheme="minorEastAsia"/>
                <w:i w:val="0"/>
                <w:iCs w:val="0"/>
                <w:color w:val="000000"/>
                <w:sz w:val="21"/>
                <w:szCs w:val="21"/>
                <w:u w:val="none"/>
              </w:rPr>
            </w:pPr>
          </w:p>
        </w:tc>
      </w:tr>
      <w:tr w14:paraId="7F0ED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900A">
            <w:pPr>
              <w:jc w:val="center"/>
              <w:rPr>
                <w:rFonts w:hint="eastAsia" w:asciiTheme="minorEastAsia" w:hAnsiTheme="minorEastAsia" w:eastAsiaTheme="minorEastAsia" w:cstheme="minorEastAsia"/>
                <w:i w:val="0"/>
                <w:iCs w:val="0"/>
                <w:color w:val="000000"/>
                <w:sz w:val="21"/>
                <w:szCs w:val="21"/>
                <w:u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1C97126">
            <w:pPr>
              <w:jc w:val="center"/>
              <w:rPr>
                <w:rFonts w:hint="eastAsia" w:asciiTheme="minorEastAsia" w:hAnsiTheme="minorEastAsia" w:eastAsiaTheme="minorEastAsia" w:cstheme="minorEastAsia"/>
                <w:b/>
                <w:bCs/>
                <w:i w:val="0"/>
                <w:iCs w:val="0"/>
                <w:color w:val="000000"/>
                <w:sz w:val="21"/>
                <w:szCs w:val="21"/>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2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2150</w:t>
            </w:r>
            <w:r>
              <w:rPr>
                <w:rFonts w:hint="eastAsia" w:ascii="宋体" w:hAnsi="宋体" w:cs="宋体"/>
                <w:i w:val="0"/>
                <w:iCs w:val="0"/>
                <w:color w:val="000000"/>
                <w:kern w:val="0"/>
                <w:sz w:val="21"/>
                <w:szCs w:val="21"/>
                <w:u w:val="none"/>
                <w:lang w:val="en-US" w:eastAsia="zh-CN" w:bidi="ar"/>
              </w:rPr>
              <w:t>±20</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F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1120</w:t>
            </w:r>
            <w:r>
              <w:rPr>
                <w:rFonts w:hint="eastAsia" w:ascii="宋体" w:hAnsi="宋体" w:cs="宋体"/>
                <w:i w:val="0"/>
                <w:iCs w:val="0"/>
                <w:color w:val="000000"/>
                <w:kern w:val="0"/>
                <w:sz w:val="21"/>
                <w:szCs w:val="21"/>
                <w:u w:val="none"/>
                <w:lang w:val="en-US" w:eastAsia="zh-CN" w:bidi="ar"/>
              </w:rPr>
              <w:t>±20</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D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490/810</w:t>
            </w:r>
            <w:r>
              <w:rPr>
                <w:rFonts w:hint="eastAsia" w:ascii="宋体" w:hAnsi="宋体" w:cs="宋体"/>
                <w:i w:val="0"/>
                <w:iCs w:val="0"/>
                <w:color w:val="000000"/>
                <w:kern w:val="0"/>
                <w:sz w:val="21"/>
                <w:szCs w:val="21"/>
                <w:u w:val="none"/>
                <w:lang w:val="en-US" w:eastAsia="zh-CN" w:bidi="ar"/>
              </w:rPr>
              <w:t>±20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8D5C">
            <w:pPr>
              <w:rPr>
                <w:rFonts w:hint="eastAsia" w:asciiTheme="minorEastAsia" w:hAnsiTheme="minorEastAsia" w:eastAsiaTheme="minorEastAsia" w:cstheme="minorEastAsia"/>
                <w:i w:val="0"/>
                <w:iCs w:val="0"/>
                <w:color w:val="000000"/>
                <w:sz w:val="21"/>
                <w:szCs w:val="21"/>
                <w:u w:val="none"/>
              </w:rPr>
            </w:pPr>
          </w:p>
        </w:tc>
      </w:tr>
      <w:tr w14:paraId="6005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2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C9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功能要求</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E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电动病床能通过手控器进行背、脚体位高低调节</w:t>
            </w:r>
          </w:p>
        </w:tc>
      </w:tr>
      <w:tr w14:paraId="1564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2DE4">
            <w:pPr>
              <w:jc w:val="center"/>
              <w:rPr>
                <w:rFonts w:hint="eastAsia" w:asciiTheme="minorEastAsia" w:hAnsiTheme="minorEastAsia" w:eastAsiaTheme="minorEastAsia" w:cstheme="minorEastAsia"/>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22E0">
            <w:pPr>
              <w:jc w:val="center"/>
              <w:rPr>
                <w:rFonts w:hint="eastAsia" w:asciiTheme="minorEastAsia" w:hAnsiTheme="minorEastAsia" w:eastAsiaTheme="minorEastAsia" w:cstheme="minorEastAsia"/>
                <w:b/>
                <w:bCs/>
                <w:i w:val="0"/>
                <w:iCs w:val="0"/>
                <w:color w:val="000000"/>
                <w:sz w:val="21"/>
                <w:szCs w:val="21"/>
                <w:u w:val="none"/>
              </w:rPr>
            </w:pP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F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背部升降：升降角度 0～75º，±5º</w:t>
            </w:r>
          </w:p>
        </w:tc>
      </w:tr>
      <w:tr w14:paraId="3BD6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B0E1">
            <w:pPr>
              <w:jc w:val="center"/>
              <w:rPr>
                <w:rFonts w:hint="eastAsia" w:asciiTheme="minorEastAsia" w:hAnsiTheme="minorEastAsia" w:eastAsiaTheme="minorEastAsia" w:cstheme="minorEastAsia"/>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0C03">
            <w:pPr>
              <w:jc w:val="center"/>
              <w:rPr>
                <w:rFonts w:hint="eastAsia" w:asciiTheme="minorEastAsia" w:hAnsiTheme="minorEastAsia" w:eastAsiaTheme="minorEastAsia" w:cstheme="minorEastAsia"/>
                <w:b/>
                <w:bCs/>
                <w:i w:val="0"/>
                <w:iCs w:val="0"/>
                <w:color w:val="000000"/>
                <w:sz w:val="21"/>
                <w:szCs w:val="21"/>
                <w:u w:val="none"/>
              </w:rPr>
            </w:pP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D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腿部升降：升降角度 0～35º，±5º</w:t>
            </w:r>
          </w:p>
        </w:tc>
      </w:tr>
      <w:tr w14:paraId="70B8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CAEA">
            <w:pPr>
              <w:jc w:val="center"/>
              <w:rPr>
                <w:rFonts w:hint="eastAsia" w:asciiTheme="minorEastAsia" w:hAnsiTheme="minorEastAsia" w:eastAsiaTheme="minorEastAsia" w:cstheme="minorEastAsia"/>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0F3D">
            <w:pPr>
              <w:jc w:val="center"/>
              <w:rPr>
                <w:rFonts w:hint="eastAsia" w:asciiTheme="minorEastAsia" w:hAnsiTheme="minorEastAsia" w:eastAsiaTheme="minorEastAsia" w:cstheme="minorEastAsia"/>
                <w:b/>
                <w:bCs/>
                <w:i w:val="0"/>
                <w:iCs w:val="0"/>
                <w:color w:val="000000"/>
                <w:sz w:val="21"/>
                <w:szCs w:val="21"/>
                <w:u w:val="none"/>
              </w:rPr>
            </w:pP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198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整体升降：整体升降高度为 320mm</w:t>
            </w:r>
          </w:p>
        </w:tc>
      </w:tr>
      <w:tr w14:paraId="32C7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FB8C">
            <w:pPr>
              <w:jc w:val="center"/>
              <w:rPr>
                <w:rFonts w:hint="eastAsia" w:asciiTheme="minorEastAsia" w:hAnsiTheme="minorEastAsia" w:eastAsiaTheme="minorEastAsia" w:cstheme="minorEastAsia"/>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A3A6">
            <w:pPr>
              <w:jc w:val="center"/>
              <w:rPr>
                <w:rFonts w:hint="eastAsia" w:asciiTheme="minorEastAsia" w:hAnsiTheme="minorEastAsia" w:eastAsiaTheme="minorEastAsia" w:cstheme="minorEastAsia"/>
                <w:b/>
                <w:bCs/>
                <w:i w:val="0"/>
                <w:iCs w:val="0"/>
                <w:color w:val="000000"/>
                <w:sz w:val="21"/>
                <w:szCs w:val="21"/>
                <w:u w:val="none"/>
              </w:rPr>
            </w:pP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EE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整体前倾：12±2º</w:t>
            </w:r>
          </w:p>
        </w:tc>
      </w:tr>
      <w:tr w14:paraId="6FF6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807C">
            <w:pPr>
              <w:jc w:val="center"/>
              <w:rPr>
                <w:rFonts w:hint="eastAsia" w:asciiTheme="minorEastAsia" w:hAnsiTheme="minorEastAsia" w:eastAsiaTheme="minorEastAsia" w:cstheme="minorEastAsia"/>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F282">
            <w:pPr>
              <w:jc w:val="center"/>
              <w:rPr>
                <w:rFonts w:hint="eastAsia" w:asciiTheme="minorEastAsia" w:hAnsiTheme="minorEastAsia" w:eastAsiaTheme="minorEastAsia" w:cstheme="minorEastAsia"/>
                <w:b/>
                <w:bCs/>
                <w:i w:val="0"/>
                <w:iCs w:val="0"/>
                <w:color w:val="000000"/>
                <w:sz w:val="21"/>
                <w:szCs w:val="21"/>
                <w:u w:val="none"/>
              </w:rPr>
            </w:pP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57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整体后倾：12±2º</w:t>
            </w:r>
          </w:p>
        </w:tc>
      </w:tr>
      <w:tr w14:paraId="0324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1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7B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w:t>
            </w:r>
          </w:p>
          <w:p w14:paraId="7FA42E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面</w:t>
            </w:r>
          </w:p>
          <w:p w14:paraId="4F36678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板</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B685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冷轧碳钢板1.2mm一次冲压成型（需提供原生产厂家提供的产品质量书）。床板强度高，受力均衡，抗压力强，并带透气孔，兼防滑功能；下面焊接钢管加强，坚实耐用。(为保证产品生产过程的牢固性、平整度投标生产厂家需提供2台以上包含2台激光切割机设备的合同、发票以及现场工作照片。另需要提供投标生产厂家焊接机器手臂2台以上包含2台激光切割机设备的合同、发票以及现场工作照片）。</w:t>
            </w:r>
          </w:p>
        </w:tc>
      </w:tr>
      <w:tr w14:paraId="1CF9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6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0C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床体</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5647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静态可承载300Kg、动态可承载200Kg；采用冷轧碳素钢管厚度1.5mm，部分承重材料采用3mm一体冲压成型件。背部床面采用双支撑结构，双支撑为冷钢板冲压成形，加强背板的承重力，摇杆承受压力小，摇动时操作省力。</w:t>
            </w:r>
          </w:p>
        </w:tc>
      </w:tr>
      <w:tr w14:paraId="4124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A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D11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床尾</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6C0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床尾均采用ABS原装工程塑料，利用自有模具一次注塑成型，易清洗、易消毒，抗菌防菌，防腐蚀。床体四角有专用模具一次冲压成型的钢制牛角式防撞护角加含油尼龙防撞轮，有效保护床体和公共实施，床尾带有亚克力透明床头卡。床头、床尾为插式固定配有锁定开关，急救时可快速拆卸兼做CPR确保患者安全。</w:t>
            </w:r>
          </w:p>
        </w:tc>
      </w:tr>
      <w:tr w14:paraId="3167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F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365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刹车系统</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脚轮</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767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5寸医用中控脚轮四个，轮面采用TPR耐磨材料，脚轮骨架采用航空铝材一次压铸成型内置全封闭自润滑轴承，专用品质，静音耐磨，质地坚硬切轻盈。中控制刹车功能，刹车效果稳定，各尺寸精度高，脚轮强度高。固定旋转方位（定向脚轮）；全方位释放（万向脚轮）；全方位锁定功能（止旋、止转）。承重量高，运行平稳，无噪音，通过控制横杆踩压与提升实现控制功能，内置全封闭自润滑轴承，不需加油护理，防异物卷入,独立刹车；轮面采用TPR高分子耐磨材料，耐磨，无噪音。（为保证静音轮配件的耐久性投标生产厂家需要具备检验静音轮耐久性检验设备，需要提供投标生产厂家检验设备的发票、合同和现场照片，交货之前需对此批货物进行检验并提供投标生产厂家出具的检验报告）。</w:t>
            </w:r>
          </w:p>
        </w:tc>
      </w:tr>
      <w:tr w14:paraId="7564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5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80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护栏</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5B5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包围四片分段式护栏，采用HDPE材质吹塑成型，表面平顺易清洁。两侧护栏采用人体工程学设计，其造型和抓握位置很好的配合使用者双手和手腕的活动角度，无论背板处于任何活动角度，使用者都能轻松抓握护栏扶手，确保安全。背部护栏两侧均设置体位控制器，按键触手可及，提高了护士及患者操控的便捷性。全包围四片分段式护栏外侧均配有滚珠式角度指示器，便于医护人员方便快捷直观帮患者置于舒适位置（30°及45°具备特别标注），护栏升降配有阻尼器，开关采用直线运动方式，防夹手设计，操作方便安全。（为保证护栏配件的耐久性投标生产厂家需要具备检验护栏耐久性检验设备，需要提供投标生产厂家检验设备的发票、合同和现场照片，交货之前需对此批货物进行检验并提供投标生产厂家出具的检验报告）。</w:t>
            </w:r>
          </w:p>
        </w:tc>
      </w:tr>
      <w:tr w14:paraId="6043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7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09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B82A3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厚度≥8CM，半棕半棉，环保级棕片，高弹海绵，面料防水，防滑，透气抗菌，内芯为高密海绵和棕丝（提供按检测依据 GB 18587-2001 标准出具的甲醛释放量≤0.050 的检验报告）。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床垫外套采用涤纶针织复膜布，符合涤纶针织复膜布三项检测: 机织面料通过软垫家具材料的抗香烟燃烧测试床垫面料材质抗细菌滋生，除菌率(大肠杆菌、肺炎克雷伯氏菌≥99%)（提供按检测依据 WS/T 650-2019 出具的带有CMA或CNAS标志的等级检验报告）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床垫所用面料耐光色牢度等级≥4 级（提供按检测依据GB/T8427-2008出具的带有CMA或CNAS标志的等级检验报告）</w:t>
            </w:r>
          </w:p>
          <w:p w14:paraId="6710222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r w14:paraId="0C58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4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ED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表面涂饰</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75CE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表面采用环保室内型环氧树脂静电粉末喷涂，床体经抛丸后送到喷粉室中进行内外静电喷粉，其厚度不小于80wm，后经高温炉固化。全程经大型喷涂流水线一体化完成;表面光洁亮丽，具有环保、抑菌、防锈、耐腐蚀、绝缘性高、附着力强、耐摩擦等技术特点，颜色可根据院方要求定制。（需提供粉末涂料的大肠杆菌和金黄色葡萄球菌24小时抗菌性第三方检验报告）</w:t>
            </w:r>
          </w:p>
        </w:tc>
      </w:tr>
      <w:tr w14:paraId="7D65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6"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B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0E5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电控系统</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3784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采用医用电机，电机 4个，单个电机推力可以达到6000N，电机电源参数 24V，MAX5.2AMP，全新嵌入式控制软件，具有多种全新的功能，采用标准化的技术、接口和兼容性，IP 防护等级达 IPX6（提供按检测依据 GB 9706.1-1995、GB 9706.1-2020 出具的带有CMA或或CNAS标志的等级检验报告）</w:t>
            </w:r>
          </w:p>
          <w:p w14:paraId="38A0FF5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电动实现背部升降，腿部升降，整体升降。背部升降范围: 75º±5° ，脚部升降范围：35º±5°，整体升降范围：320mm，床体前、后倾最大角度：前倾 12±2º后倾 12±2º </w:t>
            </w:r>
          </w:p>
          <w:p w14:paraId="1874142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控制系统：通过手控板操作完成医疗床各种功能，有背部升降（上下），腿部曲伸（上下）， 整体升降（上下），前倾、后倾功能的按键。</w:t>
            </w:r>
          </w:p>
        </w:tc>
      </w:tr>
      <w:tr w14:paraId="0B93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E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C12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其他配置</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7CC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二节式304不锈钢四爪输液架2支。6、床头床尾两边配有四个输液插孔，配有304不锈钢四爪输液架，可多体位进行输液。床体两边配有两个引流挂钩。</w:t>
            </w:r>
          </w:p>
        </w:tc>
      </w:tr>
    </w:tbl>
    <w:p w14:paraId="0C6121B5">
      <w:pPr>
        <w:rPr>
          <w:rFonts w:hint="eastAsia" w:ascii="宋体" w:hAnsi="宋体" w:cs="宋体"/>
          <w:b/>
          <w:bCs/>
          <w:szCs w:val="21"/>
          <w:highlight w:val="none"/>
        </w:rPr>
      </w:pPr>
      <w:r>
        <w:rPr>
          <w:rFonts w:hint="eastAsia" w:ascii="宋体" w:hAnsi="宋体" w:cs="宋体"/>
          <w:b/>
          <w:bCs/>
          <w:szCs w:val="21"/>
          <w:highlight w:val="none"/>
        </w:rPr>
        <w:br w:type="page"/>
      </w:r>
    </w:p>
    <w:p w14:paraId="7A29678A">
      <w:pPr>
        <w:jc w:val="center"/>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3、</w:t>
      </w:r>
      <w:r>
        <w:rPr>
          <w:rFonts w:hint="eastAsia" w:asciiTheme="minorEastAsia" w:hAnsiTheme="minorEastAsia" w:eastAsiaTheme="minorEastAsia" w:cstheme="minorEastAsia"/>
          <w:b/>
          <w:bCs/>
          <w:i w:val="0"/>
          <w:iCs w:val="0"/>
          <w:color w:val="000000"/>
          <w:kern w:val="0"/>
          <w:sz w:val="28"/>
          <w:szCs w:val="28"/>
          <w:u w:val="none"/>
          <w:lang w:val="en-US" w:eastAsia="zh-CN" w:bidi="ar"/>
        </w:rPr>
        <w:t>普通病床（成人带脚轮）76套</w:t>
      </w:r>
    </w:p>
    <w:tbl>
      <w:tblPr>
        <w:tblStyle w:val="4"/>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981"/>
        <w:gridCol w:w="1777"/>
        <w:gridCol w:w="1589"/>
        <w:gridCol w:w="1589"/>
        <w:gridCol w:w="1886"/>
      </w:tblGrid>
      <w:tr w14:paraId="5CE3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D8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普通病床（成人）</w:t>
            </w:r>
          </w:p>
        </w:tc>
      </w:tr>
      <w:tr w14:paraId="1985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13" w:type="dxa"/>
            <w:vMerge w:val="restart"/>
            <w:tcBorders>
              <w:top w:val="nil"/>
              <w:left w:val="single" w:color="000000" w:sz="4" w:space="0"/>
              <w:bottom w:val="single" w:color="000000" w:sz="4" w:space="0"/>
              <w:right w:val="single" w:color="000000" w:sz="4" w:space="0"/>
            </w:tcBorders>
            <w:shd w:val="clear" w:color="auto" w:fill="auto"/>
            <w:noWrap/>
            <w:vAlign w:val="center"/>
          </w:tcPr>
          <w:p w14:paraId="20C3B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81" w:type="dxa"/>
            <w:vMerge w:val="restart"/>
            <w:tcBorders>
              <w:top w:val="nil"/>
              <w:left w:val="single" w:color="000000" w:sz="4" w:space="0"/>
              <w:bottom w:val="single" w:color="000000" w:sz="4" w:space="0"/>
              <w:right w:val="single" w:color="000000" w:sz="4" w:space="0"/>
            </w:tcBorders>
            <w:shd w:val="clear" w:color="auto" w:fill="auto"/>
            <w:noWrap/>
            <w:vAlign w:val="center"/>
          </w:tcPr>
          <w:p w14:paraId="13A5B3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w:t>
            </w:r>
          </w:p>
        </w:tc>
        <w:tc>
          <w:tcPr>
            <w:tcW w:w="1777" w:type="dxa"/>
            <w:tcBorders>
              <w:top w:val="nil"/>
              <w:left w:val="single" w:color="000000" w:sz="4" w:space="0"/>
              <w:bottom w:val="single" w:color="000000" w:sz="4" w:space="0"/>
              <w:right w:val="single" w:color="000000" w:sz="4" w:space="0"/>
            </w:tcBorders>
            <w:shd w:val="clear" w:color="auto" w:fill="auto"/>
            <w:noWrap/>
            <w:vAlign w:val="center"/>
          </w:tcPr>
          <w:p w14:paraId="3500F3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长（mm)</w:t>
            </w:r>
          </w:p>
        </w:tc>
        <w:tc>
          <w:tcPr>
            <w:tcW w:w="1589" w:type="dxa"/>
            <w:tcBorders>
              <w:top w:val="nil"/>
              <w:left w:val="single" w:color="000000" w:sz="4" w:space="0"/>
              <w:bottom w:val="single" w:color="000000" w:sz="4" w:space="0"/>
              <w:right w:val="single" w:color="000000" w:sz="4" w:space="0"/>
            </w:tcBorders>
            <w:shd w:val="clear" w:color="auto" w:fill="auto"/>
            <w:noWrap/>
            <w:vAlign w:val="center"/>
          </w:tcPr>
          <w:p w14:paraId="4B0EA9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宽（mm)</w:t>
            </w:r>
          </w:p>
        </w:tc>
        <w:tc>
          <w:tcPr>
            <w:tcW w:w="1589" w:type="dxa"/>
            <w:tcBorders>
              <w:top w:val="nil"/>
              <w:left w:val="single" w:color="000000" w:sz="4" w:space="0"/>
              <w:bottom w:val="single" w:color="000000" w:sz="4" w:space="0"/>
              <w:right w:val="single" w:color="000000" w:sz="4" w:space="0"/>
            </w:tcBorders>
            <w:shd w:val="clear" w:color="auto" w:fill="auto"/>
            <w:noWrap/>
            <w:vAlign w:val="center"/>
          </w:tcPr>
          <w:p w14:paraId="5780C7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高（mm)</w:t>
            </w:r>
          </w:p>
        </w:tc>
        <w:tc>
          <w:tcPr>
            <w:tcW w:w="1886" w:type="dxa"/>
            <w:tcBorders>
              <w:top w:val="nil"/>
              <w:left w:val="single" w:color="000000" w:sz="4" w:space="0"/>
              <w:bottom w:val="single" w:color="000000" w:sz="4" w:space="0"/>
              <w:right w:val="single" w:color="000000" w:sz="4" w:space="0"/>
            </w:tcBorders>
            <w:shd w:val="clear" w:color="auto" w:fill="auto"/>
            <w:noWrap/>
            <w:vAlign w:val="center"/>
          </w:tcPr>
          <w:p w14:paraId="05B89C30">
            <w:pPr>
              <w:rPr>
                <w:rFonts w:hint="eastAsia" w:asciiTheme="minorEastAsia" w:hAnsiTheme="minorEastAsia" w:eastAsiaTheme="minorEastAsia" w:cstheme="minorEastAsia"/>
                <w:i w:val="0"/>
                <w:iCs w:val="0"/>
                <w:color w:val="000000"/>
                <w:sz w:val="21"/>
                <w:szCs w:val="21"/>
                <w:u w:val="none"/>
              </w:rPr>
            </w:pPr>
          </w:p>
        </w:tc>
      </w:tr>
      <w:tr w14:paraId="0687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13"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69336AE">
            <w:pPr>
              <w:jc w:val="center"/>
              <w:rPr>
                <w:rFonts w:hint="eastAsia" w:asciiTheme="minorEastAsia" w:hAnsiTheme="minorEastAsia" w:eastAsiaTheme="minorEastAsia" w:cstheme="minorEastAsia"/>
                <w:i w:val="0"/>
                <w:iCs w:val="0"/>
                <w:color w:val="000000"/>
                <w:sz w:val="21"/>
                <w:szCs w:val="21"/>
                <w:u w:val="none"/>
              </w:rPr>
            </w:pPr>
          </w:p>
        </w:tc>
        <w:tc>
          <w:tcPr>
            <w:tcW w:w="981"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6BD8984">
            <w:pPr>
              <w:jc w:val="center"/>
              <w:rPr>
                <w:rFonts w:hint="eastAsia" w:asciiTheme="minorEastAsia" w:hAnsiTheme="minorEastAsia" w:eastAsiaTheme="minorEastAsia" w:cstheme="minorEastAsia"/>
                <w:b/>
                <w:bCs/>
                <w:i w:val="0"/>
                <w:iCs w:val="0"/>
                <w:color w:val="000000"/>
                <w:sz w:val="21"/>
                <w:szCs w:val="21"/>
                <w:u w:val="none"/>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9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2250</w:t>
            </w:r>
            <w:r>
              <w:rPr>
                <w:rFonts w:hint="eastAsia" w:ascii="宋体" w:hAnsi="宋体" w:cs="宋体"/>
                <w:i w:val="0"/>
                <w:iCs w:val="0"/>
                <w:color w:val="000000"/>
                <w:kern w:val="0"/>
                <w:sz w:val="21"/>
                <w:szCs w:val="21"/>
                <w:u w:val="none"/>
                <w:lang w:val="en-US" w:eastAsia="zh-CN" w:bidi="ar"/>
              </w:rPr>
              <w:t>±20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9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r>
              <w:rPr>
                <w:rFonts w:hint="eastAsia" w:ascii="宋体" w:hAnsi="宋体" w:cs="宋体"/>
                <w:i w:val="0"/>
                <w:iCs w:val="0"/>
                <w:color w:val="000000"/>
                <w:kern w:val="0"/>
                <w:sz w:val="21"/>
                <w:szCs w:val="21"/>
                <w:u w:val="none"/>
                <w:lang w:val="en-US" w:eastAsia="zh-CN" w:bidi="ar"/>
              </w:rPr>
              <w:t>±20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4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r>
              <w:rPr>
                <w:rFonts w:hint="eastAsia" w:ascii="宋体" w:hAnsi="宋体" w:cs="宋体"/>
                <w:i w:val="0"/>
                <w:iCs w:val="0"/>
                <w:color w:val="000000"/>
                <w:kern w:val="0"/>
                <w:sz w:val="21"/>
                <w:szCs w:val="21"/>
                <w:u w:val="none"/>
                <w:lang w:val="en-US" w:eastAsia="zh-CN" w:bidi="ar"/>
              </w:rPr>
              <w:t>±20</w:t>
            </w: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204A">
            <w:pPr>
              <w:rPr>
                <w:rFonts w:hint="eastAsia" w:asciiTheme="minorEastAsia" w:hAnsiTheme="minorEastAsia" w:eastAsiaTheme="minorEastAsia" w:cstheme="minorEastAsia"/>
                <w:i w:val="0"/>
                <w:iCs w:val="0"/>
                <w:color w:val="000000"/>
                <w:sz w:val="21"/>
                <w:szCs w:val="21"/>
                <w:u w:val="none"/>
              </w:rPr>
            </w:pPr>
          </w:p>
        </w:tc>
      </w:tr>
      <w:tr w14:paraId="2FC0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D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81" w:type="dxa"/>
            <w:vMerge w:val="restart"/>
            <w:tcBorders>
              <w:top w:val="nil"/>
              <w:left w:val="single" w:color="000000" w:sz="4" w:space="0"/>
              <w:bottom w:val="nil"/>
              <w:right w:val="single" w:color="000000" w:sz="4" w:space="0"/>
            </w:tcBorders>
            <w:shd w:val="clear" w:color="auto" w:fill="auto"/>
            <w:noWrap/>
            <w:vAlign w:val="center"/>
          </w:tcPr>
          <w:p w14:paraId="1637C81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6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背部升降：升降角度 0～75º，±5º</w:t>
            </w:r>
          </w:p>
        </w:tc>
      </w:tr>
      <w:tr w14:paraId="7120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431F">
            <w:pPr>
              <w:jc w:val="center"/>
              <w:rPr>
                <w:rFonts w:hint="eastAsia" w:asciiTheme="minorEastAsia" w:hAnsiTheme="minorEastAsia" w:eastAsiaTheme="minorEastAsia" w:cstheme="minorEastAsia"/>
                <w:i w:val="0"/>
                <w:iCs w:val="0"/>
                <w:color w:val="000000"/>
                <w:sz w:val="21"/>
                <w:szCs w:val="21"/>
                <w:u w:val="none"/>
              </w:rPr>
            </w:pPr>
          </w:p>
        </w:tc>
        <w:tc>
          <w:tcPr>
            <w:tcW w:w="981" w:type="dxa"/>
            <w:vMerge w:val="continue"/>
            <w:tcBorders>
              <w:top w:val="nil"/>
              <w:left w:val="single" w:color="000000" w:sz="4" w:space="0"/>
              <w:bottom w:val="nil"/>
              <w:right w:val="single" w:color="000000" w:sz="4" w:space="0"/>
            </w:tcBorders>
            <w:shd w:val="clear" w:color="auto" w:fill="auto"/>
            <w:noWrap/>
            <w:vAlign w:val="center"/>
          </w:tcPr>
          <w:p w14:paraId="23602AB5">
            <w:pPr>
              <w:jc w:val="center"/>
              <w:rPr>
                <w:rFonts w:hint="eastAsia" w:asciiTheme="minorEastAsia" w:hAnsiTheme="minorEastAsia" w:eastAsiaTheme="minorEastAsia" w:cstheme="minorEastAsia"/>
                <w:b/>
                <w:bCs/>
                <w:i w:val="0"/>
                <w:iCs w:val="0"/>
                <w:color w:val="000000"/>
                <w:sz w:val="21"/>
                <w:szCs w:val="21"/>
                <w:u w:val="none"/>
              </w:rPr>
            </w:pP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6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腿部升降：升降角度 0～35º，±5º</w:t>
            </w:r>
          </w:p>
        </w:tc>
      </w:tr>
      <w:tr w14:paraId="21AA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4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C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床面板</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2D0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冷轧碳钢板1.2mm一次冲压成型（需提供原生产厂家提供的产品质量书）。床板强度高，受力均衡，抗压力强，并带透气孔，兼防滑功能；下面焊接钢管加强，坚实耐用。(为保证产品生产过程的牢固性、平整度投标生产厂家需提供2台以上包含2台激光切割机设备的合同、发票以及现场工作照片。另需要提供投标生产厂家焊接机器手臂2台以上包含2台激光切割机设备的合同、发票以及现场工作照片）。</w:t>
            </w:r>
          </w:p>
        </w:tc>
      </w:tr>
      <w:tr w14:paraId="2045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5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06B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床体</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4EB2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静态可承载300Kg、动态可承载200Kg；采用冷轧碳素钢管厚度1.5mm，部分承重材料采用3mm一体冲压成型件。背部床面采用双支撑结构，双支撑为冷钢板冲压成形，加强背板的承重力，摇杆承受压力小，摇动时操作省力。</w:t>
            </w:r>
          </w:p>
        </w:tc>
      </w:tr>
      <w:tr w14:paraId="3E31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E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67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床尾</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4AF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床尾均采用ABS原装工程塑料，利用自有模具一次注塑成型，易清洗、易消毒，抗菌防菌，防腐蚀。床体四角有专用模具一次冲压成型的钢制牛角式防撞护角加含油尼龙防撞轮，有效保护床体和公共实施，床尾带有亚克力透明床头卡。床头、床尾为插式固定配有锁定开关，急救时可快速拆卸兼做CPR确保患者安全。</w:t>
            </w:r>
          </w:p>
        </w:tc>
      </w:tr>
      <w:tr w14:paraId="75F4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F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D9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刹车系统</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脚轮</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280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5寸医用中控脚轮四个，轮面采用TPR耐磨材料，脚轮骨架采用航空铝材一次压铸成型内置全封闭自润滑轴承，专用品质，静音耐磨，质地坚硬切轻盈。中控制刹车功能，刹车效果稳定，各尺寸精度高，脚轮强度高。固定旋转方位（定向脚轮）；全方位释放（万向脚轮）；全方位锁定功能（止旋、止转）。承重量高，运行平稳，无噪音，通过控制横杆踩压与提升实现控制功能，内置全封闭自润滑轴承，不需加油护理，防异物卷入,独立刹车；轮面采用TPR高分子耐磨材料，耐磨，无噪音。（为保证静音轮配件的耐久性投标生产厂家需要具备检验静音轮耐久性检验设备，需要提供投标生产厂家检验设备的发票、合同和现场照片，交货之前需对此批货物进行检验并提供投标生产厂家出具的检验报告）。</w:t>
            </w:r>
          </w:p>
        </w:tc>
      </w:tr>
      <w:tr w14:paraId="1866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2"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4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85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护栏</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9EA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侧面护栏总长1500mm，D型铝合金扶手，表面硬化处理，六支铝合金护栏支柱，上下连接件采用一次冲压成形钢件，厚度3.0mm，开关精心设计确保长期使用的安全性，配有防松紧固件，耐磨，不变形，可收缩平放，收缩时略高于床面，可防止床垫移位。（为保证护栏配件的耐久性投标生产厂家需要具备检验护栏耐久性检验设备，需要提供投标生产厂家检验设备的发票、合同和现场照片，交货之前需对此批货物进行检验并提供投标生产厂家出具的检验报告）</w:t>
            </w:r>
          </w:p>
        </w:tc>
      </w:tr>
      <w:tr w14:paraId="3683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B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34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62E3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厚度≥8CM，半棕半棉，环保级棕片，高弹海绵，面料防水，防滑，透气抗菌，内芯为高密海绵和棕丝（提供按检测依据 GB 18587-2001 标准出具的甲醛释放量≤0.050 的检验报告）。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床垫外套采用涤纶针织复膜布，符合涤纶针织复膜布三项检测: 机织面料通过软垫家具材料的抗香烟燃烧测试床垫面料材质抗细菌滋生，除菌率(大肠杆菌、肺炎克雷伯氏菌≥99%)（提供按检测依据 WS/T 650-2019 出具的带有CMA或CNAS标志的等级检验报告）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床垫所用面料耐光色牢度等级≥4 级（提供按检测依据GB/T8427-2008出具的带有CMA或CNAS标志的等级检验报告）</w:t>
            </w:r>
          </w:p>
          <w:p w14:paraId="79DD27F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r w14:paraId="06F2B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E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3F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表面涂饰</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653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表面采用环保室内型环氧树脂静电粉末喷涂，床体经抛光后送到喷粉室中进行内外静电喷粉，其厚度不小于80wm，后经高温炉固化。全程经大型喷涂流水线一体化完成;表面光洁亮丽，具有环保、抑菌、防锈、耐腐蚀、绝缘性高、附着力强、耐摩擦等技术特点，颜色可根据院方要求定制。（需提供粉末涂料的大肠杆菌和金黄色葡萄球菌24小时抗菌性第三方检验报告）</w:t>
            </w:r>
          </w:p>
        </w:tc>
      </w:tr>
      <w:tr w14:paraId="3118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3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96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摇把及支撑系统</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6940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置ABS隐藏式摇把，采用高强度ABS工程塑料材质，内置金属件，万向节联轴结构，隐藏式与防撞脚设计，坚固耐用。可以隐藏于床体，避免不必要的伤害，方便护理人员操作，丝杆与连接件：各部位活动联接件采用3.0mm冷轧钢板制作，表面静电喷塑处理,丝杆采用加长螺母，防尘套结构，丝杆为45号滚丝全封闭免维护，有两极空转极限设置，具有双向极限保护设置防损耗。（提供第三方权威机构出具的双向极限保护检测证明文件）</w:t>
            </w:r>
          </w:p>
        </w:tc>
      </w:tr>
      <w:tr w14:paraId="7B98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B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DB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其他配置</w:t>
            </w:r>
          </w:p>
        </w:tc>
        <w:tc>
          <w:tcPr>
            <w:tcW w:w="6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4FD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二节式304不锈钢四爪输液架2支。6、床头床尾两边配有四个输液插孔，配有304不锈钢四爪输液架，可多体位进行输液。床体两边配有两个引流挂钩。</w:t>
            </w:r>
          </w:p>
        </w:tc>
      </w:tr>
    </w:tbl>
    <w:p w14:paraId="6DA37228">
      <w:pPr>
        <w:rPr>
          <w:rFonts w:hint="eastAsia" w:ascii="宋体" w:hAnsi="宋体" w:cs="宋体"/>
          <w:b/>
          <w:bCs/>
          <w:szCs w:val="21"/>
          <w:highlight w:val="none"/>
        </w:rPr>
      </w:pPr>
    </w:p>
    <w:p w14:paraId="1D2DCC8D">
      <w:pPr>
        <w:rPr>
          <w:rFonts w:hint="eastAsia" w:ascii="宋体" w:hAnsi="宋体" w:cs="宋体"/>
          <w:b/>
          <w:bCs/>
          <w:szCs w:val="21"/>
          <w:highlight w:val="none"/>
        </w:rPr>
      </w:pPr>
      <w:r>
        <w:rPr>
          <w:rFonts w:hint="eastAsia" w:ascii="宋体" w:hAnsi="宋体" w:cs="宋体"/>
          <w:b/>
          <w:bCs/>
          <w:szCs w:val="21"/>
          <w:highlight w:val="none"/>
        </w:rPr>
        <w:br w:type="page"/>
      </w:r>
    </w:p>
    <w:p w14:paraId="3D37C1BD">
      <w:pPr>
        <w:jc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4、普通病床（成人不带脚轮）236套</w:t>
      </w:r>
    </w:p>
    <w:tbl>
      <w:tblPr>
        <w:tblStyle w:val="4"/>
        <w:tblW w:w="84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2"/>
        <w:gridCol w:w="944"/>
        <w:gridCol w:w="1807"/>
        <w:gridCol w:w="2275"/>
        <w:gridCol w:w="2275"/>
        <w:gridCol w:w="559"/>
      </w:tblGrid>
      <w:tr w14:paraId="14B0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43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1D2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不带脚轮普通病床（成人）</w:t>
            </w:r>
          </w:p>
        </w:tc>
      </w:tr>
      <w:tr w14:paraId="3934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72" w:type="dxa"/>
            <w:vMerge w:val="restart"/>
            <w:tcBorders>
              <w:top w:val="nil"/>
              <w:left w:val="single" w:color="000000" w:sz="4" w:space="0"/>
              <w:bottom w:val="single" w:color="000000" w:sz="4" w:space="0"/>
              <w:right w:val="single" w:color="000000" w:sz="4" w:space="0"/>
            </w:tcBorders>
            <w:shd w:val="clear" w:color="auto" w:fill="auto"/>
            <w:noWrap/>
            <w:vAlign w:val="center"/>
          </w:tcPr>
          <w:p w14:paraId="157EB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44" w:type="dxa"/>
            <w:vMerge w:val="restart"/>
            <w:tcBorders>
              <w:top w:val="nil"/>
              <w:left w:val="single" w:color="000000" w:sz="4" w:space="0"/>
              <w:bottom w:val="single" w:color="000000" w:sz="4" w:space="0"/>
              <w:right w:val="single" w:color="000000" w:sz="4" w:space="0"/>
            </w:tcBorders>
            <w:shd w:val="clear" w:color="auto" w:fill="auto"/>
            <w:noWrap/>
            <w:vAlign w:val="center"/>
          </w:tcPr>
          <w:p w14:paraId="4B5E791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w:t>
            </w:r>
          </w:p>
        </w:tc>
        <w:tc>
          <w:tcPr>
            <w:tcW w:w="1807" w:type="dxa"/>
            <w:tcBorders>
              <w:top w:val="nil"/>
              <w:left w:val="single" w:color="000000" w:sz="4" w:space="0"/>
              <w:bottom w:val="single" w:color="000000" w:sz="4" w:space="0"/>
              <w:right w:val="single" w:color="000000" w:sz="4" w:space="0"/>
            </w:tcBorders>
            <w:shd w:val="clear" w:color="auto" w:fill="auto"/>
            <w:noWrap/>
            <w:vAlign w:val="center"/>
          </w:tcPr>
          <w:p w14:paraId="53F323F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长（mm)</w:t>
            </w:r>
          </w:p>
        </w:tc>
        <w:tc>
          <w:tcPr>
            <w:tcW w:w="2275" w:type="dxa"/>
            <w:tcBorders>
              <w:top w:val="nil"/>
              <w:left w:val="single" w:color="000000" w:sz="4" w:space="0"/>
              <w:bottom w:val="single" w:color="000000" w:sz="4" w:space="0"/>
              <w:right w:val="single" w:color="000000" w:sz="4" w:space="0"/>
            </w:tcBorders>
            <w:shd w:val="clear" w:color="auto" w:fill="auto"/>
            <w:noWrap/>
            <w:vAlign w:val="center"/>
          </w:tcPr>
          <w:p w14:paraId="659EF6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宽（mm)</w:t>
            </w:r>
          </w:p>
        </w:tc>
        <w:tc>
          <w:tcPr>
            <w:tcW w:w="2275" w:type="dxa"/>
            <w:tcBorders>
              <w:top w:val="nil"/>
              <w:left w:val="single" w:color="000000" w:sz="4" w:space="0"/>
              <w:bottom w:val="single" w:color="000000" w:sz="4" w:space="0"/>
              <w:right w:val="single" w:color="000000" w:sz="4" w:space="0"/>
            </w:tcBorders>
            <w:shd w:val="clear" w:color="auto" w:fill="auto"/>
            <w:noWrap/>
            <w:vAlign w:val="center"/>
          </w:tcPr>
          <w:p w14:paraId="3EFE9F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高（mm)</w:t>
            </w:r>
          </w:p>
        </w:tc>
        <w:tc>
          <w:tcPr>
            <w:tcW w:w="559" w:type="dxa"/>
            <w:tcBorders>
              <w:top w:val="nil"/>
              <w:left w:val="single" w:color="000000" w:sz="4" w:space="0"/>
              <w:bottom w:val="single" w:color="000000" w:sz="4" w:space="0"/>
              <w:right w:val="single" w:color="000000" w:sz="4" w:space="0"/>
            </w:tcBorders>
            <w:shd w:val="clear" w:color="auto" w:fill="auto"/>
            <w:noWrap/>
            <w:vAlign w:val="center"/>
          </w:tcPr>
          <w:p w14:paraId="191BE4F3">
            <w:pPr>
              <w:rPr>
                <w:rFonts w:hint="eastAsia" w:asciiTheme="minorEastAsia" w:hAnsiTheme="minorEastAsia" w:eastAsiaTheme="minorEastAsia" w:cstheme="minorEastAsia"/>
                <w:i w:val="0"/>
                <w:iCs w:val="0"/>
                <w:color w:val="000000"/>
                <w:sz w:val="21"/>
                <w:szCs w:val="21"/>
                <w:u w:val="none"/>
              </w:rPr>
            </w:pPr>
          </w:p>
        </w:tc>
      </w:tr>
      <w:tr w14:paraId="446E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7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A4C0D60">
            <w:pPr>
              <w:jc w:val="center"/>
              <w:rPr>
                <w:rFonts w:hint="eastAsia" w:asciiTheme="minorEastAsia" w:hAnsiTheme="minorEastAsia" w:eastAsiaTheme="minorEastAsia" w:cstheme="minorEastAsia"/>
                <w:i w:val="0"/>
                <w:iCs w:val="0"/>
                <w:color w:val="000000"/>
                <w:sz w:val="21"/>
                <w:szCs w:val="21"/>
                <w:u w:val="none"/>
              </w:rPr>
            </w:pPr>
          </w:p>
        </w:tc>
        <w:tc>
          <w:tcPr>
            <w:tcW w:w="9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540A333">
            <w:pPr>
              <w:jc w:val="center"/>
              <w:rPr>
                <w:rFonts w:hint="eastAsia" w:asciiTheme="minorEastAsia" w:hAnsiTheme="minorEastAsia" w:eastAsiaTheme="minorEastAsia" w:cstheme="minorEastAsia"/>
                <w:b/>
                <w:bCs/>
                <w:i w:val="0"/>
                <w:iCs w:val="0"/>
                <w:color w:val="000000"/>
                <w:sz w:val="21"/>
                <w:szCs w:val="21"/>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5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2250</w:t>
            </w:r>
            <w:r>
              <w:rPr>
                <w:rFonts w:hint="eastAsia" w:ascii="宋体" w:hAnsi="宋体" w:cs="宋体"/>
                <w:i w:val="0"/>
                <w:iCs w:val="0"/>
                <w:color w:val="000000"/>
                <w:kern w:val="0"/>
                <w:sz w:val="21"/>
                <w:szCs w:val="21"/>
                <w:u w:val="none"/>
                <w:lang w:val="en-US" w:eastAsia="zh-CN" w:bidi="ar"/>
              </w:rPr>
              <w:t>±20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C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r>
              <w:rPr>
                <w:rFonts w:hint="eastAsia" w:ascii="宋体" w:hAnsi="宋体" w:cs="宋体"/>
                <w:i w:val="0"/>
                <w:iCs w:val="0"/>
                <w:color w:val="000000"/>
                <w:kern w:val="0"/>
                <w:sz w:val="21"/>
                <w:szCs w:val="21"/>
                <w:u w:val="none"/>
                <w:lang w:val="en-US" w:eastAsia="zh-CN" w:bidi="ar"/>
              </w:rPr>
              <w:t>±20</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8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r>
              <w:rPr>
                <w:rFonts w:hint="eastAsia" w:ascii="宋体" w:hAnsi="宋体" w:cs="宋体"/>
                <w:i w:val="0"/>
                <w:iCs w:val="0"/>
                <w:color w:val="000000"/>
                <w:kern w:val="0"/>
                <w:sz w:val="21"/>
                <w:szCs w:val="21"/>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C263">
            <w:pPr>
              <w:rPr>
                <w:rFonts w:hint="eastAsia" w:asciiTheme="minorEastAsia" w:hAnsiTheme="minorEastAsia" w:eastAsiaTheme="minorEastAsia" w:cstheme="minorEastAsia"/>
                <w:i w:val="0"/>
                <w:iCs w:val="0"/>
                <w:color w:val="000000"/>
                <w:sz w:val="21"/>
                <w:szCs w:val="21"/>
                <w:u w:val="none"/>
              </w:rPr>
            </w:pPr>
          </w:p>
        </w:tc>
      </w:tr>
      <w:tr w14:paraId="2486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0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44" w:type="dxa"/>
            <w:vMerge w:val="restart"/>
            <w:tcBorders>
              <w:top w:val="nil"/>
              <w:left w:val="single" w:color="000000" w:sz="4" w:space="0"/>
              <w:bottom w:val="nil"/>
              <w:right w:val="single" w:color="000000" w:sz="4" w:space="0"/>
            </w:tcBorders>
            <w:shd w:val="clear" w:color="auto" w:fill="auto"/>
            <w:noWrap/>
            <w:vAlign w:val="center"/>
          </w:tcPr>
          <w:p w14:paraId="4480AEC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8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背部升降：升降角度 0～75º，±5º</w:t>
            </w:r>
          </w:p>
        </w:tc>
      </w:tr>
      <w:tr w14:paraId="228E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28C5">
            <w:pPr>
              <w:jc w:val="center"/>
              <w:rPr>
                <w:rFonts w:hint="eastAsia" w:asciiTheme="minorEastAsia" w:hAnsiTheme="minorEastAsia" w:eastAsiaTheme="minorEastAsia" w:cstheme="minorEastAsia"/>
                <w:i w:val="0"/>
                <w:iCs w:val="0"/>
                <w:color w:val="000000"/>
                <w:sz w:val="21"/>
                <w:szCs w:val="21"/>
                <w:u w:val="none"/>
              </w:rPr>
            </w:pPr>
          </w:p>
        </w:tc>
        <w:tc>
          <w:tcPr>
            <w:tcW w:w="944" w:type="dxa"/>
            <w:vMerge w:val="continue"/>
            <w:tcBorders>
              <w:top w:val="nil"/>
              <w:left w:val="single" w:color="000000" w:sz="4" w:space="0"/>
              <w:bottom w:val="nil"/>
              <w:right w:val="single" w:color="000000" w:sz="4" w:space="0"/>
            </w:tcBorders>
            <w:shd w:val="clear" w:color="auto" w:fill="auto"/>
            <w:noWrap/>
            <w:vAlign w:val="center"/>
          </w:tcPr>
          <w:p w14:paraId="1D242D1E">
            <w:pPr>
              <w:jc w:val="center"/>
              <w:rPr>
                <w:rFonts w:hint="eastAsia" w:asciiTheme="minorEastAsia" w:hAnsiTheme="minorEastAsia" w:eastAsiaTheme="minorEastAsia" w:cstheme="minorEastAsia"/>
                <w:b/>
                <w:bCs/>
                <w:i w:val="0"/>
                <w:iCs w:val="0"/>
                <w:color w:val="000000"/>
                <w:sz w:val="21"/>
                <w:szCs w:val="21"/>
                <w:u w:val="none"/>
              </w:rPr>
            </w:pP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2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腿部升降：升降角度 0～35º，±5º</w:t>
            </w:r>
          </w:p>
        </w:tc>
      </w:tr>
      <w:tr w14:paraId="1661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D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E69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床面板</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4A5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冷轧碳钢板1.2mm一次冲压成型（需提供原生产厂家提供的产品质量书）。床板强度高，受力均衡，抗压力强，并带透气孔，兼防滑功能；下面焊接钢管加强，坚实耐用。(为保证产品生产过程的牢固性、平整度投标生产厂家需提供2台以上包含2台激光切割机设备的合同、发票以及现场工作照片。另需要提供投标生产厂家焊接机器手臂2台以上包含2台激光切割机设备的合同、发票以及现场工作照片）。</w:t>
            </w:r>
          </w:p>
        </w:tc>
      </w:tr>
      <w:tr w14:paraId="4CAC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0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82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床体</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1937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静态可承载300Kg、动态可承载200Kg；采用冷轧碳素钢管厚度1.5mm，部分承重材料采用3mm一体冲压成型件。背部床面采用双支撑结构，双支撑为冷钢板冲压成形，加强背板的承重力，摇杆承受压力小，摇动时操作省力。</w:t>
            </w:r>
          </w:p>
        </w:tc>
      </w:tr>
      <w:tr w14:paraId="3E00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C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1F1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床尾</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48C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床尾均采用ABS原装工程塑料，利用自有模具一次注塑成型，易清洗、易消毒，抗菌防菌，防腐蚀。床体四角有专用模具一次冲压成型的钢制牛角式防撞护角加含油尼龙防撞轮，有效保护床体和公共实施，床尾带有亚克力透明床头卡。床头、床尾为插式固定配有锁定开关，急救时可快速拆卸兼做CPR确保患者安全。</w:t>
            </w:r>
          </w:p>
        </w:tc>
      </w:tr>
      <w:tr w14:paraId="5DB3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E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FD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护栏</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BE5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侧面护栏总长1500mm，D型铝合金扶手，表面硬化处理，六支铝合金护栏支柱，上下连接件采用一次冲压成形钢件，厚度3.0mm，开关精心设计确保长期使用的安全性，配有防松紧固件，耐磨，不变形，可收缩平放，收缩时略高于床面，可防止床垫移位。（为保证护栏配件的耐久性投标生产厂家需要具备检验护栏耐久性检验设备，需要提供投标生产厂家检验设备的发票、合同和现场照片，交货之前需对此批货物进行检验并提供投标生产厂家出具的检验报告）</w:t>
            </w:r>
          </w:p>
        </w:tc>
      </w:tr>
      <w:tr w14:paraId="1EA2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8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C55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9EABF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厚度≥8CM，半棕半棉，环保级棕片，高弹海绵，面料防水，防滑，透气抗菌，内芯为高密海绵和棕丝（提供按检测依据 GB 18587-2001 标准出具的甲醛释放量≤0.050 的检验报告）。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床垫外套采用涤纶针织复膜布，符合涤纶针织复膜布三项检测: 机织面料通过软垫家具材料的抗香烟燃烧测试床垫面料材质抗细菌滋生，除菌率(大肠杆菌、肺炎克雷伯氏菌≥99%)（提供按检测依据 WS/T 650-2019 出具的带有CMA 或 CNAS标志的第三方检验报告）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床垫所用面料耐光色牢度等级≥4 级（提供按检测依据GB/T8427-2008出具的带有CMA 或 CNAS 标志的等级检验报告）</w:t>
            </w:r>
          </w:p>
          <w:p w14:paraId="4A4D032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r w14:paraId="6E04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E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CC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表面涂饰</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318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Style w:val="9"/>
                <w:rFonts w:hint="eastAsia" w:asciiTheme="minorEastAsia" w:hAnsiTheme="minorEastAsia" w:eastAsiaTheme="minorEastAsia" w:cstheme="minorEastAsia"/>
                <w:sz w:val="21"/>
                <w:szCs w:val="21"/>
                <w:lang w:val="en-US" w:eastAsia="zh-CN" w:bidi="ar"/>
              </w:rPr>
              <w:t>表面采用环保室内型环氧树脂静电粉末喷涂，床体经抛光后送到喷粉室中进行内外静电喷粉，其厚度不小于80wm，后经高温炉固化。全程经大型喷涂流水线一体化完成;表面光洁亮丽，具有环保、抑菌、防锈、耐腐蚀、绝缘性高、附着力强、耐摩擦等技术特点，颜色可根据院方要求定制。</w:t>
            </w:r>
            <w:r>
              <w:rPr>
                <w:rStyle w:val="10"/>
                <w:rFonts w:hint="eastAsia" w:asciiTheme="minorEastAsia" w:hAnsiTheme="minorEastAsia" w:eastAsiaTheme="minorEastAsia" w:cstheme="minorEastAsia"/>
                <w:sz w:val="21"/>
                <w:szCs w:val="21"/>
                <w:lang w:val="en-US" w:eastAsia="zh-CN" w:bidi="ar"/>
              </w:rPr>
              <w:t>（需提供粉末涂料的大肠杆菌和金黄色葡萄球菌</w:t>
            </w:r>
            <w:r>
              <w:rPr>
                <w:rStyle w:val="8"/>
                <w:rFonts w:hint="eastAsia" w:asciiTheme="minorEastAsia" w:hAnsiTheme="minorEastAsia" w:eastAsiaTheme="minorEastAsia" w:cstheme="minorEastAsia"/>
                <w:sz w:val="21"/>
                <w:szCs w:val="21"/>
                <w:lang w:val="en-US" w:eastAsia="zh-CN" w:bidi="ar"/>
              </w:rPr>
              <w:t>24</w:t>
            </w:r>
            <w:r>
              <w:rPr>
                <w:rStyle w:val="10"/>
                <w:rFonts w:hint="eastAsia" w:asciiTheme="minorEastAsia" w:hAnsiTheme="minorEastAsia" w:eastAsiaTheme="minorEastAsia" w:cstheme="minorEastAsia"/>
                <w:sz w:val="21"/>
                <w:szCs w:val="21"/>
                <w:lang w:val="en-US" w:eastAsia="zh-CN" w:bidi="ar"/>
              </w:rPr>
              <w:t>小时抗菌性第三方检验报告）</w:t>
            </w:r>
          </w:p>
        </w:tc>
      </w:tr>
      <w:tr w14:paraId="250D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7"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3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AC2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摇把及支撑系统</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20D45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置ABS隐藏式摇把，采用高强度ABS工程塑料材质，内置金属件，万向节联轴结构，隐藏式与防撞脚设计，坚固耐用。可以隐藏于床体，避免不必要的伤害，方便护理人员操作，丝杆与连接件：各部位活动联接件采用3.0mm冷轧钢板制作，表面静电喷塑处理,丝杆采用加长螺母，防尘套结构，丝杆为45号滚丝全封闭免维护，有两极空转极限设置，具有双向极限保护设置防损耗。（提供第三方权威机构出具的双向极限保护检测证明文件）</w:t>
            </w:r>
          </w:p>
        </w:tc>
      </w:tr>
      <w:tr w14:paraId="6E2E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1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65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其他配置</w:t>
            </w:r>
          </w:p>
        </w:tc>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E9C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二节式304不锈钢四爪输液架2支。6、床头床尾两边配有四个输液插孔，配有304不锈钢四爪输液架，可多体位进行输液。床体两边配有两个引流挂钩。</w:t>
            </w:r>
          </w:p>
        </w:tc>
      </w:tr>
    </w:tbl>
    <w:p w14:paraId="66F5767C">
      <w:pPr>
        <w:rPr>
          <w:rFonts w:hint="eastAsia" w:ascii="宋体" w:hAnsi="宋体" w:cs="宋体"/>
          <w:b/>
          <w:bCs/>
          <w:szCs w:val="21"/>
          <w:highlight w:val="none"/>
        </w:rPr>
      </w:pPr>
      <w:r>
        <w:rPr>
          <w:rFonts w:hint="eastAsia" w:ascii="宋体" w:hAnsi="宋体" w:cs="宋体"/>
          <w:b/>
          <w:bCs/>
          <w:szCs w:val="21"/>
          <w:highlight w:val="none"/>
        </w:rPr>
        <w:br w:type="page"/>
      </w:r>
    </w:p>
    <w:p w14:paraId="13D7017B">
      <w:pPr>
        <w:jc w:val="center"/>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5、</w:t>
      </w:r>
      <w:r>
        <w:rPr>
          <w:rFonts w:hint="eastAsia" w:asciiTheme="minorEastAsia" w:hAnsiTheme="minorEastAsia" w:eastAsiaTheme="minorEastAsia" w:cstheme="minorEastAsia"/>
          <w:b/>
          <w:bCs/>
          <w:i w:val="0"/>
          <w:iCs w:val="0"/>
          <w:color w:val="000000"/>
          <w:kern w:val="0"/>
          <w:sz w:val="28"/>
          <w:szCs w:val="28"/>
          <w:u w:val="none"/>
          <w:lang w:val="en-US" w:eastAsia="zh-CN" w:bidi="ar"/>
        </w:rPr>
        <w:t>普通病床（儿童带脚轮）24套</w:t>
      </w:r>
    </w:p>
    <w:tbl>
      <w:tblPr>
        <w:tblStyle w:val="4"/>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080"/>
        <w:gridCol w:w="1392"/>
        <w:gridCol w:w="2112"/>
        <w:gridCol w:w="2112"/>
        <w:gridCol w:w="1062"/>
      </w:tblGrid>
      <w:tr w14:paraId="214A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23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普通病床（儿童）</w:t>
            </w:r>
          </w:p>
        </w:tc>
      </w:tr>
      <w:tr w14:paraId="785A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677" w:type="dxa"/>
            <w:vMerge w:val="restart"/>
            <w:tcBorders>
              <w:top w:val="nil"/>
              <w:left w:val="single" w:color="000000" w:sz="4" w:space="0"/>
              <w:bottom w:val="single" w:color="000000" w:sz="4" w:space="0"/>
              <w:right w:val="single" w:color="000000" w:sz="4" w:space="0"/>
            </w:tcBorders>
            <w:shd w:val="clear" w:color="auto" w:fill="auto"/>
            <w:vAlign w:val="center"/>
          </w:tcPr>
          <w:p w14:paraId="51DF0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80" w:type="dxa"/>
            <w:vMerge w:val="restart"/>
            <w:tcBorders>
              <w:top w:val="nil"/>
              <w:left w:val="single" w:color="000000" w:sz="4" w:space="0"/>
              <w:bottom w:val="single" w:color="000000" w:sz="4" w:space="0"/>
              <w:right w:val="single" w:color="000000" w:sz="4" w:space="0"/>
            </w:tcBorders>
            <w:shd w:val="clear" w:color="auto" w:fill="auto"/>
            <w:noWrap/>
            <w:vAlign w:val="center"/>
          </w:tcPr>
          <w:p w14:paraId="2746882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w:t>
            </w:r>
          </w:p>
        </w:tc>
        <w:tc>
          <w:tcPr>
            <w:tcW w:w="1392" w:type="dxa"/>
            <w:tcBorders>
              <w:top w:val="nil"/>
              <w:left w:val="single" w:color="000000" w:sz="4" w:space="0"/>
              <w:bottom w:val="single" w:color="000000" w:sz="4" w:space="0"/>
              <w:right w:val="single" w:color="000000" w:sz="4" w:space="0"/>
            </w:tcBorders>
            <w:shd w:val="clear" w:color="auto" w:fill="auto"/>
            <w:noWrap/>
            <w:vAlign w:val="center"/>
          </w:tcPr>
          <w:p w14:paraId="2C7ED0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长（mm)</w:t>
            </w:r>
          </w:p>
        </w:tc>
        <w:tc>
          <w:tcPr>
            <w:tcW w:w="2112" w:type="dxa"/>
            <w:tcBorders>
              <w:top w:val="nil"/>
              <w:left w:val="single" w:color="000000" w:sz="4" w:space="0"/>
              <w:bottom w:val="single" w:color="000000" w:sz="4" w:space="0"/>
              <w:right w:val="single" w:color="000000" w:sz="4" w:space="0"/>
            </w:tcBorders>
            <w:shd w:val="clear" w:color="auto" w:fill="auto"/>
            <w:noWrap/>
            <w:vAlign w:val="center"/>
          </w:tcPr>
          <w:p w14:paraId="67848A3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宽（mm)</w:t>
            </w:r>
          </w:p>
        </w:tc>
        <w:tc>
          <w:tcPr>
            <w:tcW w:w="2112" w:type="dxa"/>
            <w:tcBorders>
              <w:top w:val="nil"/>
              <w:left w:val="single" w:color="000000" w:sz="4" w:space="0"/>
              <w:bottom w:val="single" w:color="000000" w:sz="4" w:space="0"/>
              <w:right w:val="single" w:color="000000" w:sz="4" w:space="0"/>
            </w:tcBorders>
            <w:shd w:val="clear" w:color="auto" w:fill="auto"/>
            <w:noWrap/>
            <w:vAlign w:val="center"/>
          </w:tcPr>
          <w:p w14:paraId="5C4AD1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高（mm)</w:t>
            </w:r>
          </w:p>
        </w:tc>
        <w:tc>
          <w:tcPr>
            <w:tcW w:w="1062" w:type="dxa"/>
            <w:tcBorders>
              <w:top w:val="nil"/>
              <w:left w:val="single" w:color="000000" w:sz="4" w:space="0"/>
              <w:bottom w:val="single" w:color="000000" w:sz="4" w:space="0"/>
              <w:right w:val="single" w:color="000000" w:sz="4" w:space="0"/>
            </w:tcBorders>
            <w:shd w:val="clear" w:color="auto" w:fill="auto"/>
            <w:noWrap/>
            <w:vAlign w:val="center"/>
          </w:tcPr>
          <w:p w14:paraId="4445342A">
            <w:pPr>
              <w:rPr>
                <w:rFonts w:hint="eastAsia" w:asciiTheme="minorEastAsia" w:hAnsiTheme="minorEastAsia" w:eastAsiaTheme="minorEastAsia" w:cstheme="minorEastAsia"/>
                <w:i w:val="0"/>
                <w:iCs w:val="0"/>
                <w:color w:val="000000"/>
                <w:sz w:val="21"/>
                <w:szCs w:val="21"/>
                <w:u w:val="none"/>
              </w:rPr>
            </w:pPr>
          </w:p>
        </w:tc>
      </w:tr>
      <w:tr w14:paraId="2C42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677" w:type="dxa"/>
            <w:vMerge w:val="continue"/>
            <w:tcBorders>
              <w:top w:val="nil"/>
              <w:left w:val="single" w:color="000000" w:sz="4" w:space="0"/>
              <w:bottom w:val="single" w:color="000000" w:sz="4" w:space="0"/>
              <w:right w:val="single" w:color="000000" w:sz="4" w:space="0"/>
            </w:tcBorders>
            <w:shd w:val="clear" w:color="auto" w:fill="auto"/>
            <w:vAlign w:val="center"/>
          </w:tcPr>
          <w:p w14:paraId="6E339D4B">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229145B">
            <w:pPr>
              <w:jc w:val="center"/>
              <w:rPr>
                <w:rFonts w:hint="eastAsia" w:asciiTheme="minorEastAsia" w:hAnsiTheme="minorEastAsia" w:eastAsiaTheme="minorEastAsia" w:cstheme="minorEastAsia"/>
                <w:b/>
                <w:bCs/>
                <w:i w:val="0"/>
                <w:iCs w:val="0"/>
                <w:color w:val="000000"/>
                <w:sz w:val="21"/>
                <w:szCs w:val="21"/>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2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2250</w:t>
            </w:r>
            <w:r>
              <w:rPr>
                <w:rFonts w:hint="eastAsia" w:ascii="宋体" w:hAnsi="宋体" w:cs="宋体"/>
                <w:i w:val="0"/>
                <w:iCs w:val="0"/>
                <w:color w:val="000000"/>
                <w:kern w:val="0"/>
                <w:sz w:val="21"/>
                <w:szCs w:val="21"/>
                <w:u w:val="none"/>
                <w:lang w:val="en-US" w:eastAsia="zh-CN" w:bidi="ar"/>
              </w:rPr>
              <w:t>±20</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7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r>
              <w:rPr>
                <w:rFonts w:hint="eastAsia" w:ascii="宋体" w:hAnsi="宋体" w:cs="宋体"/>
                <w:i w:val="0"/>
                <w:iCs w:val="0"/>
                <w:color w:val="000000"/>
                <w:kern w:val="0"/>
                <w:sz w:val="21"/>
                <w:szCs w:val="21"/>
                <w:u w:val="none"/>
                <w:lang w:val="en-US" w:eastAsia="zh-CN" w:bidi="ar"/>
              </w:rPr>
              <w:t>±20</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1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r>
              <w:rPr>
                <w:rFonts w:hint="eastAsia" w:ascii="宋体" w:hAnsi="宋体" w:cs="宋体"/>
                <w:i w:val="0"/>
                <w:iCs w:val="0"/>
                <w:color w:val="000000"/>
                <w:kern w:val="0"/>
                <w:sz w:val="21"/>
                <w:szCs w:val="21"/>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BD83">
            <w:pPr>
              <w:rPr>
                <w:rFonts w:hint="eastAsia" w:asciiTheme="minorEastAsia" w:hAnsiTheme="minorEastAsia" w:eastAsiaTheme="minorEastAsia" w:cstheme="minorEastAsia"/>
                <w:i w:val="0"/>
                <w:iCs w:val="0"/>
                <w:color w:val="000000"/>
                <w:sz w:val="21"/>
                <w:szCs w:val="21"/>
                <w:u w:val="none"/>
              </w:rPr>
            </w:pPr>
          </w:p>
        </w:tc>
      </w:tr>
      <w:tr w14:paraId="49CC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E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080" w:type="dxa"/>
            <w:vMerge w:val="restart"/>
            <w:tcBorders>
              <w:top w:val="nil"/>
              <w:left w:val="single" w:color="000000" w:sz="4" w:space="0"/>
              <w:bottom w:val="nil"/>
              <w:right w:val="single" w:color="000000" w:sz="4" w:space="0"/>
            </w:tcBorders>
            <w:shd w:val="clear" w:color="auto" w:fill="auto"/>
            <w:noWrap/>
            <w:vAlign w:val="center"/>
          </w:tcPr>
          <w:p w14:paraId="26AD29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A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背部升降：升降角度 0～75º，±5º</w:t>
            </w:r>
          </w:p>
        </w:tc>
      </w:tr>
      <w:tr w14:paraId="4177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E216">
            <w:pPr>
              <w:jc w:val="center"/>
              <w:rPr>
                <w:rFonts w:hint="eastAsia" w:asciiTheme="minorEastAsia" w:hAnsiTheme="minorEastAsia" w:eastAsiaTheme="minorEastAsia" w:cstheme="minorEastAsia"/>
                <w:i w:val="0"/>
                <w:iCs w:val="0"/>
                <w:color w:val="000000"/>
                <w:sz w:val="21"/>
                <w:szCs w:val="21"/>
                <w:u w:val="none"/>
              </w:rPr>
            </w:pPr>
          </w:p>
        </w:tc>
        <w:tc>
          <w:tcPr>
            <w:tcW w:w="1080" w:type="dxa"/>
            <w:vMerge w:val="continue"/>
            <w:tcBorders>
              <w:top w:val="nil"/>
              <w:left w:val="single" w:color="000000" w:sz="4" w:space="0"/>
              <w:bottom w:val="nil"/>
              <w:right w:val="single" w:color="000000" w:sz="4" w:space="0"/>
            </w:tcBorders>
            <w:shd w:val="clear" w:color="auto" w:fill="auto"/>
            <w:noWrap/>
            <w:vAlign w:val="center"/>
          </w:tcPr>
          <w:p w14:paraId="70DBDAA3">
            <w:pPr>
              <w:jc w:val="center"/>
              <w:rPr>
                <w:rFonts w:hint="eastAsia" w:asciiTheme="minorEastAsia" w:hAnsiTheme="minorEastAsia" w:eastAsiaTheme="minorEastAsia" w:cstheme="minorEastAsia"/>
                <w:b/>
                <w:bCs/>
                <w:i w:val="0"/>
                <w:iCs w:val="0"/>
                <w:color w:val="000000"/>
                <w:sz w:val="21"/>
                <w:szCs w:val="21"/>
                <w:u w:val="none"/>
              </w:rPr>
            </w:pP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F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腿部升降：升降角度 0～35º，±5º</w:t>
            </w:r>
          </w:p>
        </w:tc>
      </w:tr>
      <w:tr w14:paraId="2ED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D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F83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床面板</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AE0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冷轧碳钢板1.2mm一次冲压成型（需提供原生产厂家提供的产品质量书）。床板强度高，受力均衡，抗压力强，并带透气孔，兼防滑功能；下面焊接钢管加强，坚实耐用。(为保证产品生产过程的牢固性、平整度投标生产厂家需提供2台以上包含2台激光切割机设备的合同、发票以及现场工作照片。另需要提供投标生产厂家焊接机器手臂2台以上包含2台激光切割机设备的合同、发票以及现场工作照片）。</w:t>
            </w:r>
          </w:p>
        </w:tc>
      </w:tr>
      <w:tr w14:paraId="2A87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9"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7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80B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床体</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964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静态可承载300Kg、动态可承载200Kg；采用冷轧碳素钢管厚度1.5mm，部分承重材料采用3mm一体冲压成型件。背部床面采用双支撑结构，双支撑为冷钢板冲压成形，加强背板的承重力，摇杆承受压力小，摇动时操作省力。</w:t>
            </w:r>
          </w:p>
        </w:tc>
      </w:tr>
      <w:tr w14:paraId="5DA4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C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CC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床尾</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487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床尾均采用ABS原装工程塑料，利用自有模具一次注塑成型，易清洗、易消毒，抗菌防菌，防腐蚀。床体四角有专用模具一次冲压成型的钢制牛角式防撞护角加含油尼龙防撞轮，有效保护床体和公共实施，床尾带有亚克力透明床头卡。床头、床尾为插式固定配有锁定开关，急救时可快速拆卸兼做CPR确保患者安全。</w:t>
            </w:r>
          </w:p>
        </w:tc>
      </w:tr>
      <w:tr w14:paraId="1DB7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1"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9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4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刹车系统</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脚轮</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AB7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5寸医用脚轮四个，轮面采用TPR耐磨材料，脚轮骨架采用航空铝材一次压铸成型内置全封闭自润滑轴承，专用品质，静音耐磨，质地坚硬切轻盈。四轮配备独立刹车装置，刹车效果稳定，各尺寸精度高，脚轮强度高。固定旋转方位（定向脚轮）；全方位释放（万向脚轮）；全方位锁定功能（止旋、止转）。承重量高，运行平稳，无噪音，通过控制刹车片踩压与提升实现控制功能，内置全封闭自润滑轴承，不需加油护理，防异物卷入,独立刹车；轮面采用TPR高分子耐磨材料，耐磨，无噪音。（为保证静音轮配件的耐久性投标生产厂家需要具备检验静音轮耐久性检验设备，需要提供投标生产厂家检验设备的发票、合同和现场照片，交货之前需对此批货物进行检验并提供投标生产厂家出具的检验报告）。</w:t>
            </w:r>
          </w:p>
        </w:tc>
      </w:tr>
      <w:tr w14:paraId="6923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F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F7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护栏</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DA3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包围式护栏，D型铝合金扶手，表面硬化处理，22支,护栏支柱，上下连接件采用一次冲压成形钢件，厚度3.0mm。两侧护栏采用人体工程学设计，护栏升降配有阻尼器，开关采用直线运动方式，防夹手设计，操作方便安全。（为保证护栏配件的耐久性投标生产厂家需要具备检验护栏耐久性检验设备，需要提供投标生产厂家检验设备的发票、合同和现场照片，交货之前需对此批货物进行检验并提供投标生产厂家出具的检验报告）</w:t>
            </w:r>
          </w:p>
        </w:tc>
      </w:tr>
      <w:tr w14:paraId="5F2A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C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DA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B9E9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厚度≥8CM，半棕半棉，环保级棕片，高弹海绵，面料防水，防滑，透气抗菌，内芯为高密海绵和棕丝（提供按检测依据 GB 18587-2001 标准出具的甲醛释放量≤0.050 的检验报告）。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床垫外套采用涤纶针织复膜布，符合涤纶针织复膜布三项检测: 机织面料通过软垫家具材料的抗香烟燃烧测试床垫面料材质抗细菌滋生，除菌率(大肠杆菌、肺炎克雷伯氏菌≥99%)（提供按检测依据 WS/T 650-2019 出具的带有CMA 或CNAS标志的等级检验报告）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床垫所用面料耐光色牢度等级≥4 级（提供按检测依据GB/T8427-2008出具的带有CMA 或CNAS标志的等级检验报告）</w:t>
            </w:r>
          </w:p>
          <w:p w14:paraId="135B930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r w14:paraId="3631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7"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D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86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表面涂饰</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FD6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表面采用环保室内型环氧树脂静电粉末喷涂，床体经抛光后送到喷粉室中进行内外静电喷粉，其厚度不小于80wm，后经高温炉固化。全程经大型喷涂流水线一体化完成;表面光洁亮丽，具有环保、抑菌、防锈、耐腐蚀、绝缘性高、附着力强、耐摩擦等技术特点，颜色可根据院方要求定制。</w:t>
            </w:r>
            <w:r>
              <w:rPr>
                <w:rFonts w:hint="eastAsia" w:asciiTheme="minorEastAsia" w:hAnsiTheme="minorEastAsia" w:eastAsiaTheme="minorEastAsia" w:cstheme="minorEastAsia"/>
                <w:i w:val="0"/>
                <w:iCs w:val="0"/>
                <w:color w:val="E54C5E"/>
                <w:kern w:val="0"/>
                <w:sz w:val="21"/>
                <w:szCs w:val="21"/>
                <w:u w:val="none"/>
                <w:lang w:val="en-US" w:eastAsia="zh-CN" w:bidi="ar"/>
              </w:rPr>
              <w:t>（需提供粉末涂料的大肠杆菌和金黄色葡萄球菌24小时抗菌性第三方检验报告）</w:t>
            </w:r>
          </w:p>
        </w:tc>
      </w:tr>
      <w:tr w14:paraId="4CD8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7"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E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44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摇把及支撑系统</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C5933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置ABS隐藏式摇把，采用高强度ABS工程塑料材质，内置金属件，万向节联轴结构，隐藏式与防撞脚设计，坚固耐用。可以隐藏于床体，避免不必要的伤害，方便护理人员操作，丝杆与连接件：各部位活动联接件采用3.0mm冷轧钢板制作，表面静电喷塑处理,丝杆采用加长螺母，防尘套结构，丝杆为45号滚丝全封闭免维护，有两极空转极限设置，具有双向极限保护设置防损耗。（提供第三方权威机构出具的双向极限保护检测证明文件）</w:t>
            </w:r>
          </w:p>
        </w:tc>
      </w:tr>
      <w:tr w14:paraId="1D8D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A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239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其他配置</w:t>
            </w:r>
          </w:p>
        </w:tc>
        <w:tc>
          <w:tcPr>
            <w:tcW w:w="66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07D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二节式304不锈钢四爪输液架2支。6、床头床尾两边配有四个输液插孔，配有304不锈钢四爪输液架，可多体位进行输液。床体两边配有两个引流挂钩。</w:t>
            </w:r>
          </w:p>
        </w:tc>
      </w:tr>
    </w:tbl>
    <w:p w14:paraId="12321499">
      <w:pPr>
        <w:rPr>
          <w:rFonts w:hint="eastAsia" w:ascii="宋体" w:hAnsi="宋体" w:cs="宋体"/>
          <w:b/>
          <w:bCs/>
          <w:szCs w:val="21"/>
          <w:highlight w:val="none"/>
        </w:rPr>
      </w:pPr>
      <w:r>
        <w:rPr>
          <w:rFonts w:hint="eastAsia" w:ascii="宋体" w:hAnsi="宋体" w:cs="宋体"/>
          <w:b/>
          <w:bCs/>
          <w:szCs w:val="21"/>
          <w:highlight w:val="none"/>
        </w:rPr>
        <w:br w:type="page"/>
      </w:r>
    </w:p>
    <w:p w14:paraId="49F24EF0">
      <w:pPr>
        <w:jc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6、普通病床（儿童不带脚轮）85套</w:t>
      </w:r>
    </w:p>
    <w:tbl>
      <w:tblPr>
        <w:tblStyle w:val="4"/>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816"/>
        <w:gridCol w:w="1502"/>
        <w:gridCol w:w="2079"/>
        <w:gridCol w:w="2079"/>
        <w:gridCol w:w="614"/>
        <w:gridCol w:w="615"/>
      </w:tblGrid>
      <w:tr w14:paraId="4D99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842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6CD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不带脚轮普通病床（儿童）</w:t>
            </w:r>
          </w:p>
        </w:tc>
      </w:tr>
      <w:tr w14:paraId="5A60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21" w:type="dxa"/>
            <w:vMerge w:val="restart"/>
            <w:tcBorders>
              <w:top w:val="nil"/>
              <w:left w:val="single" w:color="000000" w:sz="4" w:space="0"/>
              <w:bottom w:val="single" w:color="000000" w:sz="4" w:space="0"/>
              <w:right w:val="single" w:color="000000" w:sz="4" w:space="0"/>
            </w:tcBorders>
            <w:shd w:val="clear" w:color="auto" w:fill="auto"/>
            <w:vAlign w:val="center"/>
          </w:tcPr>
          <w:p w14:paraId="6BB228B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16" w:type="dxa"/>
            <w:vMerge w:val="restart"/>
            <w:tcBorders>
              <w:top w:val="nil"/>
              <w:left w:val="single" w:color="000000" w:sz="4" w:space="0"/>
              <w:bottom w:val="single" w:color="000000" w:sz="4" w:space="0"/>
              <w:right w:val="single" w:color="000000" w:sz="4" w:space="0"/>
            </w:tcBorders>
            <w:shd w:val="clear" w:color="auto" w:fill="auto"/>
            <w:noWrap/>
            <w:vAlign w:val="center"/>
          </w:tcPr>
          <w:p w14:paraId="3936C2F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规格</w:t>
            </w:r>
          </w:p>
        </w:tc>
        <w:tc>
          <w:tcPr>
            <w:tcW w:w="1502" w:type="dxa"/>
            <w:tcBorders>
              <w:top w:val="nil"/>
              <w:left w:val="single" w:color="000000" w:sz="4" w:space="0"/>
              <w:bottom w:val="single" w:color="000000" w:sz="4" w:space="0"/>
              <w:right w:val="single" w:color="000000" w:sz="4" w:space="0"/>
            </w:tcBorders>
            <w:shd w:val="clear" w:color="auto" w:fill="auto"/>
            <w:noWrap/>
            <w:vAlign w:val="center"/>
          </w:tcPr>
          <w:p w14:paraId="263772F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长（mm)</w:t>
            </w:r>
          </w:p>
        </w:tc>
        <w:tc>
          <w:tcPr>
            <w:tcW w:w="2079" w:type="dxa"/>
            <w:tcBorders>
              <w:top w:val="nil"/>
              <w:left w:val="single" w:color="000000" w:sz="4" w:space="0"/>
              <w:bottom w:val="single" w:color="000000" w:sz="4" w:space="0"/>
              <w:right w:val="single" w:color="000000" w:sz="4" w:space="0"/>
            </w:tcBorders>
            <w:shd w:val="clear" w:color="auto" w:fill="auto"/>
            <w:noWrap/>
            <w:vAlign w:val="center"/>
          </w:tcPr>
          <w:p w14:paraId="268EA86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宽（mm)</w:t>
            </w:r>
          </w:p>
        </w:tc>
        <w:tc>
          <w:tcPr>
            <w:tcW w:w="2079" w:type="dxa"/>
            <w:tcBorders>
              <w:top w:val="nil"/>
              <w:left w:val="single" w:color="000000" w:sz="4" w:space="0"/>
              <w:bottom w:val="single" w:color="000000" w:sz="4" w:space="0"/>
              <w:right w:val="single" w:color="000000" w:sz="4" w:space="0"/>
            </w:tcBorders>
            <w:shd w:val="clear" w:color="auto" w:fill="auto"/>
            <w:noWrap/>
            <w:vAlign w:val="center"/>
          </w:tcPr>
          <w:p w14:paraId="4654B9A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高（mm)</w:t>
            </w:r>
          </w:p>
        </w:tc>
        <w:tc>
          <w:tcPr>
            <w:tcW w:w="614" w:type="dxa"/>
            <w:tcBorders>
              <w:top w:val="nil"/>
              <w:left w:val="single" w:color="000000" w:sz="4" w:space="0"/>
              <w:bottom w:val="single" w:color="000000" w:sz="4" w:space="0"/>
              <w:right w:val="single" w:color="000000" w:sz="4" w:space="0"/>
            </w:tcBorders>
            <w:shd w:val="clear" w:color="auto" w:fill="auto"/>
            <w:noWrap/>
            <w:vAlign w:val="center"/>
          </w:tcPr>
          <w:p w14:paraId="6CE7FB9A">
            <w:pPr>
              <w:spacing w:line="360" w:lineRule="auto"/>
              <w:rPr>
                <w:rFonts w:hint="eastAsia" w:asciiTheme="minorEastAsia" w:hAnsiTheme="minorEastAsia" w:eastAsiaTheme="minorEastAsia" w:cstheme="minorEastAsia"/>
                <w:i w:val="0"/>
                <w:iCs w:val="0"/>
                <w:color w:val="000000"/>
                <w:sz w:val="21"/>
                <w:szCs w:val="21"/>
                <w:u w:val="none"/>
              </w:rPr>
            </w:pPr>
          </w:p>
        </w:tc>
        <w:tc>
          <w:tcPr>
            <w:tcW w:w="615" w:type="dxa"/>
            <w:tcBorders>
              <w:top w:val="nil"/>
              <w:left w:val="single" w:color="000000" w:sz="4" w:space="0"/>
              <w:bottom w:val="single" w:color="000000" w:sz="4" w:space="0"/>
              <w:right w:val="single" w:color="000000" w:sz="4" w:space="0"/>
            </w:tcBorders>
            <w:shd w:val="clear" w:color="auto" w:fill="auto"/>
            <w:noWrap/>
            <w:vAlign w:val="center"/>
          </w:tcPr>
          <w:p w14:paraId="032B86DD">
            <w:pPr>
              <w:spacing w:line="360" w:lineRule="auto"/>
              <w:rPr>
                <w:rFonts w:hint="eastAsia" w:asciiTheme="minorEastAsia" w:hAnsiTheme="minorEastAsia" w:eastAsiaTheme="minorEastAsia" w:cstheme="minorEastAsia"/>
                <w:i w:val="0"/>
                <w:iCs w:val="0"/>
                <w:color w:val="000000"/>
                <w:sz w:val="21"/>
                <w:szCs w:val="21"/>
                <w:u w:val="none"/>
              </w:rPr>
            </w:pPr>
          </w:p>
        </w:tc>
      </w:tr>
      <w:tr w14:paraId="5F81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21" w:type="dxa"/>
            <w:vMerge w:val="continue"/>
            <w:tcBorders>
              <w:top w:val="nil"/>
              <w:left w:val="single" w:color="000000" w:sz="4" w:space="0"/>
              <w:bottom w:val="single" w:color="000000" w:sz="4" w:space="0"/>
              <w:right w:val="single" w:color="000000" w:sz="4" w:space="0"/>
            </w:tcBorders>
            <w:shd w:val="clear" w:color="auto" w:fill="auto"/>
            <w:vAlign w:val="center"/>
          </w:tcPr>
          <w:p w14:paraId="09E1116B">
            <w:pPr>
              <w:spacing w:line="360" w:lineRule="auto"/>
              <w:jc w:val="center"/>
              <w:rPr>
                <w:rFonts w:hint="eastAsia" w:asciiTheme="minorEastAsia" w:hAnsiTheme="minorEastAsia" w:eastAsiaTheme="minorEastAsia" w:cstheme="minorEastAsia"/>
                <w:i w:val="0"/>
                <w:iCs w:val="0"/>
                <w:color w:val="000000"/>
                <w:sz w:val="21"/>
                <w:szCs w:val="21"/>
                <w:u w:val="none"/>
              </w:rPr>
            </w:pPr>
          </w:p>
        </w:tc>
        <w:tc>
          <w:tcPr>
            <w:tcW w:w="81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F3CF551">
            <w:pPr>
              <w:spacing w:line="360" w:lineRule="auto"/>
              <w:jc w:val="center"/>
              <w:rPr>
                <w:rFonts w:hint="eastAsia" w:asciiTheme="minorEastAsia" w:hAnsiTheme="minorEastAsia" w:eastAsiaTheme="minorEastAsia" w:cstheme="minorEastAsia"/>
                <w:b/>
                <w:bCs/>
                <w:i w:val="0"/>
                <w:iCs w:val="0"/>
                <w:color w:val="000000"/>
                <w:sz w:val="21"/>
                <w:szCs w:val="21"/>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099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2250</w:t>
            </w:r>
            <w:r>
              <w:rPr>
                <w:rFonts w:hint="eastAsia" w:ascii="宋体" w:hAnsi="宋体" w:cs="宋体"/>
                <w:i w:val="0"/>
                <w:iCs w:val="0"/>
                <w:color w:val="000000"/>
                <w:kern w:val="0"/>
                <w:sz w:val="21"/>
                <w:szCs w:val="21"/>
                <w:u w:val="none"/>
                <w:lang w:val="en-US" w:eastAsia="zh-CN" w:bidi="ar"/>
              </w:rPr>
              <w:t>±20</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A21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r>
              <w:rPr>
                <w:rFonts w:hint="eastAsia" w:ascii="宋体" w:hAnsi="宋体" w:cs="宋体"/>
                <w:i w:val="0"/>
                <w:iCs w:val="0"/>
                <w:color w:val="000000"/>
                <w:kern w:val="0"/>
                <w:sz w:val="21"/>
                <w:szCs w:val="21"/>
                <w:u w:val="none"/>
                <w:lang w:val="en-US" w:eastAsia="zh-CN" w:bidi="ar"/>
              </w:rPr>
              <w:t>±20</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83D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r>
              <w:rPr>
                <w:rFonts w:hint="eastAsia" w:ascii="宋体" w:hAnsi="宋体" w:cs="宋体"/>
                <w:i w:val="0"/>
                <w:iCs w:val="0"/>
                <w:color w:val="000000"/>
                <w:kern w:val="0"/>
                <w:sz w:val="21"/>
                <w:szCs w:val="21"/>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EEC1">
            <w:pPr>
              <w:spacing w:line="360" w:lineRule="auto"/>
              <w:rPr>
                <w:rFonts w:hint="eastAsia" w:asciiTheme="minorEastAsia" w:hAnsiTheme="minorEastAsia" w:eastAsiaTheme="minorEastAsia" w:cstheme="minorEastAsia"/>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AB79">
            <w:pPr>
              <w:spacing w:line="360" w:lineRule="auto"/>
              <w:rPr>
                <w:rFonts w:hint="eastAsia" w:asciiTheme="minorEastAsia" w:hAnsiTheme="minorEastAsia" w:eastAsiaTheme="minorEastAsia" w:cstheme="minorEastAsia"/>
                <w:i w:val="0"/>
                <w:iCs w:val="0"/>
                <w:color w:val="000000"/>
                <w:sz w:val="21"/>
                <w:szCs w:val="21"/>
                <w:u w:val="none"/>
              </w:rPr>
            </w:pPr>
          </w:p>
        </w:tc>
      </w:tr>
      <w:tr w14:paraId="26F5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1C0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16" w:type="dxa"/>
            <w:vMerge w:val="restart"/>
            <w:tcBorders>
              <w:top w:val="nil"/>
              <w:left w:val="single" w:color="000000" w:sz="4" w:space="0"/>
              <w:bottom w:val="nil"/>
              <w:right w:val="single" w:color="000000" w:sz="4" w:space="0"/>
            </w:tcBorders>
            <w:shd w:val="clear" w:color="auto" w:fill="auto"/>
            <w:noWrap/>
            <w:vAlign w:val="center"/>
          </w:tcPr>
          <w:p w14:paraId="46E3702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功能</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C4B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背部升降：升降角度 0～75º，±5º</w:t>
            </w:r>
          </w:p>
        </w:tc>
      </w:tr>
      <w:tr w14:paraId="12B0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27EF">
            <w:pPr>
              <w:spacing w:line="360" w:lineRule="auto"/>
              <w:jc w:val="center"/>
              <w:rPr>
                <w:rFonts w:hint="eastAsia" w:asciiTheme="minorEastAsia" w:hAnsiTheme="minorEastAsia" w:eastAsiaTheme="minorEastAsia" w:cstheme="minorEastAsia"/>
                <w:i w:val="0"/>
                <w:iCs w:val="0"/>
                <w:color w:val="000000"/>
                <w:sz w:val="21"/>
                <w:szCs w:val="21"/>
                <w:u w:val="none"/>
              </w:rPr>
            </w:pPr>
          </w:p>
        </w:tc>
        <w:tc>
          <w:tcPr>
            <w:tcW w:w="816" w:type="dxa"/>
            <w:vMerge w:val="continue"/>
            <w:tcBorders>
              <w:top w:val="nil"/>
              <w:left w:val="single" w:color="000000" w:sz="4" w:space="0"/>
              <w:bottom w:val="nil"/>
              <w:right w:val="single" w:color="000000" w:sz="4" w:space="0"/>
            </w:tcBorders>
            <w:shd w:val="clear" w:color="auto" w:fill="auto"/>
            <w:noWrap/>
            <w:vAlign w:val="center"/>
          </w:tcPr>
          <w:p w14:paraId="5076F74B">
            <w:pPr>
              <w:spacing w:line="360" w:lineRule="auto"/>
              <w:jc w:val="center"/>
              <w:rPr>
                <w:rFonts w:hint="eastAsia" w:asciiTheme="minorEastAsia" w:hAnsiTheme="minorEastAsia" w:eastAsiaTheme="minorEastAsia" w:cstheme="minorEastAsia"/>
                <w:b/>
                <w:bCs/>
                <w:i w:val="0"/>
                <w:iCs w:val="0"/>
                <w:color w:val="000000"/>
                <w:sz w:val="21"/>
                <w:szCs w:val="21"/>
                <w:u w:val="none"/>
              </w:rPr>
            </w:pP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DE0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腿部升降：升降角度 0～35º，±5º</w:t>
            </w:r>
          </w:p>
        </w:tc>
      </w:tr>
      <w:tr w14:paraId="0E8C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4"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F03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8D5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床面板</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E2097">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冷轧碳钢板1.2mm一次冲压成型（需提供原生产厂家提供的产品质量书）。床板强度高，受力均衡，抗压力强，并带透气孔，兼防滑功能；下面焊接钢管加强，坚实耐用。(为保证产品生产过程的牢固性、平整度投标生产厂家需提供2台以上包含2台激光切割机设备的合同、发票以及现场工作照片。另需要提供投标生产厂家焊接机器手臂2台以上包含2台激光切割机设备的合同、发票以及现场工作照片）。</w:t>
            </w:r>
          </w:p>
        </w:tc>
      </w:tr>
      <w:tr w14:paraId="14AF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3"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FD9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5E7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床体</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0EDE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静态可承载300Kg、动态可承载200Kg；采用冷轧碳素钢管厚度1.5mm，部分承重材料采用3mm一体冲压成型件。背部床面采用双支撑结构，双支撑为冷钢板冲压成形，加强背板的承重力，摇杆承受压力小，摇动时操作省力。</w:t>
            </w:r>
          </w:p>
        </w:tc>
      </w:tr>
      <w:tr w14:paraId="3F84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1"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BE6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FCD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床头</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床尾</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CBAB">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床头、床尾均采用 ABS原装工程塑料，利用自有模具一次注塑成型，易清洗、易消毒，抗菌防菌，防腐蚀。床体四角有专用模具一次冲压成型的钢制牛角式防撞护角加含油尼龙防撞轮，有效保护床体和公共实施，床尾带有亚克力透明床头卡。床头、床尾为插式固定配有锁定开关，急救时可快速拆卸兼做CPR确保患者安全。</w:t>
            </w:r>
          </w:p>
        </w:tc>
      </w:tr>
      <w:tr w14:paraId="544D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E0D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DA5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护栏</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025E">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包围式护栏，D型铝合金扶手，表面硬化处理，22支,护栏支柱，上下连接件采用一次冲压成形钢件，厚度3.0mm。两侧护栏采用人体工程学设计，护栏升降配有阻尼器，开关采用直线运动方式，防夹手设计，操作方便安全。（为保证护栏配件的耐久性投标生产厂家需要具备检验护栏耐久性检验设备，需要提供投标生产厂家检验设备的发票、合同和现场照片，交货之前需对此批货物进行检验并提供投标生产厂家出具的检验报告）</w:t>
            </w:r>
          </w:p>
        </w:tc>
      </w:tr>
      <w:tr w14:paraId="2520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891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ABA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床垫</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7E0C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厚度≥8CM，半棕半棉，环保级棕片，高弹海绵，面料防水，防滑，透气抗菌，内芯为高密海绵和棕丝（提供按检测依据 GB 18587-2001 标准出具的甲醛释放量≤0.050 的检验报告）。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床垫外套采用涤纶针织复膜布，符合涤纶针织复膜布三项检测: 机织面料通过软垫家具材料的抗香烟燃烧测试床垫面料材质抗细菌滋生，除菌率(大肠杆菌、肺炎克雷伯氏菌≥99%)（提供按检测依据 WS/T 650-2019 出具的带有CMA或CNAS标志的等级检验报告）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床垫所用面料耐光色牢度等级≥4 级（提供按检测依据GB/T8427-2008出具的带有CMA或CNAS标志的等级检验报告）</w:t>
            </w:r>
          </w:p>
          <w:p w14:paraId="5336D83A">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r w14:paraId="2A0A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471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DE1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表面涂饰</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FE7C">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表面采用环保室内型环氧树脂静电粉末喷涂，床体经抛光后送到喷粉室中进行内外静电喷粉，其厚度不小于80wm，后经高温炉固化。全程经大型喷涂流水线一体化完成;表面光洁亮丽，具有环保、抑菌、防锈、耐腐蚀、绝缘性高、附着力强、耐摩擦等技术特点，颜色可根据院方要求定制。</w:t>
            </w:r>
            <w:r>
              <w:rPr>
                <w:rFonts w:hint="eastAsia" w:asciiTheme="minorEastAsia" w:hAnsiTheme="minorEastAsia" w:eastAsiaTheme="minorEastAsia" w:cstheme="minorEastAsia"/>
                <w:i w:val="0"/>
                <w:iCs w:val="0"/>
                <w:color w:val="E54C5E"/>
                <w:kern w:val="0"/>
                <w:sz w:val="21"/>
                <w:szCs w:val="21"/>
                <w:u w:val="none"/>
                <w:lang w:val="en-US" w:eastAsia="zh-CN" w:bidi="ar"/>
              </w:rPr>
              <w:t>（需提供粉末涂料的大肠杆菌和金黄色葡萄球菌24小时抗菌性第三方检验报告）</w:t>
            </w:r>
          </w:p>
        </w:tc>
      </w:tr>
      <w:tr w14:paraId="09CE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B31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CA7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摇把及支撑系统</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601F56">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置ABS隐藏式摇把，采用高强度ABS工程塑料材质，内置金属件，万向节联轴结构，隐藏式与防撞脚设计，坚固耐用。可以隐藏于床体，避免不必要的伤害，方便护理人员操作，丝杆与连接件：各部位活动联接件采用3.0mm冷轧钢板制作，表面静电喷塑处理,丝杆采用加长螺母，防尘套结构，丝杆为45号滚丝全封闭免维护，有两极空转极限设置，具有双向极限保护设置防损耗。（提供第三方权威机构出具的双向极限保护检测证明文件）</w:t>
            </w:r>
          </w:p>
        </w:tc>
      </w:tr>
      <w:tr w14:paraId="27FF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A9D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1A4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其他配置</w:t>
            </w:r>
          </w:p>
        </w:tc>
        <w:tc>
          <w:tcPr>
            <w:tcW w:w="68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F9B1">
            <w:pPr>
              <w:keepNext w:val="0"/>
              <w:keepLines w:val="0"/>
              <w:widowControl/>
              <w:suppressLineNumbers w:val="0"/>
              <w:spacing w:line="360" w:lineRule="auto"/>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二节式304不锈钢四爪输液架2支。6、床头床尾两边配有四个输液插孔，配有304不锈钢四爪输液架，可多体位进行输液。床体两边配有两个引流挂钩。</w:t>
            </w:r>
          </w:p>
        </w:tc>
      </w:tr>
    </w:tbl>
    <w:p w14:paraId="418C71D6">
      <w:pPr>
        <w:rPr>
          <w:rFonts w:hint="eastAsia" w:ascii="宋体" w:hAnsi="宋体" w:cs="宋体"/>
          <w:b/>
          <w:bCs/>
          <w:szCs w:val="21"/>
          <w:highlight w:val="none"/>
        </w:rPr>
      </w:pPr>
      <w:r>
        <w:rPr>
          <w:rFonts w:hint="eastAsia" w:ascii="宋体" w:hAnsi="宋体" w:cs="宋体"/>
          <w:b/>
          <w:bCs/>
          <w:szCs w:val="21"/>
          <w:highlight w:val="none"/>
        </w:rPr>
        <w:br w:type="page"/>
      </w:r>
    </w:p>
    <w:p w14:paraId="2F863F2F">
      <w:pPr>
        <w:jc w:val="center"/>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7、内镜检查床13套</w:t>
      </w:r>
    </w:p>
    <w:tbl>
      <w:tblPr>
        <w:tblStyle w:val="4"/>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
        <w:gridCol w:w="1521"/>
        <w:gridCol w:w="1785"/>
        <w:gridCol w:w="1785"/>
        <w:gridCol w:w="1575"/>
        <w:gridCol w:w="1390"/>
      </w:tblGrid>
      <w:tr w14:paraId="46A9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8A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内镜检查床</w:t>
            </w:r>
          </w:p>
        </w:tc>
      </w:tr>
      <w:tr w14:paraId="0424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3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2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90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36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长（mm)</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275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宽（mm)</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FE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高（mm)</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4B87">
            <w:pPr>
              <w:jc w:val="center"/>
              <w:rPr>
                <w:rFonts w:hint="eastAsia" w:ascii="宋体" w:hAnsi="宋体" w:eastAsia="宋体" w:cs="宋体"/>
                <w:i w:val="0"/>
                <w:iCs w:val="0"/>
                <w:color w:val="000000"/>
                <w:sz w:val="21"/>
                <w:szCs w:val="21"/>
                <w:u w:val="none"/>
              </w:rPr>
            </w:pPr>
          </w:p>
        </w:tc>
      </w:tr>
      <w:tr w14:paraId="452C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25AB">
            <w:pPr>
              <w:jc w:val="center"/>
              <w:rPr>
                <w:rFonts w:hint="eastAsia" w:ascii="宋体" w:hAnsi="宋体" w:eastAsia="宋体" w:cs="宋体"/>
                <w:i w:val="0"/>
                <w:iCs w:val="0"/>
                <w:color w:val="000000"/>
                <w:sz w:val="21"/>
                <w:szCs w:val="21"/>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DD7D">
            <w:pPr>
              <w:jc w:val="center"/>
              <w:rPr>
                <w:rFonts w:hint="eastAsia" w:ascii="宋体" w:hAnsi="宋体" w:eastAsia="宋体" w:cs="宋体"/>
                <w:b/>
                <w:bCs/>
                <w:i w:val="0"/>
                <w:iCs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3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1930</w:t>
            </w:r>
            <w:r>
              <w:rPr>
                <w:rFonts w:hint="eastAsia" w:ascii="宋体" w:hAnsi="宋体" w:cs="宋体"/>
                <w:i w:val="0"/>
                <w:iCs w:val="0"/>
                <w:color w:val="000000"/>
                <w:kern w:val="0"/>
                <w:sz w:val="21"/>
                <w:szCs w:val="21"/>
                <w:u w:val="none"/>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B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r>
              <w:rPr>
                <w:rFonts w:hint="eastAsia" w:ascii="宋体" w:hAnsi="宋体" w:cs="宋体"/>
                <w:i w:val="0"/>
                <w:iCs w:val="0"/>
                <w:color w:val="000000"/>
                <w:kern w:val="0"/>
                <w:sz w:val="21"/>
                <w:szCs w:val="21"/>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3798">
            <w:pPr>
              <w:jc w:val="center"/>
              <w:rPr>
                <w:rFonts w:hint="eastAsia" w:ascii="宋体" w:hAnsi="宋体" w:eastAsia="宋体" w:cs="宋体"/>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CC67">
            <w:pPr>
              <w:jc w:val="center"/>
              <w:rPr>
                <w:rFonts w:hint="eastAsia" w:ascii="宋体" w:hAnsi="宋体" w:eastAsia="宋体" w:cs="宋体"/>
                <w:i w:val="0"/>
                <w:iCs w:val="0"/>
                <w:color w:val="000000"/>
                <w:sz w:val="21"/>
                <w:szCs w:val="21"/>
                <w:u w:val="none"/>
              </w:rPr>
            </w:pPr>
          </w:p>
        </w:tc>
      </w:tr>
      <w:tr w14:paraId="3BF4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3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8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2A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升降功能</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4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平车升降高度： 550-900mm</w:t>
            </w:r>
            <w:r>
              <w:rPr>
                <w:rFonts w:hint="eastAsia" w:ascii="宋体" w:hAnsi="宋体" w:cs="宋体"/>
                <w:i w:val="0"/>
                <w:iCs w:val="0"/>
                <w:color w:val="000000"/>
                <w:kern w:val="0"/>
                <w:sz w:val="21"/>
                <w:szCs w:val="21"/>
                <w:u w:val="none"/>
                <w:lang w:val="en-US" w:eastAsia="zh-CN" w:bidi="ar"/>
              </w:rPr>
              <w:t>±20</w:t>
            </w:r>
          </w:p>
        </w:tc>
      </w:tr>
      <w:tr w14:paraId="43C8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3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A764">
            <w:pPr>
              <w:jc w:val="center"/>
              <w:rPr>
                <w:rFonts w:hint="eastAsia" w:ascii="宋体" w:hAnsi="宋体" w:eastAsia="宋体" w:cs="宋体"/>
                <w:i w:val="0"/>
                <w:iCs w:val="0"/>
                <w:color w:val="000000"/>
                <w:sz w:val="21"/>
                <w:szCs w:val="21"/>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0820">
            <w:pPr>
              <w:jc w:val="center"/>
              <w:rPr>
                <w:rFonts w:hint="eastAsia" w:ascii="宋体" w:hAnsi="宋体" w:eastAsia="宋体" w:cs="宋体"/>
                <w:b/>
                <w:bCs/>
                <w:i w:val="0"/>
                <w:iCs w:val="0"/>
                <w:color w:val="000000"/>
                <w:sz w:val="21"/>
                <w:szCs w:val="21"/>
                <w:u w:val="none"/>
              </w:rPr>
            </w:pP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E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整体升降采用摇杆式设计，升降行程550-900mm</w:t>
            </w:r>
            <w:r>
              <w:rPr>
                <w:rFonts w:hint="eastAsia" w:ascii="宋体" w:hAnsi="宋体" w:cs="宋体"/>
                <w:i w:val="0"/>
                <w:iCs w:val="0"/>
                <w:color w:val="000000"/>
                <w:kern w:val="0"/>
                <w:sz w:val="21"/>
                <w:szCs w:val="21"/>
                <w:u w:val="none"/>
                <w:lang w:val="en-US" w:eastAsia="zh-CN" w:bidi="ar"/>
              </w:rPr>
              <w:t>±20</w:t>
            </w:r>
          </w:p>
        </w:tc>
      </w:tr>
      <w:tr w14:paraId="335E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B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5C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床面</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8D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采用ABS工程注塑料一次铸压成型</w:t>
            </w:r>
          </w:p>
        </w:tc>
      </w:tr>
      <w:tr w14:paraId="3C35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D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A2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框架</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D7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采用铝合金型材</w:t>
            </w:r>
          </w:p>
        </w:tc>
      </w:tr>
      <w:tr w14:paraId="06FC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5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CB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护栏</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1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配备双侧护栏，ABS提拉升降式护栏，放下采用气弹簧缓冲设计</w:t>
            </w:r>
          </w:p>
        </w:tc>
      </w:tr>
      <w:tr w14:paraId="1365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4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7B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把手</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1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四角分别设计有把手，方便护理急救人员操作</w:t>
            </w:r>
          </w:p>
        </w:tc>
      </w:tr>
      <w:tr w14:paraId="445C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2"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2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9D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其他功能</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2C6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1、背部起背采用气弹簧式起背，可单手操作。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2、带有氧气瓶托架，可放置5L氧气瓶，以便急救使用。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3、车头车尾带有对角输液架插孔，并配有1根输液架。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4、脚轮为2档中控脚轮，直径150mm，带有中央导向轮和一键式刹车。</w:t>
            </w:r>
          </w:p>
        </w:tc>
      </w:tr>
      <w:tr w14:paraId="455A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2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44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辅助装置</w:t>
            </w:r>
          </w:p>
        </w:tc>
        <w:tc>
          <w:tcPr>
            <w:tcW w:w="6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820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配有车垫，带有2条安全绑带</w:t>
            </w:r>
          </w:p>
        </w:tc>
      </w:tr>
    </w:tbl>
    <w:p w14:paraId="51E7BB11">
      <w:pPr>
        <w:rPr>
          <w:rFonts w:hint="eastAsia" w:ascii="宋体" w:hAnsi="宋体" w:cs="宋体"/>
          <w:b/>
          <w:bCs/>
          <w:szCs w:val="21"/>
          <w:highlight w:val="none"/>
        </w:rPr>
      </w:pPr>
      <w:r>
        <w:rPr>
          <w:rFonts w:hint="eastAsia" w:ascii="宋体" w:hAnsi="宋体" w:cs="宋体"/>
          <w:b/>
          <w:bCs/>
          <w:szCs w:val="21"/>
          <w:highlight w:val="none"/>
        </w:rPr>
        <w:br w:type="page"/>
      </w:r>
    </w:p>
    <w:p w14:paraId="146DA03E">
      <w:pPr>
        <w:jc w:val="cente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8、婴儿车4套</w:t>
      </w:r>
    </w:p>
    <w:tbl>
      <w:tblPr>
        <w:tblStyle w:val="4"/>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
        <w:gridCol w:w="1489"/>
        <w:gridCol w:w="1704"/>
        <w:gridCol w:w="1575"/>
        <w:gridCol w:w="1875"/>
        <w:gridCol w:w="1420"/>
      </w:tblGrid>
      <w:tr w14:paraId="5C63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FD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婴儿车</w:t>
            </w:r>
          </w:p>
        </w:tc>
      </w:tr>
      <w:tr w14:paraId="4DBD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3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4A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8A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长（mm)</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8D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宽（mm)</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B1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高（mm)</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7D63">
            <w:pPr>
              <w:jc w:val="center"/>
              <w:rPr>
                <w:rFonts w:hint="eastAsia" w:ascii="宋体" w:hAnsi="宋体" w:eastAsia="宋体" w:cs="宋体"/>
                <w:i w:val="0"/>
                <w:iCs w:val="0"/>
                <w:color w:val="000000"/>
                <w:sz w:val="21"/>
                <w:szCs w:val="21"/>
                <w:u w:val="none"/>
              </w:rPr>
            </w:pPr>
          </w:p>
        </w:tc>
      </w:tr>
      <w:tr w14:paraId="1F2F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6C24">
            <w:pPr>
              <w:jc w:val="center"/>
              <w:rPr>
                <w:rFonts w:hint="eastAsia" w:ascii="宋体" w:hAnsi="宋体" w:eastAsia="宋体" w:cs="宋体"/>
                <w:i w:val="0"/>
                <w:iCs w:val="0"/>
                <w:color w:val="000000"/>
                <w:sz w:val="21"/>
                <w:szCs w:val="21"/>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E251">
            <w:pPr>
              <w:jc w:val="center"/>
              <w:rPr>
                <w:rFonts w:hint="eastAsia" w:ascii="宋体" w:hAnsi="宋体" w:eastAsia="宋体" w:cs="宋体"/>
                <w:b/>
                <w:bCs/>
                <w:i w:val="0"/>
                <w:iCs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1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r>
              <w:rPr>
                <w:rFonts w:hint="eastAsia" w:ascii="宋体" w:hAnsi="宋体" w:cs="宋体"/>
                <w:i w:val="0"/>
                <w:iCs w:val="0"/>
                <w:color w:val="000000"/>
                <w:kern w:val="0"/>
                <w:sz w:val="21"/>
                <w:szCs w:val="21"/>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3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r>
              <w:rPr>
                <w:rFonts w:hint="eastAsia" w:ascii="宋体" w:hAnsi="宋体" w:cs="宋体"/>
                <w:i w:val="0"/>
                <w:iCs w:val="0"/>
                <w:color w:val="000000"/>
                <w:kern w:val="0"/>
                <w:sz w:val="21"/>
                <w:szCs w:val="21"/>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6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800~965</w:t>
            </w:r>
            <w:r>
              <w:rPr>
                <w:rFonts w:hint="eastAsia" w:ascii="宋体" w:hAnsi="宋体" w:cs="宋体"/>
                <w:i w:val="0"/>
                <w:iCs w:val="0"/>
                <w:color w:val="000000"/>
                <w:kern w:val="0"/>
                <w:sz w:val="21"/>
                <w:szCs w:val="21"/>
                <w:u w:val="none"/>
                <w:lang w:val="en-US" w:eastAsia="zh-CN" w:bidi="ar"/>
              </w:rPr>
              <w:t>±20</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CDDC">
            <w:pPr>
              <w:jc w:val="center"/>
              <w:rPr>
                <w:rFonts w:hint="eastAsia" w:ascii="宋体" w:hAnsi="宋体" w:eastAsia="宋体" w:cs="宋体"/>
                <w:i w:val="0"/>
                <w:iCs w:val="0"/>
                <w:color w:val="000000"/>
                <w:sz w:val="21"/>
                <w:szCs w:val="21"/>
                <w:u w:val="none"/>
              </w:rPr>
            </w:pPr>
          </w:p>
        </w:tc>
      </w:tr>
      <w:tr w14:paraId="0336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2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01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升降功能</w:t>
            </w:r>
          </w:p>
        </w:tc>
        <w:tc>
          <w:tcPr>
            <w:tcW w:w="657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4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气动升降高度可调，调节范围800~965mm</w:t>
            </w:r>
            <w:r>
              <w:rPr>
                <w:rFonts w:hint="eastAsia" w:ascii="宋体" w:hAnsi="宋体" w:cs="宋体"/>
                <w:i w:val="0"/>
                <w:iCs w:val="0"/>
                <w:color w:val="000000"/>
                <w:kern w:val="0"/>
                <w:sz w:val="21"/>
                <w:szCs w:val="21"/>
                <w:u w:val="none"/>
                <w:lang w:val="en-US" w:eastAsia="zh-CN" w:bidi="ar"/>
              </w:rPr>
              <w:t>±20</w:t>
            </w:r>
          </w:p>
        </w:tc>
      </w:tr>
      <w:tr w14:paraId="3B8C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F9AB">
            <w:pPr>
              <w:jc w:val="center"/>
              <w:rPr>
                <w:rFonts w:hint="eastAsia" w:ascii="宋体" w:hAnsi="宋体" w:eastAsia="宋体" w:cs="宋体"/>
                <w:i w:val="0"/>
                <w:iCs w:val="0"/>
                <w:color w:val="000000"/>
                <w:sz w:val="21"/>
                <w:szCs w:val="21"/>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75D2">
            <w:pPr>
              <w:jc w:val="center"/>
              <w:rPr>
                <w:rFonts w:hint="eastAsia" w:ascii="宋体" w:hAnsi="宋体" w:eastAsia="宋体" w:cs="宋体"/>
                <w:b/>
                <w:bCs/>
                <w:i w:val="0"/>
                <w:iCs w:val="0"/>
                <w:color w:val="000000"/>
                <w:sz w:val="21"/>
                <w:szCs w:val="21"/>
                <w:u w:val="none"/>
              </w:rPr>
            </w:pPr>
          </w:p>
        </w:tc>
        <w:tc>
          <w:tcPr>
            <w:tcW w:w="657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7EF3">
            <w:pPr>
              <w:jc w:val="center"/>
              <w:rPr>
                <w:rFonts w:hint="eastAsia" w:ascii="宋体" w:hAnsi="宋体" w:eastAsia="宋体" w:cs="宋体"/>
                <w:i w:val="0"/>
                <w:iCs w:val="0"/>
                <w:color w:val="000000"/>
                <w:sz w:val="21"/>
                <w:szCs w:val="21"/>
                <w:u w:val="none"/>
              </w:rPr>
            </w:pPr>
          </w:p>
        </w:tc>
      </w:tr>
      <w:tr w14:paraId="4BCD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E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64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盆体构造</w:t>
            </w:r>
          </w:p>
        </w:tc>
        <w:tc>
          <w:tcPr>
            <w:tcW w:w="6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49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透明的婴儿盆，大人可实时观察婴儿的情况，方便母婴交流。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含厚度为4cm的高泡海绵床垫，防水布外套。</w:t>
            </w:r>
          </w:p>
        </w:tc>
      </w:tr>
      <w:tr w14:paraId="7723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E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63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婴儿盆材质</w:t>
            </w:r>
          </w:p>
        </w:tc>
        <w:tc>
          <w:tcPr>
            <w:tcW w:w="6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341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采用食品级材料，可用做餐具、奶瓶、输液袋的制做，纯铝合金立柱。</w:t>
            </w:r>
          </w:p>
        </w:tc>
      </w:tr>
      <w:tr w14:paraId="5B23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2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08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颜色类型</w:t>
            </w:r>
          </w:p>
        </w:tc>
        <w:tc>
          <w:tcPr>
            <w:tcW w:w="65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4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粉色、浅绿色、蓝色</w:t>
            </w:r>
          </w:p>
        </w:tc>
      </w:tr>
      <w:tr w14:paraId="3C12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A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AD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刹车系统</w:t>
            </w:r>
          </w:p>
        </w:tc>
        <w:tc>
          <w:tcPr>
            <w:tcW w:w="6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2B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脚轮为直径100mm聚氨酯豪华静音轮，平稳无噪音；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对角刹车，易于制动，刹车性能稳定可靠</w:t>
            </w:r>
          </w:p>
        </w:tc>
      </w:tr>
      <w:tr w14:paraId="7B86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E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9D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辅助装置</w:t>
            </w:r>
          </w:p>
        </w:tc>
        <w:tc>
          <w:tcPr>
            <w:tcW w:w="6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26A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底盘护罩凹槽设计可摆杂物用品</w:t>
            </w:r>
          </w:p>
        </w:tc>
      </w:tr>
    </w:tbl>
    <w:p w14:paraId="038B5A7E">
      <w:pPr>
        <w:rPr>
          <w:rFonts w:hint="eastAsia" w:ascii="宋体" w:hAnsi="宋体" w:cs="宋体"/>
          <w:b/>
          <w:bCs/>
          <w:szCs w:val="21"/>
          <w:highlight w:val="none"/>
        </w:rPr>
      </w:pPr>
      <w:r>
        <w:rPr>
          <w:rFonts w:hint="eastAsia" w:ascii="宋体" w:hAnsi="宋体" w:cs="宋体"/>
          <w:b/>
          <w:bCs/>
          <w:szCs w:val="21"/>
          <w:highlight w:val="none"/>
        </w:rPr>
        <w:br w:type="page"/>
      </w:r>
    </w:p>
    <w:p w14:paraId="2BA3A3F8">
      <w:pPr>
        <w:jc w:val="cente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9、检查诊断床9套</w:t>
      </w:r>
    </w:p>
    <w:tbl>
      <w:tblPr>
        <w:tblStyle w:val="4"/>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2"/>
        <w:gridCol w:w="1554"/>
        <w:gridCol w:w="1590"/>
        <w:gridCol w:w="1579"/>
        <w:gridCol w:w="1365"/>
        <w:gridCol w:w="2005"/>
      </w:tblGrid>
      <w:tr w14:paraId="3990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4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A4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检查诊断床</w:t>
            </w:r>
          </w:p>
        </w:tc>
      </w:tr>
      <w:tr w14:paraId="0578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D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DE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6B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长（mm)</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07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宽（mm)</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DA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高（mm)</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3630">
            <w:pPr>
              <w:jc w:val="center"/>
              <w:rPr>
                <w:rFonts w:hint="eastAsia" w:ascii="宋体" w:hAnsi="宋体" w:eastAsia="宋体" w:cs="宋体"/>
                <w:i w:val="0"/>
                <w:iCs w:val="0"/>
                <w:color w:val="000000"/>
                <w:sz w:val="21"/>
                <w:szCs w:val="21"/>
                <w:u w:val="none"/>
              </w:rPr>
            </w:pPr>
          </w:p>
        </w:tc>
      </w:tr>
      <w:tr w14:paraId="7189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7E65">
            <w:pPr>
              <w:jc w:val="center"/>
              <w:rPr>
                <w:rFonts w:hint="eastAsia" w:ascii="宋体" w:hAnsi="宋体" w:eastAsia="宋体" w:cs="宋体"/>
                <w:i w:val="0"/>
                <w:iCs w:val="0"/>
                <w:color w:val="000000"/>
                <w:sz w:val="21"/>
                <w:szCs w:val="21"/>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8E45">
            <w:pPr>
              <w:jc w:val="center"/>
              <w:rPr>
                <w:rFonts w:hint="eastAsia" w:ascii="宋体" w:hAnsi="宋体" w:eastAsia="宋体" w:cs="宋体"/>
                <w:b/>
                <w:bCs/>
                <w:i w:val="0"/>
                <w:iCs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C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w:t>
            </w:r>
            <w:r>
              <w:rPr>
                <w:rFonts w:hint="eastAsia" w:ascii="宋体" w:hAnsi="宋体" w:cs="宋体"/>
                <w:i w:val="0"/>
                <w:iCs w:val="0"/>
                <w:color w:val="000000"/>
                <w:kern w:val="0"/>
                <w:sz w:val="21"/>
                <w:szCs w:val="21"/>
                <w:u w:val="none"/>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E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cs="宋体"/>
                <w:i w:val="0"/>
                <w:iCs w:val="0"/>
                <w:color w:val="000000"/>
                <w:kern w:val="0"/>
                <w:sz w:val="21"/>
                <w:szCs w:val="21"/>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A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r>
              <w:rPr>
                <w:rFonts w:hint="eastAsia" w:ascii="宋体" w:hAnsi="宋体" w:cs="宋体"/>
                <w:i w:val="0"/>
                <w:iCs w:val="0"/>
                <w:color w:val="000000"/>
                <w:kern w:val="0"/>
                <w:sz w:val="21"/>
                <w:szCs w:val="21"/>
                <w:u w:val="none"/>
                <w:lang w:val="en-US" w:eastAsia="zh-CN" w:bidi="ar"/>
              </w:rPr>
              <w:t>±20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5D0C">
            <w:pPr>
              <w:jc w:val="center"/>
              <w:rPr>
                <w:rFonts w:hint="eastAsia" w:ascii="宋体" w:hAnsi="宋体" w:eastAsia="宋体" w:cs="宋体"/>
                <w:i w:val="0"/>
                <w:iCs w:val="0"/>
                <w:color w:val="000000"/>
                <w:sz w:val="21"/>
                <w:szCs w:val="21"/>
                <w:u w:val="none"/>
              </w:rPr>
            </w:pPr>
          </w:p>
        </w:tc>
      </w:tr>
      <w:tr w14:paraId="6758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6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9F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床腿</w:t>
            </w:r>
          </w:p>
        </w:tc>
        <w:tc>
          <w:tcPr>
            <w:tcW w:w="6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FE7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采用40*40方管，管材壁厚1.0mm</w:t>
            </w:r>
          </w:p>
        </w:tc>
      </w:tr>
      <w:tr w14:paraId="60AA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6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BA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床架</w:t>
            </w:r>
          </w:p>
        </w:tc>
        <w:tc>
          <w:tcPr>
            <w:tcW w:w="6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FE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采用30*50*1.2扁管</w:t>
            </w:r>
          </w:p>
        </w:tc>
      </w:tr>
      <w:tr w14:paraId="4BB3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3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841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床板</w:t>
            </w:r>
          </w:p>
        </w:tc>
        <w:tc>
          <w:tcPr>
            <w:tcW w:w="65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8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采用11mm胶合板,覆25mm厚度海绵</w:t>
            </w:r>
          </w:p>
        </w:tc>
      </w:tr>
      <w:tr w14:paraId="29E6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2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66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床面</w:t>
            </w:r>
          </w:p>
        </w:tc>
        <w:tc>
          <w:tcPr>
            <w:tcW w:w="65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C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采用蓝漆皮包面，坚固耐用，美观大方</w:t>
            </w:r>
          </w:p>
        </w:tc>
      </w:tr>
      <w:tr w14:paraId="1BD0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D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1C9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地脚</w:t>
            </w:r>
          </w:p>
        </w:tc>
        <w:tc>
          <w:tcPr>
            <w:tcW w:w="65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62B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带橡胶地脚，防滑耐用</w:t>
            </w:r>
          </w:p>
        </w:tc>
      </w:tr>
    </w:tbl>
    <w:p w14:paraId="35B6AE3B">
      <w:pPr>
        <w:rPr>
          <w:rFonts w:hint="eastAsia" w:ascii="宋体" w:hAnsi="宋体" w:cs="宋体"/>
          <w:b/>
          <w:bCs/>
          <w:szCs w:val="21"/>
          <w:highlight w:val="none"/>
        </w:rPr>
      </w:pPr>
      <w:r>
        <w:rPr>
          <w:rFonts w:hint="eastAsia" w:ascii="宋体" w:hAnsi="宋体" w:cs="宋体"/>
          <w:b/>
          <w:bCs/>
          <w:szCs w:val="21"/>
          <w:highlight w:val="none"/>
        </w:rPr>
        <w:br w:type="page"/>
      </w:r>
    </w:p>
    <w:p w14:paraId="23231E1F">
      <w:pPr>
        <w:jc w:val="center"/>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10、</w:t>
      </w:r>
      <w:r>
        <w:rPr>
          <w:rFonts w:hint="eastAsia" w:asciiTheme="minorEastAsia" w:hAnsiTheme="minorEastAsia" w:eastAsiaTheme="minorEastAsia" w:cstheme="minorEastAsia"/>
          <w:b/>
          <w:bCs/>
          <w:i w:val="0"/>
          <w:iCs w:val="0"/>
          <w:color w:val="000000"/>
          <w:kern w:val="0"/>
          <w:sz w:val="28"/>
          <w:szCs w:val="28"/>
          <w:u w:val="none"/>
          <w:lang w:val="en-US" w:eastAsia="zh-CN" w:bidi="ar"/>
        </w:rPr>
        <w:t>值班床48套</w:t>
      </w:r>
    </w:p>
    <w:tbl>
      <w:tblPr>
        <w:tblStyle w:val="4"/>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1070"/>
        <w:gridCol w:w="1669"/>
        <w:gridCol w:w="1507"/>
        <w:gridCol w:w="1567"/>
        <w:gridCol w:w="1700"/>
      </w:tblGrid>
      <w:tr w14:paraId="1A9D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82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C5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值班床</w:t>
            </w:r>
          </w:p>
        </w:tc>
      </w:tr>
      <w:tr w14:paraId="6F1F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C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74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9B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长（mm)</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81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宽（mm)</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F1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高（mm)</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D876">
            <w:pPr>
              <w:jc w:val="center"/>
              <w:rPr>
                <w:rFonts w:hint="eastAsia" w:ascii="宋体" w:hAnsi="宋体" w:eastAsia="宋体" w:cs="宋体"/>
                <w:i w:val="0"/>
                <w:iCs w:val="0"/>
                <w:color w:val="000000"/>
                <w:sz w:val="21"/>
                <w:szCs w:val="21"/>
                <w:u w:val="none"/>
              </w:rPr>
            </w:pPr>
          </w:p>
        </w:tc>
      </w:tr>
      <w:tr w14:paraId="7B7B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7233">
            <w:pPr>
              <w:jc w:val="center"/>
              <w:rPr>
                <w:rFonts w:hint="eastAsia" w:ascii="宋体" w:hAnsi="宋体" w:eastAsia="宋体" w:cs="宋体"/>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8B4C">
            <w:pPr>
              <w:jc w:val="center"/>
              <w:rPr>
                <w:rFonts w:hint="eastAsia" w:ascii="宋体" w:hAnsi="宋体" w:eastAsia="宋体" w:cs="宋体"/>
                <w:b/>
                <w:bCs/>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6E8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2000</w:t>
            </w:r>
            <w:r>
              <w:rPr>
                <w:rFonts w:hint="eastAsia" w:ascii="宋体" w:hAnsi="宋体" w:cs="宋体"/>
                <w:i w:val="0"/>
                <w:iCs w:val="0"/>
                <w:color w:val="000000"/>
                <w:kern w:val="0"/>
                <w:sz w:val="21"/>
                <w:szCs w:val="21"/>
                <w:u w:val="none"/>
                <w:lang w:val="en-US" w:eastAsia="zh-CN" w:bidi="ar"/>
              </w:rPr>
              <w:t>±20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B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r>
              <w:rPr>
                <w:rFonts w:hint="eastAsia" w:ascii="宋体" w:hAnsi="宋体" w:cs="宋体"/>
                <w:i w:val="0"/>
                <w:iCs w:val="0"/>
                <w:color w:val="000000"/>
                <w:kern w:val="0"/>
                <w:sz w:val="21"/>
                <w:szCs w:val="21"/>
                <w:u w:val="none"/>
                <w:lang w:val="en-US" w:eastAsia="zh-CN" w:bidi="ar"/>
              </w:rPr>
              <w:t>±20</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D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w:t>
            </w:r>
            <w:r>
              <w:rPr>
                <w:rFonts w:hint="eastAsia" w:ascii="宋体" w:hAnsi="宋体" w:cs="宋体"/>
                <w:i w:val="0"/>
                <w:iCs w:val="0"/>
                <w:color w:val="000000"/>
                <w:kern w:val="0"/>
                <w:sz w:val="21"/>
                <w:szCs w:val="21"/>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5388">
            <w:pPr>
              <w:jc w:val="center"/>
              <w:rPr>
                <w:rFonts w:hint="eastAsia" w:ascii="宋体" w:hAnsi="宋体" w:eastAsia="宋体" w:cs="宋体"/>
                <w:i w:val="0"/>
                <w:iCs w:val="0"/>
                <w:color w:val="000000"/>
                <w:sz w:val="21"/>
                <w:szCs w:val="21"/>
                <w:u w:val="none"/>
              </w:rPr>
            </w:pPr>
          </w:p>
        </w:tc>
      </w:tr>
      <w:tr w14:paraId="1DD0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D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0C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55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一级冷轧钢管；所有金属表面处理剂，经除油、除锈、除脂后，环氧树脂环保塑粉，静电喷塑处理，环保健康0甲醛。</w:t>
            </w:r>
          </w:p>
        </w:tc>
      </w:tr>
      <w:tr w14:paraId="0124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8DF7">
            <w:pPr>
              <w:jc w:val="center"/>
              <w:rPr>
                <w:rFonts w:hint="eastAsia" w:ascii="宋体" w:hAnsi="宋体" w:eastAsia="宋体" w:cs="宋体"/>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47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床腿</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E91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4根，40*40方钢管，壁厚1.2mm</w:t>
            </w:r>
          </w:p>
        </w:tc>
      </w:tr>
      <w:tr w14:paraId="1A0B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8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EA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床框梁</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5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25*50矩形钢管，壁厚1.2mm</w:t>
            </w:r>
          </w:p>
        </w:tc>
      </w:tr>
      <w:tr w14:paraId="0F0E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3262">
            <w:pPr>
              <w:jc w:val="center"/>
              <w:rPr>
                <w:rFonts w:hint="eastAsia" w:ascii="宋体" w:hAnsi="宋体" w:eastAsia="宋体" w:cs="宋体"/>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7A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床带</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B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五根，25*25方钢管，壁厚1.2mm</w:t>
            </w:r>
          </w:p>
        </w:tc>
      </w:tr>
      <w:tr w14:paraId="6D8F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5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4E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床梯</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C377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25*25方钢管，壁厚1.2mm，带防滑钢制脚踏板，表面冲压防滑纹</w:t>
            </w:r>
          </w:p>
        </w:tc>
      </w:tr>
      <w:tr w14:paraId="3FB9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FA11">
            <w:pPr>
              <w:jc w:val="center"/>
              <w:rPr>
                <w:rFonts w:hint="eastAsia" w:ascii="宋体" w:hAnsi="宋体" w:eastAsia="宋体" w:cs="宋体"/>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E4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护栏</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B2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20*20方钢管，壁厚1.2mm</w:t>
            </w:r>
          </w:p>
        </w:tc>
      </w:tr>
      <w:tr w14:paraId="0020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F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1E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床板</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14D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采用15mm厚E1级多层胶合床板</w:t>
            </w:r>
          </w:p>
        </w:tc>
      </w:tr>
      <w:tr w14:paraId="3794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80F4">
            <w:pPr>
              <w:jc w:val="center"/>
              <w:rPr>
                <w:rFonts w:hint="eastAsia" w:ascii="宋体" w:hAnsi="宋体" w:eastAsia="宋体" w:cs="宋体"/>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33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地脚套</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43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采用工程塑料注塑成型，对立柱上下切面做封闭处理。</w:t>
            </w:r>
          </w:p>
        </w:tc>
      </w:tr>
      <w:tr w14:paraId="6DB0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2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3A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工艺构造</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9C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结构稳固，所有金属连接部件满焊，焊点抛光打磨，焊点结实，美观，无尖角毛刺，全插扣式结构，无镙丝固定。</w:t>
            </w:r>
          </w:p>
        </w:tc>
      </w:tr>
      <w:tr w14:paraId="1C72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FB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A90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床垫</w:t>
            </w:r>
          </w:p>
        </w:tc>
        <w:tc>
          <w:tcPr>
            <w:tcW w:w="6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0189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厚度≥8CM，全棕，环保级棕片，面料防水，防滑，透气抗菌，内芯为3E椰棕纤维环保棕块，环保、天然椰棕（提供按检测依据 GB 18587-2001 标准出具的甲醛释放量≤0.050 的检验报告）</w:t>
            </w:r>
          </w:p>
          <w:p w14:paraId="0DEB1E5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主面：选用高纤维毛巾亲肤面料，40针，针缝机简棉，附10mm净味海绵，10mm柔软承压海绵，附环保透气性好的净味无纺布。</w:t>
            </w:r>
          </w:p>
          <w:p w14:paraId="4D75D1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副面选用面料同主面。</w:t>
            </w:r>
          </w:p>
          <w:p w14:paraId="370E04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睡感：软硬度适中、柔软、亲肤。</w:t>
            </w:r>
          </w:p>
          <w:p w14:paraId="6893A0D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床垫需要和病床适配，配套使用。</w:t>
            </w:r>
          </w:p>
        </w:tc>
      </w:tr>
    </w:tbl>
    <w:p w14:paraId="5FDD7C8B"/>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WZkOGI3ZGMzOWY5MmM0MTJkY2I4NmNkZDg2ZmUifQ=="/>
  </w:docVars>
  <w:rsids>
    <w:rsidRoot w:val="275B74EF"/>
    <w:rsid w:val="0650530F"/>
    <w:rsid w:val="076E32FE"/>
    <w:rsid w:val="07D217CC"/>
    <w:rsid w:val="275B74EF"/>
    <w:rsid w:val="283D6242"/>
    <w:rsid w:val="3C6A610B"/>
    <w:rsid w:val="5B9D1C14"/>
    <w:rsid w:val="607E12FB"/>
    <w:rsid w:val="6A91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44"/>
      <w:szCs w:val="24"/>
    </w:rPr>
  </w:style>
  <w:style w:type="paragraph" w:styleId="3">
    <w:name w:val="heading 2"/>
    <w:basedOn w:val="1"/>
    <w:next w:val="1"/>
    <w:link w:val="6"/>
    <w:semiHidden/>
    <w:unhideWhenUsed/>
    <w:qFormat/>
    <w:uiPriority w:val="0"/>
    <w:pPr>
      <w:keepNext/>
      <w:keepLines/>
      <w:spacing w:line="360" w:lineRule="auto"/>
      <w:jc w:val="left"/>
      <w:outlineLvl w:val="1"/>
    </w:pPr>
    <w:rPr>
      <w:rFonts w:ascii="宋体" w:hAnsi="宋体" w:eastAsia="宋体" w:cs="宋体"/>
      <w:b/>
      <w:bCs/>
      <w:sz w:val="32"/>
      <w:szCs w:val="24"/>
      <w:highlight w:val="none"/>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3"/>
    <w:qFormat/>
    <w:uiPriority w:val="0"/>
    <w:rPr>
      <w:rFonts w:ascii="宋体" w:hAnsi="宋体" w:eastAsia="宋体" w:cs="宋体"/>
      <w:b/>
      <w:bCs/>
      <w:kern w:val="2"/>
      <w:sz w:val="32"/>
      <w:szCs w:val="24"/>
      <w:highlight w:val="none"/>
      <w:lang w:val="en-US" w:eastAsia="zh-CN" w:bidi="ar-SA"/>
    </w:rPr>
  </w:style>
  <w:style w:type="character" w:customStyle="1" w:styleId="7">
    <w:name w:val="font61"/>
    <w:basedOn w:val="5"/>
    <w:qFormat/>
    <w:uiPriority w:val="0"/>
    <w:rPr>
      <w:rFonts w:hint="eastAsia" w:ascii="宋体" w:hAnsi="宋体" w:eastAsia="宋体" w:cs="宋体"/>
      <w:color w:val="000000"/>
      <w:sz w:val="28"/>
      <w:szCs w:val="28"/>
      <w:u w:val="none"/>
    </w:rPr>
  </w:style>
  <w:style w:type="character" w:customStyle="1" w:styleId="8">
    <w:name w:val="font91"/>
    <w:basedOn w:val="5"/>
    <w:qFormat/>
    <w:uiPriority w:val="0"/>
    <w:rPr>
      <w:rFonts w:hint="eastAsia" w:ascii="宋体" w:hAnsi="宋体" w:eastAsia="宋体" w:cs="宋体"/>
      <w:color w:val="000000"/>
      <w:sz w:val="28"/>
      <w:szCs w:val="28"/>
      <w:u w:val="none"/>
    </w:rPr>
  </w:style>
  <w:style w:type="character" w:customStyle="1" w:styleId="9">
    <w:name w:val="font51"/>
    <w:basedOn w:val="5"/>
    <w:qFormat/>
    <w:uiPriority w:val="0"/>
    <w:rPr>
      <w:rFonts w:hint="eastAsia" w:ascii="宋体" w:hAnsi="宋体" w:eastAsia="宋体" w:cs="宋体"/>
      <w:color w:val="000000"/>
      <w:sz w:val="28"/>
      <w:szCs w:val="28"/>
      <w:u w:val="none"/>
    </w:rPr>
  </w:style>
  <w:style w:type="character" w:customStyle="1" w:styleId="10">
    <w:name w:val="font81"/>
    <w:basedOn w:val="5"/>
    <w:qFormat/>
    <w:uiPriority w:val="0"/>
    <w:rPr>
      <w:rFonts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2025-01-10T06:12:00Z</dcterms:created>
  <dc:creator>╰LY F╯</dc:creator>
  <cp:lastModifiedBy>╰LY F╯</cp:lastModifiedBy>
  <dcterms:modified xsi:type="dcterms:W3CDTF">2025-01-10T06:13:38Z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0C44C784BC4F4B11939B478CBBBE681C_11</vt:lpwstr>
  </property>
</Properties>
</file>