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4495D3CB">
      <w:pPr>
        <w:spacing w:before="319" w:line="364" w:lineRule="auto"/>
        <w:ind w:left="658" w:right="325"/>
        <w:jc w:val="center"/>
        <w:rPr>
          <w:rFonts w:hint="eastAsia"/>
          <w:b/>
          <w:color w:val="auto"/>
          <w:spacing w:val="81"/>
          <w:sz w:val="36"/>
          <w:szCs w:val="36"/>
          <w:highlight w:val="none"/>
          <w:lang w:eastAsia="zh-CN"/>
        </w:rPr>
      </w:pPr>
      <w:r>
        <w:rPr>
          <w:rFonts w:hint="eastAsia"/>
          <w:b/>
          <w:color w:val="auto"/>
          <w:spacing w:val="81"/>
          <w:sz w:val="36"/>
          <w:szCs w:val="36"/>
          <w:highlight w:val="none"/>
          <w:lang w:eastAsia="zh-CN"/>
        </w:rPr>
        <w:t>淅川县金河镇人民政府2025年淅川县金河镇黄冈社区农用机械采购项目</w:t>
      </w:r>
    </w:p>
    <w:p w14:paraId="00F8AC9D">
      <w:pPr>
        <w:spacing w:before="319" w:line="364" w:lineRule="auto"/>
        <w:ind w:left="658" w:right="325"/>
        <w:jc w:val="center"/>
        <w:rPr>
          <w:rFonts w:hint="eastAsia" w:eastAsia="宋体"/>
          <w:b/>
          <w:color w:val="auto"/>
          <w:sz w:val="48"/>
          <w:highlight w:val="none"/>
          <w:lang w:val="en-US" w:eastAsia="zh-CN"/>
        </w:rPr>
      </w:pPr>
      <w:r>
        <w:rPr>
          <w:b/>
          <w:color w:val="auto"/>
          <w:spacing w:val="81"/>
          <w:sz w:val="84"/>
          <w:szCs w:val="84"/>
          <w:highlight w:val="none"/>
        </w:rPr>
        <w:t>招标文件</w:t>
      </w:r>
    </w:p>
    <w:p w14:paraId="2BD961C7">
      <w:pPr>
        <w:pStyle w:val="17"/>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w:t>
      </w:r>
      <w:r>
        <w:rPr>
          <w:rFonts w:hint="eastAsia"/>
          <w:color w:val="auto"/>
          <w:sz w:val="32"/>
          <w:highlight w:val="none"/>
          <w:lang w:val="en-US" w:eastAsia="zh-CN"/>
        </w:rPr>
        <w:t>5</w:t>
      </w:r>
      <w:r>
        <w:rPr>
          <w:rFonts w:hint="eastAsia"/>
          <w:color w:val="auto"/>
          <w:sz w:val="32"/>
          <w:highlight w:val="none"/>
        </w:rPr>
        <w:t>-</w:t>
      </w:r>
      <w:r>
        <w:rPr>
          <w:rFonts w:hint="eastAsia"/>
          <w:color w:val="auto"/>
          <w:sz w:val="32"/>
          <w:highlight w:val="none"/>
          <w:lang w:val="en-US" w:eastAsia="zh-CN"/>
        </w:rPr>
        <w:t>87</w:t>
      </w:r>
    </w:p>
    <w:p w14:paraId="20EC878B">
      <w:pPr>
        <w:pStyle w:val="4"/>
        <w:rPr>
          <w:rFonts w:hint="eastAsia" w:eastAsiaTheme="minorEastAsia"/>
          <w:color w:val="auto"/>
          <w:highlight w:val="none"/>
          <w:lang w:eastAsia="zh-CN"/>
        </w:rPr>
      </w:pPr>
    </w:p>
    <w:p w14:paraId="774A8369">
      <w:pPr>
        <w:rPr>
          <w:color w:val="auto"/>
          <w:highlight w:val="none"/>
        </w:rPr>
      </w:pPr>
    </w:p>
    <w:p w14:paraId="5A95CB4C">
      <w:pPr>
        <w:pStyle w:val="4"/>
        <w:rPr>
          <w:color w:val="auto"/>
          <w:highlight w:val="none"/>
        </w:rPr>
      </w:pPr>
    </w:p>
    <w:p w14:paraId="44F51B27">
      <w:pPr>
        <w:pStyle w:val="3"/>
        <w:spacing w:before="176" w:line="360" w:lineRule="auto"/>
        <w:rPr>
          <w:rFonts w:hint="eastAsia" w:eastAsia="宋体"/>
          <w:color w:val="auto"/>
          <w:highlight w:val="none"/>
          <w:lang w:eastAsia="zh-CN"/>
        </w:rPr>
      </w:pPr>
      <w:r>
        <w:rPr>
          <w:color w:val="auto"/>
          <w:highlight w:val="none"/>
        </w:rPr>
        <w:t>采购人：</w:t>
      </w:r>
      <w:r>
        <w:rPr>
          <w:rFonts w:hint="eastAsia"/>
          <w:color w:val="auto"/>
          <w:highlight w:val="none"/>
          <w:lang w:eastAsia="zh-CN"/>
        </w:rPr>
        <w:t>淅川县金河镇人民政府</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rFonts w:hint="eastAsia" w:eastAsia="宋体"/>
          <w:b/>
          <w:color w:val="auto"/>
          <w:sz w:val="32"/>
          <w:highlight w:val="none"/>
          <w:lang w:eastAsia="zh-CN"/>
        </w:rPr>
      </w:pPr>
      <w:r>
        <w:rPr>
          <w:b/>
          <w:color w:val="auto"/>
          <w:sz w:val="32"/>
          <w:highlight w:val="none"/>
        </w:rPr>
        <w:t>日期：</w:t>
      </w:r>
      <w:r>
        <w:rPr>
          <w:rFonts w:hint="eastAsia"/>
          <w:b/>
          <w:color w:val="auto"/>
          <w:sz w:val="32"/>
          <w:highlight w:val="none"/>
        </w:rPr>
        <w:t>二零二</w:t>
      </w:r>
      <w:r>
        <w:rPr>
          <w:rFonts w:hint="eastAsia"/>
          <w:b/>
          <w:color w:val="auto"/>
          <w:sz w:val="32"/>
          <w:highlight w:val="none"/>
          <w:lang w:val="en-US" w:eastAsia="zh-CN"/>
        </w:rPr>
        <w:t>五</w:t>
      </w:r>
      <w:r>
        <w:rPr>
          <w:rFonts w:hint="eastAsia"/>
          <w:b/>
          <w:color w:val="auto"/>
          <w:sz w:val="32"/>
          <w:highlight w:val="none"/>
        </w:rPr>
        <w:t>年</w:t>
      </w:r>
      <w:r>
        <w:rPr>
          <w:rFonts w:hint="eastAsia"/>
          <w:b/>
          <w:color w:val="auto"/>
          <w:sz w:val="32"/>
          <w:highlight w:val="none"/>
          <w:lang w:val="en-US" w:eastAsia="zh-CN"/>
        </w:rPr>
        <w:t>五</w:t>
      </w:r>
      <w:r>
        <w:rPr>
          <w:b/>
          <w:color w:val="auto"/>
          <w:sz w:val="32"/>
          <w:highlight w:val="none"/>
        </w:rPr>
        <w:t>月</w:t>
      </w:r>
    </w:p>
    <w:p w14:paraId="2F1A5FAF">
      <w:pPr>
        <w:pStyle w:val="4"/>
        <w:ind w:firstLine="0" w:firstLineChars="0"/>
        <w:rPr>
          <w:color w:val="auto"/>
          <w:highlight w:val="none"/>
        </w:rPr>
      </w:pPr>
    </w:p>
    <w:p w14:paraId="43252E36">
      <w:pPr>
        <w:pStyle w:val="4"/>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4"/>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4"/>
            <w:ind w:firstLine="0" w:firstLineChars="0"/>
            <w:rPr>
              <w:color w:val="auto"/>
              <w:highlight w:val="none"/>
            </w:rPr>
          </w:pPr>
          <w:r>
            <w:rPr>
              <w:rFonts w:hint="eastAsia"/>
              <w:color w:val="auto"/>
              <w:highlight w:val="none"/>
            </w:rPr>
            <w:t>第一章公开招标公告</w:t>
          </w:r>
        </w:p>
        <w:p w14:paraId="29BF77FB">
          <w:pPr>
            <w:pStyle w:val="4"/>
            <w:ind w:firstLine="0" w:firstLineChars="0"/>
            <w:rPr>
              <w:color w:val="auto"/>
              <w:highlight w:val="none"/>
            </w:rPr>
          </w:pPr>
          <w:r>
            <w:rPr>
              <w:rFonts w:hint="eastAsia"/>
              <w:color w:val="auto"/>
              <w:highlight w:val="none"/>
            </w:rPr>
            <w:t>第二章采购需求</w:t>
          </w:r>
        </w:p>
        <w:p w14:paraId="09B24D21">
          <w:pPr>
            <w:pStyle w:val="4"/>
            <w:ind w:firstLine="0" w:firstLineChars="0"/>
            <w:rPr>
              <w:rFonts w:hint="eastAsia" w:eastAsiaTheme="minorEastAsia"/>
              <w:color w:val="auto"/>
              <w:highlight w:val="none"/>
              <w:lang w:eastAsia="zh-CN"/>
            </w:rPr>
          </w:pPr>
          <w:r>
            <w:rPr>
              <w:rFonts w:hint="eastAsia"/>
              <w:color w:val="auto"/>
              <w:highlight w:val="none"/>
            </w:rPr>
            <w:t>第三章投标人须知</w:t>
          </w:r>
        </w:p>
        <w:p w14:paraId="6AF8DF60">
          <w:pPr>
            <w:pStyle w:val="4"/>
            <w:ind w:firstLine="0" w:firstLineChars="0"/>
            <w:rPr>
              <w:rFonts w:hint="eastAsia" w:eastAsiaTheme="minorEastAsia"/>
              <w:color w:val="auto"/>
              <w:highlight w:val="none"/>
              <w:lang w:eastAsia="zh-CN"/>
            </w:rPr>
          </w:pPr>
          <w:r>
            <w:rPr>
              <w:rFonts w:hint="eastAsia"/>
              <w:color w:val="auto"/>
              <w:highlight w:val="none"/>
            </w:rPr>
            <w:t>第四章开、评标程序、评标方法和评标标准</w:t>
          </w:r>
        </w:p>
        <w:p w14:paraId="1EABBD54">
          <w:pPr>
            <w:pStyle w:val="4"/>
            <w:ind w:firstLine="0" w:firstLineChars="0"/>
            <w:rPr>
              <w:color w:val="auto"/>
              <w:highlight w:val="none"/>
            </w:rPr>
          </w:pPr>
          <w:r>
            <w:rPr>
              <w:rFonts w:hint="eastAsia"/>
              <w:color w:val="auto"/>
              <w:highlight w:val="none"/>
            </w:rPr>
            <w:t>第五章政府采购合同（草案）</w:t>
          </w:r>
        </w:p>
        <w:p w14:paraId="3CE44190">
          <w:pPr>
            <w:pStyle w:val="4"/>
            <w:ind w:firstLine="0" w:firstLineChars="0"/>
            <w:rPr>
              <w:color w:val="auto"/>
              <w:highlight w:val="none"/>
            </w:rPr>
          </w:pPr>
          <w:r>
            <w:rPr>
              <w:rFonts w:hint="eastAsia"/>
              <w:color w:val="auto"/>
              <w:highlight w:val="none"/>
            </w:rPr>
            <w:t>第六章投标文件格式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4"/>
        <w:rPr>
          <w:color w:val="auto"/>
          <w:highlight w:val="none"/>
        </w:rPr>
      </w:pPr>
    </w:p>
    <w:p w14:paraId="150E0DBF">
      <w:pPr>
        <w:pStyle w:val="4"/>
        <w:rPr>
          <w:color w:val="auto"/>
          <w:highlight w:val="none"/>
        </w:rPr>
      </w:pPr>
    </w:p>
    <w:p w14:paraId="54C84E1D">
      <w:pPr>
        <w:pStyle w:val="4"/>
        <w:rPr>
          <w:color w:val="auto"/>
          <w:highlight w:val="none"/>
        </w:rPr>
      </w:pPr>
    </w:p>
    <w:p w14:paraId="686CE2F6">
      <w:pPr>
        <w:pStyle w:val="4"/>
        <w:rPr>
          <w:color w:val="auto"/>
          <w:highlight w:val="none"/>
        </w:rPr>
      </w:pPr>
    </w:p>
    <w:p w14:paraId="651D3EAC">
      <w:pPr>
        <w:pStyle w:val="4"/>
        <w:rPr>
          <w:color w:val="auto"/>
          <w:highlight w:val="none"/>
        </w:rPr>
      </w:pPr>
    </w:p>
    <w:p w14:paraId="061EB5BC">
      <w:pPr>
        <w:pStyle w:val="4"/>
        <w:rPr>
          <w:color w:val="auto"/>
          <w:highlight w:val="none"/>
        </w:rPr>
      </w:pPr>
    </w:p>
    <w:p w14:paraId="5CC0E9D3">
      <w:pPr>
        <w:pStyle w:val="4"/>
        <w:rPr>
          <w:color w:val="auto"/>
          <w:highlight w:val="none"/>
        </w:rPr>
      </w:pPr>
    </w:p>
    <w:p w14:paraId="5ECE9870">
      <w:pPr>
        <w:pStyle w:val="4"/>
        <w:rPr>
          <w:color w:val="auto"/>
          <w:highlight w:val="none"/>
        </w:rPr>
      </w:pPr>
    </w:p>
    <w:p w14:paraId="36E841C2">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1FE2C3A6">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2"/>
        <w:ind w:firstLine="3534" w:firstLineChars="800"/>
        <w:jc w:val="both"/>
        <w:rPr>
          <w:color w:val="auto"/>
          <w:highlight w:val="none"/>
        </w:rPr>
      </w:pPr>
    </w:p>
    <w:p w14:paraId="113E9D2A">
      <w:pPr>
        <w:pStyle w:val="3"/>
        <w:spacing w:before="67"/>
        <w:ind w:left="0"/>
        <w:jc w:val="center"/>
        <w:rPr>
          <w:rFonts w:hint="eastAsia"/>
          <w:color w:val="auto"/>
          <w:highlight w:val="none"/>
          <w:lang w:eastAsia="zh-CN"/>
        </w:rPr>
      </w:pPr>
      <w:bookmarkStart w:id="2" w:name="_bookmark1"/>
      <w:bookmarkEnd w:id="2"/>
      <w:bookmarkStart w:id="3" w:name="OLE_LINK3"/>
      <w:bookmarkStart w:id="4" w:name="OLE_LINK4"/>
      <w:bookmarkStart w:id="5" w:name="OLE_LINK2"/>
      <w:bookmarkStart w:id="6" w:name="OLE_LINK1"/>
      <w:r>
        <w:rPr>
          <w:rFonts w:hint="eastAsia"/>
          <w:color w:val="auto"/>
          <w:highlight w:val="none"/>
          <w:lang w:eastAsia="zh-CN"/>
        </w:rPr>
        <w:t>淅川县金河镇人民政府</w:t>
      </w:r>
    </w:p>
    <w:p w14:paraId="4618D2D2">
      <w:pPr>
        <w:pStyle w:val="3"/>
        <w:spacing w:before="67"/>
        <w:ind w:left="0"/>
        <w:jc w:val="center"/>
        <w:rPr>
          <w:rFonts w:hint="eastAsia" w:eastAsia="宋体"/>
          <w:color w:val="auto"/>
          <w:highlight w:val="none"/>
          <w:lang w:eastAsia="zh-CN"/>
        </w:rPr>
      </w:pPr>
      <w:r>
        <w:rPr>
          <w:rFonts w:hint="eastAsia"/>
          <w:color w:val="auto"/>
          <w:highlight w:val="none"/>
          <w:lang w:eastAsia="zh-CN"/>
        </w:rPr>
        <w:t>2025年淅川县金河镇黄冈社区农用机械采购项目</w:t>
      </w:r>
    </w:p>
    <w:p w14:paraId="7E345770">
      <w:pPr>
        <w:pStyle w:val="3"/>
        <w:spacing w:before="67"/>
        <w:ind w:left="0"/>
        <w:jc w:val="center"/>
        <w:rPr>
          <w:color w:val="auto"/>
          <w:highlight w:val="none"/>
        </w:rPr>
      </w:pPr>
      <w:r>
        <w:rPr>
          <w:rFonts w:hint="eastAsia"/>
          <w:color w:val="auto"/>
          <w:highlight w:val="none"/>
        </w:rPr>
        <w:t>公开</w:t>
      </w:r>
      <w:r>
        <w:rPr>
          <w:color w:val="auto"/>
          <w:highlight w:val="none"/>
        </w:rPr>
        <w:t>招标公告</w:t>
      </w:r>
    </w:p>
    <w:p w14:paraId="4416B5DA">
      <w:pPr>
        <w:spacing w:line="520" w:lineRule="exact"/>
        <w:ind w:firstLine="480" w:firstLineChars="200"/>
        <w:rPr>
          <w:rFonts w:hint="eastAsia"/>
          <w:color w:val="auto"/>
          <w:sz w:val="24"/>
          <w:szCs w:val="21"/>
          <w:highlight w:val="none"/>
        </w:rPr>
      </w:pPr>
      <w:r>
        <w:rPr>
          <w:rFonts w:hint="eastAsia"/>
          <w:color w:val="auto"/>
          <w:sz w:val="24"/>
          <w:szCs w:val="21"/>
          <w:highlight w:val="none"/>
          <w:lang w:eastAsia="zh-CN"/>
        </w:rPr>
        <w:t>淅川县金河镇人民政府2025年淅川县金河镇黄冈社区农用机械采购项目</w:t>
      </w:r>
      <w:r>
        <w:rPr>
          <w:rFonts w:hint="eastAsia"/>
          <w:color w:val="auto"/>
          <w:sz w:val="24"/>
          <w:szCs w:val="21"/>
          <w:highlight w:val="none"/>
        </w:rPr>
        <w:t>的潜在投标人应在南阳市公共资源交易中心电子交易系统淅川区（</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rFonts w:hint="eastAsia"/>
          <w:color w:val="auto"/>
          <w:sz w:val="24"/>
          <w:szCs w:val="21"/>
          <w:highlight w:val="none"/>
          <w:lang w:eastAsia="zh-CN"/>
        </w:rPr>
        <w:t>http://ggzyjy.xichuan.gov.cn</w:t>
      </w:r>
      <w:r>
        <w:rPr>
          <w:rFonts w:hint="eastAsia"/>
          <w:color w:val="auto"/>
          <w:sz w:val="24"/>
          <w:szCs w:val="21"/>
          <w:highlight w:val="none"/>
        </w:rPr>
        <w:t>）获取招标文件，并于</w:t>
      </w:r>
    </w:p>
    <w:p w14:paraId="14A729D6">
      <w:pPr>
        <w:spacing w:line="520" w:lineRule="exact"/>
        <w:ind w:firstLine="480" w:firstLineChars="200"/>
        <w:rPr>
          <w:color w:val="auto"/>
          <w:szCs w:val="21"/>
          <w:highlight w:val="none"/>
        </w:rPr>
      </w:pPr>
      <w:r>
        <w:rPr>
          <w:rFonts w:hint="eastAsia"/>
          <w:color w:val="auto"/>
          <w:sz w:val="24"/>
          <w:szCs w:val="21"/>
          <w:highlight w:val="none"/>
          <w:lang w:val="en-US" w:eastAsia="zh-CN"/>
        </w:rPr>
        <w:t>2025年</w:t>
      </w:r>
      <w:r>
        <w:rPr>
          <w:rFonts w:hint="eastAsia"/>
          <w:color w:val="auto"/>
          <w:sz w:val="24"/>
          <w:szCs w:val="21"/>
          <w:highlight w:val="none"/>
        </w:rPr>
        <w:fldChar w:fldCharType="end"/>
      </w:r>
      <w:r>
        <w:rPr>
          <w:rFonts w:hint="eastAsia"/>
          <w:color w:val="auto"/>
          <w:sz w:val="24"/>
          <w:szCs w:val="21"/>
          <w:highlight w:val="none"/>
          <w:lang w:val="en-US" w:eastAsia="zh-CN"/>
        </w:rPr>
        <w:t>6</w:t>
      </w:r>
      <w:r>
        <w:rPr>
          <w:rFonts w:hint="eastAsia"/>
          <w:color w:val="auto"/>
          <w:sz w:val="24"/>
          <w:szCs w:val="21"/>
          <w:highlight w:val="none"/>
        </w:rPr>
        <w:t>月</w:t>
      </w:r>
      <w:r>
        <w:rPr>
          <w:rFonts w:hint="eastAsia"/>
          <w:color w:val="auto"/>
          <w:sz w:val="24"/>
          <w:szCs w:val="21"/>
          <w:highlight w:val="none"/>
          <w:lang w:val="en-US" w:eastAsia="zh-CN"/>
        </w:rPr>
        <w:t>20</w:t>
      </w:r>
      <w:r>
        <w:rPr>
          <w:rFonts w:hint="eastAsia"/>
          <w:color w:val="auto"/>
          <w:sz w:val="24"/>
          <w:szCs w:val="21"/>
          <w:highlight w:val="none"/>
        </w:rPr>
        <w:t>日</w:t>
      </w:r>
      <w:r>
        <w:rPr>
          <w:rFonts w:hint="eastAsia"/>
          <w:color w:val="auto"/>
          <w:sz w:val="24"/>
          <w:szCs w:val="21"/>
          <w:highlight w:val="none"/>
          <w:lang w:val="en-US" w:eastAsia="zh-CN"/>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0分（北京时间）前递交投标文件。</w:t>
      </w:r>
    </w:p>
    <w:p w14:paraId="4B773D44">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71CCD49F">
      <w:pPr>
        <w:spacing w:line="520" w:lineRule="exact"/>
        <w:ind w:firstLine="480" w:firstLineChars="200"/>
        <w:rPr>
          <w:rFonts w:hint="default" w:eastAsia="宋体"/>
          <w:color w:val="auto"/>
          <w:lang w:val="en-US" w:eastAsia="zh-CN"/>
        </w:rPr>
      </w:pPr>
      <w:r>
        <w:rPr>
          <w:rFonts w:hint="eastAsia"/>
          <w:color w:val="auto"/>
          <w:sz w:val="24"/>
          <w:szCs w:val="21"/>
          <w:highlight w:val="none"/>
        </w:rPr>
        <w:t>1、项目编号：淅财招标采购-202</w:t>
      </w:r>
      <w:r>
        <w:rPr>
          <w:rFonts w:hint="eastAsia"/>
          <w:color w:val="auto"/>
          <w:sz w:val="24"/>
          <w:szCs w:val="21"/>
          <w:highlight w:val="none"/>
          <w:lang w:val="en-US" w:eastAsia="zh-CN"/>
        </w:rPr>
        <w:t>5</w:t>
      </w:r>
      <w:r>
        <w:rPr>
          <w:rFonts w:hint="eastAsia"/>
          <w:color w:val="auto"/>
          <w:sz w:val="24"/>
          <w:szCs w:val="21"/>
          <w:highlight w:val="none"/>
        </w:rPr>
        <w:t>-</w:t>
      </w:r>
      <w:r>
        <w:rPr>
          <w:rFonts w:hint="eastAsia"/>
          <w:color w:val="auto"/>
          <w:sz w:val="24"/>
          <w:szCs w:val="21"/>
          <w:highlight w:val="none"/>
          <w:lang w:val="en-US" w:eastAsia="zh-CN"/>
        </w:rPr>
        <w:t>87</w:t>
      </w:r>
    </w:p>
    <w:p w14:paraId="2D629BA8">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淅川县金河镇人民政府2025年淅川县金河镇黄冈社区农用机械采购项目</w:t>
      </w:r>
    </w:p>
    <w:p w14:paraId="01C97EBD">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14:paraId="6CD260D7">
      <w:pPr>
        <w:spacing w:line="520" w:lineRule="exact"/>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4、</w:t>
      </w:r>
      <w:r>
        <w:rPr>
          <w:rFonts w:hint="eastAsia"/>
          <w:color w:val="auto"/>
          <w:sz w:val="24"/>
          <w:szCs w:val="21"/>
          <w:highlight w:val="none"/>
        </w:rPr>
        <w:t>预算金额：</w:t>
      </w:r>
      <w:r>
        <w:rPr>
          <w:rFonts w:hint="eastAsia"/>
          <w:color w:val="auto"/>
          <w:sz w:val="24"/>
          <w:szCs w:val="21"/>
          <w:highlight w:val="none"/>
          <w:lang w:val="en-US" w:eastAsia="zh-CN"/>
        </w:rPr>
        <w:t>448000元；</w:t>
      </w:r>
    </w:p>
    <w:tbl>
      <w:tblPr>
        <w:tblStyle w:val="12"/>
        <w:tblpPr w:leftFromText="180" w:rightFromText="180" w:vertAnchor="text" w:horzAnchor="page" w:tblpX="1630" w:tblpY="177"/>
        <w:tblOverlap w:val="never"/>
        <w:tblW w:w="458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4"/>
        <w:gridCol w:w="1254"/>
        <w:gridCol w:w="4142"/>
        <w:gridCol w:w="1371"/>
        <w:gridCol w:w="1495"/>
      </w:tblGrid>
      <w:tr w14:paraId="6B6F8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473" w:type="pct"/>
            <w:shd w:val="clear" w:color="auto" w:fill="auto"/>
            <w:vAlign w:val="center"/>
          </w:tcPr>
          <w:p w14:paraId="194DAFD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序号</w:t>
            </w:r>
          </w:p>
        </w:tc>
        <w:tc>
          <w:tcPr>
            <w:tcW w:w="686" w:type="pct"/>
            <w:shd w:val="clear" w:color="auto" w:fill="auto"/>
            <w:vAlign w:val="center"/>
          </w:tcPr>
          <w:p w14:paraId="30C9CB4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包号</w:t>
            </w:r>
          </w:p>
        </w:tc>
        <w:tc>
          <w:tcPr>
            <w:tcW w:w="2269" w:type="pct"/>
            <w:shd w:val="clear" w:color="auto" w:fill="auto"/>
            <w:vAlign w:val="center"/>
          </w:tcPr>
          <w:p w14:paraId="760E5FB9">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包名称</w:t>
            </w:r>
          </w:p>
        </w:tc>
        <w:tc>
          <w:tcPr>
            <w:tcW w:w="751" w:type="pct"/>
            <w:shd w:val="clear" w:color="auto" w:fill="auto"/>
            <w:vAlign w:val="center"/>
          </w:tcPr>
          <w:p w14:paraId="2009211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包预算（元）</w:t>
            </w:r>
          </w:p>
        </w:tc>
        <w:tc>
          <w:tcPr>
            <w:tcW w:w="819" w:type="pct"/>
            <w:shd w:val="clear" w:color="auto" w:fill="auto"/>
            <w:vAlign w:val="center"/>
          </w:tcPr>
          <w:p w14:paraId="75D3A6DF">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包最高限（元）</w:t>
            </w:r>
          </w:p>
        </w:tc>
      </w:tr>
      <w:tr w14:paraId="3AFB6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93" w:hRule="atLeast"/>
        </w:trPr>
        <w:tc>
          <w:tcPr>
            <w:tcW w:w="473" w:type="pct"/>
            <w:shd w:val="clear" w:color="auto" w:fill="auto"/>
            <w:vAlign w:val="center"/>
          </w:tcPr>
          <w:p w14:paraId="32FF05E3">
            <w:pPr>
              <w:spacing w:line="520" w:lineRule="exact"/>
              <w:ind w:firstLine="220" w:firstLineChars="100"/>
              <w:jc w:val="center"/>
              <w:rPr>
                <w:color w:val="auto"/>
                <w:szCs w:val="21"/>
                <w:highlight w:val="none"/>
              </w:rPr>
            </w:pPr>
            <w:r>
              <w:rPr>
                <w:color w:val="auto"/>
                <w:szCs w:val="21"/>
                <w:highlight w:val="none"/>
                <w:lang w:val="en-US"/>
              </w:rPr>
              <w:t>1</w:t>
            </w:r>
          </w:p>
        </w:tc>
        <w:tc>
          <w:tcPr>
            <w:tcW w:w="686" w:type="pct"/>
            <w:shd w:val="clear" w:color="auto" w:fill="auto"/>
            <w:vAlign w:val="center"/>
          </w:tcPr>
          <w:p w14:paraId="4BDDFDC7">
            <w:pPr>
              <w:spacing w:line="520" w:lineRule="exact"/>
              <w:jc w:val="center"/>
              <w:rPr>
                <w:rFonts w:hint="default" w:eastAsia="宋体"/>
                <w:color w:val="auto"/>
                <w:szCs w:val="21"/>
                <w:highlight w:val="none"/>
                <w:lang w:val="en-US" w:eastAsia="zh-CN"/>
              </w:rPr>
            </w:pPr>
            <w:r>
              <w:rPr>
                <w:rFonts w:hint="eastAsia"/>
                <w:color w:val="auto"/>
                <w:szCs w:val="21"/>
                <w:highlight w:val="none"/>
                <w:lang w:val="en-US"/>
              </w:rPr>
              <w:t>淅财招标采购-202</w:t>
            </w:r>
            <w:r>
              <w:rPr>
                <w:rFonts w:hint="eastAsia"/>
                <w:color w:val="auto"/>
                <w:szCs w:val="21"/>
                <w:highlight w:val="none"/>
                <w:lang w:val="en-US" w:eastAsia="zh-CN"/>
              </w:rPr>
              <w:t>5-87-1</w:t>
            </w:r>
          </w:p>
        </w:tc>
        <w:tc>
          <w:tcPr>
            <w:tcW w:w="2269" w:type="pct"/>
            <w:shd w:val="clear" w:color="auto" w:fill="auto"/>
            <w:vAlign w:val="center"/>
          </w:tcPr>
          <w:p w14:paraId="6BD21477">
            <w:pPr>
              <w:spacing w:line="520" w:lineRule="exact"/>
              <w:jc w:val="left"/>
              <w:rPr>
                <w:color w:val="auto"/>
                <w:szCs w:val="21"/>
                <w:highlight w:val="none"/>
              </w:rPr>
            </w:pPr>
            <w:r>
              <w:rPr>
                <w:rFonts w:hint="eastAsia"/>
                <w:color w:val="auto"/>
                <w:sz w:val="20"/>
                <w:szCs w:val="18"/>
                <w:highlight w:val="none"/>
                <w:lang w:eastAsia="zh-CN"/>
              </w:rPr>
              <w:t>淅川县金河镇人民政府2025年淅川县金河镇黄冈社区农用机械采购项目</w:t>
            </w:r>
          </w:p>
        </w:tc>
        <w:tc>
          <w:tcPr>
            <w:tcW w:w="751" w:type="pct"/>
            <w:shd w:val="clear" w:color="auto" w:fill="auto"/>
            <w:vAlign w:val="center"/>
          </w:tcPr>
          <w:p w14:paraId="1417CAC3">
            <w:pPr>
              <w:spacing w:line="520" w:lineRule="exact"/>
              <w:ind w:left="0" w:leftChars="0"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448000</w:t>
            </w:r>
          </w:p>
        </w:tc>
        <w:tc>
          <w:tcPr>
            <w:tcW w:w="819" w:type="pct"/>
            <w:shd w:val="clear" w:color="auto" w:fill="auto"/>
            <w:vAlign w:val="center"/>
          </w:tcPr>
          <w:p w14:paraId="5FCEC71E">
            <w:pPr>
              <w:spacing w:line="520" w:lineRule="exact"/>
              <w:ind w:firstLine="220" w:firstLineChars="100"/>
              <w:jc w:val="center"/>
              <w:rPr>
                <w:rFonts w:hint="default" w:eastAsia="宋体"/>
                <w:color w:val="auto"/>
                <w:szCs w:val="21"/>
                <w:highlight w:val="none"/>
                <w:lang w:val="en-US" w:eastAsia="zh-CN"/>
              </w:rPr>
            </w:pPr>
            <w:r>
              <w:rPr>
                <w:rFonts w:hint="eastAsia"/>
                <w:color w:val="auto"/>
                <w:szCs w:val="21"/>
                <w:highlight w:val="none"/>
                <w:lang w:val="en-US" w:eastAsia="zh-CN"/>
              </w:rPr>
              <w:t>448000</w:t>
            </w:r>
          </w:p>
        </w:tc>
      </w:tr>
    </w:tbl>
    <w:p w14:paraId="3CD307B9">
      <w:pPr>
        <w:numPr>
          <w:ilvl w:val="0"/>
          <w:numId w:val="0"/>
        </w:numPr>
        <w:spacing w:line="520" w:lineRule="exact"/>
        <w:rPr>
          <w:rFonts w:hint="eastAsia"/>
          <w:color w:val="auto"/>
          <w:sz w:val="24"/>
          <w:szCs w:val="21"/>
          <w:highlight w:val="none"/>
        </w:rPr>
      </w:pPr>
      <w:r>
        <w:rPr>
          <w:rFonts w:hint="eastAsia"/>
          <w:color w:val="auto"/>
          <w:sz w:val="24"/>
          <w:szCs w:val="21"/>
          <w:highlight w:val="none"/>
          <w:lang w:val="en-US" w:eastAsia="zh-CN"/>
        </w:rPr>
        <w:t>5、</w:t>
      </w:r>
      <w:r>
        <w:rPr>
          <w:rFonts w:hint="eastAsia"/>
          <w:color w:val="auto"/>
          <w:sz w:val="24"/>
          <w:szCs w:val="21"/>
          <w:highlight w:val="none"/>
        </w:rPr>
        <w:t>采购需求（包括但不限于标的的名称、数量、简要技术需求或服务要求等采购范围）：</w:t>
      </w:r>
    </w:p>
    <w:p w14:paraId="0C36AC9A">
      <w:pPr>
        <w:pStyle w:val="10"/>
        <w:ind w:left="0" w:leftChars="0" w:firstLine="576" w:firstLineChars="200"/>
        <w:rPr>
          <w:b w:val="0"/>
          <w:bCs/>
          <w:color w:val="auto"/>
          <w:sz w:val="24"/>
          <w:szCs w:val="21"/>
          <w:highlight w:val="none"/>
        </w:rPr>
      </w:pPr>
      <w:r>
        <w:rPr>
          <w:b w:val="0"/>
          <w:bCs/>
          <w:color w:val="auto"/>
          <w:sz w:val="24"/>
          <w:szCs w:val="21"/>
          <w:highlight w:val="none"/>
        </w:rPr>
        <w:t>5.1、招标内容：</w:t>
      </w:r>
      <w:r>
        <w:rPr>
          <w:rFonts w:hint="eastAsia" w:ascii="Times New Roman" w:hAnsi="Times New Roman" w:cs="宋体" w:eastAsiaTheme="minorEastAsia"/>
          <w:b w:val="0"/>
          <w:bCs/>
          <w:color w:val="auto"/>
          <w:spacing w:val="24"/>
          <w:sz w:val="24"/>
          <w:szCs w:val="24"/>
          <w:highlight w:val="none"/>
          <w:lang w:val="en-US" w:eastAsia="zh-CN" w:bidi="ar-SA"/>
        </w:rPr>
        <w:t>拖拉机一台（旋耕机）（含起垄、播种、犁地、拾草）、履带式联合收割机一台、150马力拖板车一辆，用于产业发展。</w:t>
      </w:r>
      <w:r>
        <w:rPr>
          <w:rFonts w:hint="eastAsia" w:ascii="宋体" w:hAnsi="宋体" w:eastAsia="宋体" w:cs="宋体"/>
          <w:b w:val="0"/>
          <w:bCs/>
          <w:color w:val="auto"/>
          <w:sz w:val="24"/>
          <w:szCs w:val="24"/>
          <w:highlight w:val="none"/>
          <w:lang w:eastAsia="zh-CN"/>
        </w:rPr>
        <w:t>（详见“第二章采购需求”）</w:t>
      </w:r>
    </w:p>
    <w:p w14:paraId="0A2B20D8">
      <w:pPr>
        <w:spacing w:line="520" w:lineRule="exact"/>
        <w:ind w:firstLine="480" w:firstLineChars="200"/>
        <w:rPr>
          <w:rFonts w:hint="eastAsia"/>
          <w:color w:val="auto"/>
          <w:highlight w:val="none"/>
          <w:lang w:eastAsia="zh-CN"/>
        </w:rPr>
      </w:pPr>
      <w:r>
        <w:rPr>
          <w:color w:val="auto"/>
          <w:sz w:val="24"/>
          <w:szCs w:val="21"/>
          <w:highlight w:val="none"/>
        </w:rPr>
        <w:t>5.2、标段划分：</w:t>
      </w:r>
      <w:r>
        <w:rPr>
          <w:rFonts w:hint="eastAsia"/>
          <w:color w:val="auto"/>
          <w:sz w:val="24"/>
          <w:szCs w:val="21"/>
          <w:highlight w:val="none"/>
          <w:lang w:val="en-US" w:eastAsia="zh-CN"/>
        </w:rPr>
        <w:t>1</w:t>
      </w:r>
      <w:r>
        <w:rPr>
          <w:color w:val="auto"/>
          <w:sz w:val="24"/>
          <w:szCs w:val="21"/>
          <w:highlight w:val="none"/>
        </w:rPr>
        <w:t>个标段</w:t>
      </w:r>
      <w:r>
        <w:rPr>
          <w:rFonts w:hint="eastAsia"/>
          <w:color w:val="auto"/>
          <w:sz w:val="24"/>
          <w:szCs w:val="21"/>
          <w:highlight w:val="none"/>
          <w:lang w:eastAsia="zh-CN"/>
        </w:rPr>
        <w:t>：</w:t>
      </w:r>
    </w:p>
    <w:p w14:paraId="504680A2">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w:t>
      </w:r>
      <w:r>
        <w:rPr>
          <w:rFonts w:hint="eastAsia"/>
          <w:color w:val="auto"/>
          <w:sz w:val="24"/>
          <w:szCs w:val="21"/>
          <w:highlight w:val="none"/>
        </w:rPr>
        <w:t>；</w:t>
      </w:r>
    </w:p>
    <w:p w14:paraId="285A4ECB">
      <w:pPr>
        <w:spacing w:line="520" w:lineRule="exact"/>
        <w:ind w:firstLine="480" w:firstLineChars="200"/>
        <w:rPr>
          <w:color w:val="auto"/>
          <w:sz w:val="24"/>
          <w:szCs w:val="21"/>
          <w:highlight w:val="none"/>
        </w:rPr>
      </w:pPr>
      <w:r>
        <w:rPr>
          <w:color w:val="auto"/>
          <w:sz w:val="24"/>
          <w:szCs w:val="21"/>
          <w:highlight w:val="none"/>
        </w:rPr>
        <w:t>5.4、资金来源：财政</w:t>
      </w:r>
      <w:r>
        <w:rPr>
          <w:rFonts w:hint="eastAsia"/>
          <w:color w:val="auto"/>
          <w:sz w:val="24"/>
          <w:szCs w:val="21"/>
          <w:highlight w:val="none"/>
        </w:rPr>
        <w:t>涉农统筹整合</w:t>
      </w:r>
      <w:r>
        <w:rPr>
          <w:color w:val="auto"/>
          <w:sz w:val="24"/>
          <w:szCs w:val="21"/>
          <w:highlight w:val="none"/>
        </w:rPr>
        <w:t>资金</w:t>
      </w:r>
    </w:p>
    <w:p w14:paraId="47284813">
      <w:pPr>
        <w:spacing w:line="520" w:lineRule="exact"/>
        <w:ind w:firstLine="480" w:firstLineChars="200"/>
        <w:rPr>
          <w:rFonts w:hint="eastAsia" w:ascii="宋体" w:hAnsi="宋体" w:eastAsia="宋体" w:cs="宋体"/>
          <w:color w:val="auto"/>
          <w:sz w:val="24"/>
          <w:szCs w:val="24"/>
          <w:highlight w:val="none"/>
          <w:lang w:eastAsia="zh-CN"/>
        </w:rPr>
      </w:pPr>
      <w:r>
        <w:rPr>
          <w:color w:val="auto"/>
          <w:sz w:val="24"/>
          <w:szCs w:val="21"/>
          <w:highlight w:val="none"/>
        </w:rPr>
        <w:t>6</w:t>
      </w:r>
      <w:r>
        <w:rPr>
          <w:rFonts w:hint="eastAsia"/>
          <w:color w:val="auto"/>
          <w:sz w:val="24"/>
          <w:szCs w:val="21"/>
          <w:highlight w:val="none"/>
        </w:rPr>
        <w:t>、合同履行期限：</w:t>
      </w:r>
      <w:r>
        <w:rPr>
          <w:rFonts w:hint="eastAsia" w:cs="宋体"/>
          <w:color w:val="auto"/>
          <w:sz w:val="24"/>
          <w:szCs w:val="24"/>
          <w:highlight w:val="none"/>
          <w:lang w:eastAsia="zh-CN"/>
        </w:rPr>
        <w:t>合同签订后10日历天内</w:t>
      </w:r>
    </w:p>
    <w:p w14:paraId="5F78BE42">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14:paraId="280E73B9">
      <w:pPr>
        <w:spacing w:line="520" w:lineRule="exact"/>
        <w:ind w:firstLine="480" w:firstLineChars="200"/>
        <w:rPr>
          <w:color w:val="auto"/>
          <w:sz w:val="24"/>
          <w:szCs w:val="21"/>
          <w:highlight w:val="none"/>
        </w:rPr>
      </w:pPr>
      <w:r>
        <w:rPr>
          <w:color w:val="auto"/>
          <w:sz w:val="24"/>
          <w:szCs w:val="21"/>
          <w:highlight w:val="none"/>
        </w:rPr>
        <w:t>8、是否接受进口产品：否</w:t>
      </w:r>
    </w:p>
    <w:p w14:paraId="1C9E06F3">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是</w:t>
      </w:r>
    </w:p>
    <w:p w14:paraId="351FEE14">
      <w:pPr>
        <w:tabs>
          <w:tab w:val="left" w:pos="1191"/>
        </w:tabs>
        <w:spacing w:line="480" w:lineRule="exact"/>
        <w:ind w:left="561" w:hanging="561" w:hangingChars="254"/>
        <w:rPr>
          <w:rFonts w:hint="eastAsia" w:eastAsia="宋体"/>
          <w:color w:val="auto"/>
          <w:szCs w:val="21"/>
          <w:highlight w:val="none"/>
          <w:lang w:eastAsia="zh-CN"/>
        </w:rPr>
      </w:pPr>
      <w:r>
        <w:rPr>
          <w:rFonts w:hint="eastAsia"/>
          <w:b/>
          <w:bCs/>
          <w:color w:val="auto"/>
          <w:szCs w:val="21"/>
          <w:highlight w:val="none"/>
        </w:rPr>
        <w:t>二、申请人资格要求：</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CA91B">
            <w:pPr>
              <w:spacing w:line="520" w:lineRule="exact"/>
              <w:ind w:firstLine="480" w:firstLineChars="200"/>
              <w:rPr>
                <w:rFonts w:hint="eastAsia"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3.2、根据《关于在政府采购活动中查询及使用信用记录有关问题的通知》(财库[2016]125号)的规定，对列入失信被执行人、重大税收违法失信主体、政府采购严重违法失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20DCEE63">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C056D5C">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3.4、本项目不接受联合体投标，不得分包转包。</w:t>
            </w:r>
          </w:p>
          <w:p w14:paraId="25FBE3C9">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5B8E5E83">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5</w:t>
      </w:r>
      <w:r>
        <w:rPr>
          <w:rFonts w:hint="eastAsia"/>
          <w:color w:val="auto"/>
          <w:sz w:val="24"/>
          <w:szCs w:val="21"/>
          <w:highlight w:val="none"/>
        </w:rPr>
        <w:t>月</w:t>
      </w:r>
      <w:r>
        <w:rPr>
          <w:rFonts w:hint="eastAsia"/>
          <w:color w:val="auto"/>
          <w:sz w:val="24"/>
          <w:szCs w:val="21"/>
          <w:highlight w:val="none"/>
          <w:lang w:val="en-US" w:eastAsia="zh-CN"/>
        </w:rPr>
        <w:t>28</w:t>
      </w:r>
      <w:r>
        <w:rPr>
          <w:rFonts w:hint="eastAsia"/>
          <w:color w:val="auto"/>
          <w:sz w:val="24"/>
          <w:szCs w:val="21"/>
          <w:highlight w:val="none"/>
        </w:rPr>
        <w:t>日至</w:t>
      </w:r>
      <w:r>
        <w:rPr>
          <w:rFonts w:hint="eastAsia"/>
          <w:color w:val="auto"/>
          <w:sz w:val="24"/>
          <w:szCs w:val="21"/>
          <w:highlight w:val="none"/>
          <w:lang w:eastAsia="zh-CN"/>
        </w:rPr>
        <w:t>2025年</w:t>
      </w:r>
      <w:r>
        <w:rPr>
          <w:rFonts w:hint="eastAsia"/>
          <w:color w:val="auto"/>
          <w:sz w:val="24"/>
          <w:szCs w:val="21"/>
          <w:highlight w:val="none"/>
          <w:lang w:val="en-US" w:eastAsia="zh-CN"/>
        </w:rPr>
        <w:t>6</w:t>
      </w:r>
      <w:r>
        <w:rPr>
          <w:rFonts w:hint="eastAsia"/>
          <w:color w:val="auto"/>
          <w:sz w:val="24"/>
          <w:szCs w:val="21"/>
          <w:highlight w:val="none"/>
        </w:rPr>
        <w:t>月</w:t>
      </w:r>
      <w:r>
        <w:rPr>
          <w:rFonts w:hint="eastAsia"/>
          <w:color w:val="auto"/>
          <w:sz w:val="24"/>
          <w:szCs w:val="21"/>
          <w:highlight w:val="none"/>
          <w:lang w:val="en-US" w:eastAsia="zh-CN"/>
        </w:rPr>
        <w:t>19</w:t>
      </w:r>
      <w:r>
        <w:rPr>
          <w:rFonts w:hint="eastAsia"/>
          <w:color w:val="auto"/>
          <w:sz w:val="24"/>
          <w:szCs w:val="21"/>
          <w:highlight w:val="none"/>
        </w:rPr>
        <w:t>日，每天上午09:00至12:00，下午12:00至18:00。</w:t>
      </w:r>
    </w:p>
    <w:p w14:paraId="14A27022">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w:t>
      </w:r>
      <w:r>
        <w:rPr>
          <w:rFonts w:hint="eastAsia"/>
          <w:color w:val="auto"/>
          <w:sz w:val="24"/>
          <w:szCs w:val="21"/>
          <w:highlight w:val="none"/>
          <w:lang w:eastAsia="zh-CN"/>
        </w:rPr>
        <w:t>http://ggzyjy.xichuan.gov.cn</w:t>
      </w:r>
      <w:r>
        <w:rPr>
          <w:rFonts w:hint="eastAsia"/>
          <w:color w:val="auto"/>
          <w:sz w:val="24"/>
          <w:szCs w:val="21"/>
          <w:highlight w:val="none"/>
        </w:rPr>
        <w:fldChar w:fldCharType="end"/>
      </w:r>
      <w:r>
        <w:rPr>
          <w:rFonts w:hint="eastAsia"/>
          <w:color w:val="auto"/>
          <w:sz w:val="24"/>
          <w:szCs w:val="21"/>
          <w:highlight w:val="none"/>
        </w:rPr>
        <w:t>)</w:t>
      </w:r>
    </w:p>
    <w:p w14:paraId="01EFAA82">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4"/>
          <w:szCs w:val="21"/>
          <w:highlight w:val="none"/>
          <w:lang w:eastAsia="zh-CN"/>
        </w:rPr>
        <w:t>0512-58188538</w:t>
      </w:r>
      <w:r>
        <w:rPr>
          <w:rFonts w:hint="eastAsia"/>
          <w:color w:val="auto"/>
          <w:sz w:val="24"/>
          <w:szCs w:val="21"/>
          <w:highlight w:val="none"/>
        </w:rPr>
        <w:t>，CA数字证书技术支持电话：15672779650。</w:t>
      </w:r>
    </w:p>
    <w:p w14:paraId="0AD302FE">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w:t>
      </w:r>
      <w:r>
        <w:rPr>
          <w:rFonts w:hint="eastAsia"/>
          <w:color w:val="auto"/>
          <w:sz w:val="24"/>
          <w:szCs w:val="21"/>
          <w:highlight w:val="none"/>
          <w:lang w:eastAsia="zh-CN"/>
        </w:rPr>
        <w:t>http://ggzyjy.xichuan.gov.cn</w:t>
      </w:r>
      <w:r>
        <w:rPr>
          <w:rFonts w:hint="eastAsia"/>
          <w:color w:val="auto"/>
          <w:sz w:val="24"/>
          <w:szCs w:val="21"/>
          <w:highlight w:val="none"/>
        </w:rPr>
        <w:t>）参与招标项目，可直接下载采购文件。</w:t>
      </w:r>
    </w:p>
    <w:p w14:paraId="47970D18">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FB35D2E">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0FFE8FE6">
      <w:pPr>
        <w:spacing w:line="520" w:lineRule="exact"/>
        <w:ind w:firstLine="480" w:firstLineChars="200"/>
        <w:rPr>
          <w:color w:val="auto"/>
          <w:sz w:val="24"/>
          <w:szCs w:val="21"/>
          <w:highlight w:val="none"/>
        </w:rPr>
      </w:pPr>
      <w:r>
        <w:rPr>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6</w:t>
      </w:r>
      <w:r>
        <w:rPr>
          <w:rFonts w:hint="eastAsia"/>
          <w:color w:val="auto"/>
          <w:sz w:val="24"/>
          <w:szCs w:val="21"/>
          <w:highlight w:val="none"/>
          <w:lang w:eastAsia="zh-CN"/>
        </w:rPr>
        <w:t>月</w:t>
      </w:r>
      <w:r>
        <w:rPr>
          <w:rFonts w:hint="eastAsia"/>
          <w:color w:val="auto"/>
          <w:sz w:val="24"/>
          <w:szCs w:val="21"/>
          <w:highlight w:val="none"/>
          <w:lang w:val="en-US" w:eastAsia="zh-CN"/>
        </w:rPr>
        <w:t>20</w:t>
      </w:r>
      <w:r>
        <w:rPr>
          <w:rFonts w:hint="eastAsia"/>
          <w:color w:val="auto"/>
          <w:sz w:val="24"/>
          <w:szCs w:val="21"/>
          <w:highlight w:val="none"/>
          <w:lang w:eastAsia="zh-CN"/>
        </w:rPr>
        <w:t>日</w:t>
      </w:r>
      <w:r>
        <w:rPr>
          <w:rFonts w:hint="eastAsia"/>
          <w:color w:val="auto"/>
          <w:sz w:val="24"/>
          <w:szCs w:val="21"/>
          <w:highlight w:val="none"/>
          <w:lang w:val="en-US" w:eastAsia="zh-CN"/>
        </w:rPr>
        <w:t>09</w:t>
      </w:r>
      <w:r>
        <w:rPr>
          <w:rFonts w:hint="eastAsia"/>
          <w:color w:val="auto"/>
          <w:sz w:val="24"/>
          <w:szCs w:val="21"/>
          <w:highlight w:val="none"/>
          <w:lang w:eastAsia="zh-CN"/>
        </w:rPr>
        <w:t>时00分</w:t>
      </w:r>
      <w:r>
        <w:rPr>
          <w:color w:val="auto"/>
          <w:sz w:val="24"/>
          <w:szCs w:val="21"/>
          <w:highlight w:val="none"/>
        </w:rPr>
        <w:t>（北京时间）</w:t>
      </w:r>
    </w:p>
    <w:p w14:paraId="148CB3E1">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w:t>
      </w:r>
      <w:r>
        <w:rPr>
          <w:rFonts w:hint="eastAsia"/>
          <w:color w:val="auto"/>
          <w:sz w:val="24"/>
          <w:szCs w:val="21"/>
          <w:highlight w:val="none"/>
          <w:lang w:eastAsia="zh-CN"/>
        </w:rPr>
        <w:t>http://ggzyjy.xichuan.gov.cn</w:t>
      </w:r>
      <w:r>
        <w:rPr>
          <w:color w:val="auto"/>
          <w:sz w:val="24"/>
          <w:szCs w:val="21"/>
          <w:highlight w:val="none"/>
        </w:rPr>
        <w:t>)</w:t>
      </w:r>
    </w:p>
    <w:p w14:paraId="6B9A56A4">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47231692">
      <w:pPr>
        <w:spacing w:line="520" w:lineRule="exact"/>
        <w:ind w:firstLine="480" w:firstLineChars="200"/>
        <w:rPr>
          <w:color w:val="auto"/>
          <w:sz w:val="24"/>
          <w:szCs w:val="21"/>
          <w:highlight w:val="none"/>
        </w:rPr>
      </w:pPr>
      <w:r>
        <w:rPr>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6</w:t>
      </w:r>
      <w:r>
        <w:rPr>
          <w:rFonts w:hint="eastAsia"/>
          <w:color w:val="auto"/>
          <w:sz w:val="24"/>
          <w:szCs w:val="21"/>
          <w:highlight w:val="none"/>
          <w:lang w:eastAsia="zh-CN"/>
        </w:rPr>
        <w:t>月</w:t>
      </w:r>
      <w:r>
        <w:rPr>
          <w:rFonts w:hint="eastAsia"/>
          <w:color w:val="auto"/>
          <w:sz w:val="24"/>
          <w:szCs w:val="21"/>
          <w:highlight w:val="none"/>
          <w:lang w:val="en-US" w:eastAsia="zh-CN"/>
        </w:rPr>
        <w:t>20</w:t>
      </w:r>
      <w:r>
        <w:rPr>
          <w:rFonts w:hint="eastAsia"/>
          <w:color w:val="auto"/>
          <w:sz w:val="24"/>
          <w:szCs w:val="21"/>
          <w:highlight w:val="none"/>
          <w:lang w:eastAsia="zh-CN"/>
        </w:rPr>
        <w:t>日09时00分</w:t>
      </w:r>
      <w:r>
        <w:rPr>
          <w:color w:val="auto"/>
          <w:sz w:val="24"/>
          <w:szCs w:val="21"/>
          <w:highlight w:val="none"/>
        </w:rPr>
        <w:t>（北京时间）</w:t>
      </w:r>
    </w:p>
    <w:p w14:paraId="72BADB83">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41FE3F44">
      <w:pPr>
        <w:pStyle w:val="4"/>
        <w:ind w:firstLine="0" w:firstLineChars="0"/>
        <w:rPr>
          <w:color w:val="auto"/>
          <w:sz w:val="10"/>
          <w:szCs w:val="10"/>
          <w:highlight w:val="none"/>
        </w:rPr>
      </w:pPr>
    </w:p>
    <w:p w14:paraId="3190E372">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w:t>
      </w:r>
    </w:p>
    <w:p w14:paraId="5C34A592">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14:paraId="6CDD63C4">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w:t>
      </w:r>
    </w:p>
    <w:p w14:paraId="58CBABB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0A54763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93239EF">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23CDA53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w:t>
      </w:r>
      <w:r>
        <w:rPr>
          <w:rFonts w:hint="eastAsia"/>
          <w:color w:val="auto"/>
          <w:sz w:val="24"/>
          <w:szCs w:val="21"/>
          <w:highlight w:val="none"/>
          <w:lang w:eastAsia="zh-CN"/>
        </w:rPr>
        <w:t>0512-58188538</w:t>
      </w:r>
      <w:r>
        <w:rPr>
          <w:rFonts w:hint="eastAsia"/>
          <w:color w:val="auto"/>
          <w:sz w:val="24"/>
          <w:szCs w:val="21"/>
          <w:highlight w:val="none"/>
        </w:rPr>
        <w:t>。</w:t>
      </w:r>
    </w:p>
    <w:p w14:paraId="6FDDC56A">
      <w:pPr>
        <w:spacing w:line="520" w:lineRule="exact"/>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16AD8880">
      <w:pPr>
        <w:spacing w:line="520" w:lineRule="exact"/>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电子交易系统技术支持电话：</w:t>
      </w:r>
      <w:r>
        <w:rPr>
          <w:rFonts w:hint="eastAsia"/>
          <w:color w:val="auto"/>
          <w:sz w:val="24"/>
          <w:szCs w:val="21"/>
          <w:highlight w:val="none"/>
          <w:lang w:eastAsia="zh-CN"/>
        </w:rPr>
        <w:t>0512-58188538</w:t>
      </w:r>
    </w:p>
    <w:p w14:paraId="158BF57B">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2CD8B9E9">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54CDAE4B">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71E7B119">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6CA90423">
      <w:pPr>
        <w:spacing w:line="520" w:lineRule="exact"/>
        <w:ind w:firstLine="480" w:firstLineChars="200"/>
        <w:rPr>
          <w:color w:val="auto"/>
          <w:sz w:val="24"/>
          <w:szCs w:val="21"/>
          <w:highlight w:val="none"/>
        </w:rPr>
      </w:pPr>
      <w:r>
        <w:rPr>
          <w:rFonts w:hint="eastAsia"/>
          <w:color w:val="auto"/>
          <w:sz w:val="24"/>
          <w:szCs w:val="21"/>
          <w:highlight w:val="none"/>
        </w:rPr>
        <w:t>联系人：姚先生</w:t>
      </w:r>
    </w:p>
    <w:p w14:paraId="7079772A">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15B2196B">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6C2AC9D9">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08C9BCC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淅川县金河镇人民政府</w:t>
      </w:r>
    </w:p>
    <w:p w14:paraId="7E140FF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地址：河南省淅川县金河镇金河社区</w:t>
      </w:r>
    </w:p>
    <w:p w14:paraId="1418AD99">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w:t>
      </w:r>
      <w:r>
        <w:rPr>
          <w:rFonts w:hint="eastAsia"/>
          <w:color w:val="auto"/>
          <w:sz w:val="24"/>
          <w:szCs w:val="21"/>
          <w:highlight w:val="none"/>
        </w:rPr>
        <w:t>先生</w:t>
      </w:r>
    </w:p>
    <w:p w14:paraId="1580CA15">
      <w:pPr>
        <w:numPr>
          <w:ilvl w:val="0"/>
          <w:numId w:val="0"/>
        </w:num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18568768599</w:t>
      </w:r>
    </w:p>
    <w:p w14:paraId="51B389CA">
      <w:pPr>
        <w:numPr>
          <w:ilvl w:val="0"/>
          <w:numId w:val="0"/>
        </w:num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采购代理机构信息</w:t>
      </w:r>
    </w:p>
    <w:p w14:paraId="304B9081">
      <w:pPr>
        <w:numPr>
          <w:ilvl w:val="0"/>
          <w:numId w:val="0"/>
        </w:num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lang w:val="en-US"/>
        </w:rPr>
        <w:t>名称</w:t>
      </w:r>
      <w:r>
        <w:rPr>
          <w:rFonts w:hint="eastAsia"/>
          <w:color w:val="auto"/>
          <w:sz w:val="24"/>
          <w:szCs w:val="21"/>
          <w:highlight w:val="none"/>
        </w:rPr>
        <w:t>：</w:t>
      </w:r>
      <w:r>
        <w:rPr>
          <w:rFonts w:hint="eastAsia"/>
          <w:color w:val="auto"/>
          <w:sz w:val="24"/>
          <w:szCs w:val="21"/>
          <w:highlight w:val="none"/>
          <w:lang w:eastAsia="zh-CN"/>
        </w:rPr>
        <w:t>河南啸卓工程管理咨询有限公司</w:t>
      </w:r>
    </w:p>
    <w:p w14:paraId="25DC6F57">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王女士</w:t>
      </w:r>
    </w:p>
    <w:p w14:paraId="41A8065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w:t>
      </w:r>
      <w:r>
        <w:rPr>
          <w:rFonts w:hint="eastAsia"/>
          <w:color w:val="auto"/>
          <w:sz w:val="24"/>
          <w:szCs w:val="21"/>
          <w:highlight w:val="none"/>
          <w:lang w:eastAsia="zh-CN"/>
        </w:rPr>
        <w:t>河南省郑州市高新技术产业开发区玉兰街15号3号楼1单元2层20号</w:t>
      </w:r>
    </w:p>
    <w:p w14:paraId="7250E855">
      <w:pPr>
        <w:spacing w:line="520" w:lineRule="exact"/>
        <w:ind w:firstLine="480" w:firstLineChars="200"/>
        <w:rPr>
          <w:color w:val="auto"/>
          <w:sz w:val="24"/>
          <w:szCs w:val="21"/>
          <w:highlight w:val="none"/>
        </w:rPr>
      </w:pPr>
      <w:r>
        <w:rPr>
          <w:rFonts w:hint="eastAsia"/>
          <w:color w:val="auto"/>
          <w:sz w:val="24"/>
          <w:szCs w:val="21"/>
          <w:highlight w:val="none"/>
        </w:rPr>
        <w:t>联系电话：</w:t>
      </w:r>
      <w:r>
        <w:rPr>
          <w:rFonts w:hint="eastAsia"/>
          <w:color w:val="auto"/>
          <w:sz w:val="24"/>
          <w:szCs w:val="21"/>
          <w:highlight w:val="none"/>
          <w:lang w:eastAsia="zh-CN"/>
        </w:rPr>
        <w:t>18039680577</w:t>
      </w:r>
    </w:p>
    <w:p w14:paraId="7DFC2B1E">
      <w:pPr>
        <w:spacing w:line="520" w:lineRule="exact"/>
        <w:ind w:firstLine="4800" w:firstLineChars="2000"/>
        <w:rPr>
          <w:rFonts w:hint="eastAsia" w:eastAsia="宋体"/>
          <w:color w:val="auto"/>
          <w:sz w:val="24"/>
          <w:szCs w:val="21"/>
          <w:highlight w:val="none"/>
          <w:lang w:eastAsia="zh-CN"/>
        </w:rPr>
      </w:pPr>
      <w:r>
        <w:rPr>
          <w:rFonts w:hint="eastAsia"/>
          <w:color w:val="auto"/>
          <w:sz w:val="24"/>
          <w:szCs w:val="21"/>
          <w:highlight w:val="none"/>
          <w:lang w:eastAsia="zh-CN"/>
        </w:rPr>
        <w:t>河南啸卓工程管理咨询有限公司</w:t>
      </w:r>
    </w:p>
    <w:p w14:paraId="21E7DEB8">
      <w:pPr>
        <w:spacing w:line="520" w:lineRule="exact"/>
        <w:ind w:firstLine="5520" w:firstLineChars="23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2025年5</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28</w:t>
      </w:r>
      <w:r>
        <w:rPr>
          <w:rFonts w:hint="eastAsia" w:ascii="宋体" w:hAnsi="宋体" w:eastAsia="宋体" w:cs="宋体"/>
          <w:color w:val="auto"/>
          <w:kern w:val="2"/>
          <w:sz w:val="24"/>
          <w:szCs w:val="24"/>
          <w:highlight w:val="none"/>
          <w:lang w:val="en-US" w:eastAsia="zh-CN" w:bidi="ar-SA"/>
        </w:rPr>
        <w:t>日</w:t>
      </w:r>
      <w:bookmarkEnd w:id="3"/>
      <w:bookmarkEnd w:id="4"/>
      <w:bookmarkEnd w:id="5"/>
      <w:bookmarkEnd w:id="6"/>
      <w:bookmarkStart w:id="7" w:name="_Toc33217860"/>
    </w:p>
    <w:p w14:paraId="40087B2D">
      <w:pPr>
        <w:rPr>
          <w:color w:val="auto"/>
          <w:sz w:val="28"/>
          <w:szCs w:val="28"/>
          <w:highlight w:val="none"/>
          <w:lang w:val="zh-CN"/>
        </w:rPr>
      </w:pPr>
      <w:r>
        <w:rPr>
          <w:color w:val="auto"/>
          <w:sz w:val="28"/>
          <w:szCs w:val="28"/>
          <w:highlight w:val="none"/>
          <w:lang w:val="zh-CN" w:bidi="zh-CN"/>
        </w:rPr>
        <w:br w:type="page"/>
      </w:r>
    </w:p>
    <w:p w14:paraId="0D98C2F7">
      <w:pPr>
        <w:rPr>
          <w:color w:val="auto"/>
          <w:highlight w:val="none"/>
        </w:rPr>
      </w:pPr>
    </w:p>
    <w:p w14:paraId="3ED3B72F">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70BDD23C">
      <w:pPr>
        <w:pStyle w:val="18"/>
        <w:numPr>
          <w:ilvl w:val="0"/>
          <w:numId w:val="2"/>
        </w:numPr>
        <w:spacing w:line="520" w:lineRule="exact"/>
        <w:ind w:left="0" w:leftChars="0" w:firstLine="0" w:firstLineChars="0"/>
        <w:rPr>
          <w:rFonts w:hint="eastAsia" w:asciiTheme="minorEastAsia" w:hAnsiTheme="minorEastAsia" w:eastAsiaTheme="minorEastAsia" w:cstheme="minorEastAsia"/>
          <w:color w:val="auto"/>
          <w:spacing w:val="-1"/>
          <w:sz w:val="24"/>
          <w:szCs w:val="24"/>
          <w:highlight w:val="none"/>
          <w:lang w:eastAsia="zh-CN"/>
        </w:rPr>
      </w:pPr>
      <w:r>
        <w:rPr>
          <w:rFonts w:hint="eastAsia" w:ascii="Times New Roman" w:hAnsi="Times New Roman" w:cs="宋体" w:eastAsiaTheme="minorEastAsia"/>
          <w:b w:val="0"/>
          <w:bCs/>
          <w:color w:val="auto"/>
          <w:spacing w:val="24"/>
          <w:sz w:val="24"/>
          <w:szCs w:val="24"/>
          <w:highlight w:val="none"/>
          <w:lang w:val="en-US" w:eastAsia="zh-CN" w:bidi="ar-SA"/>
        </w:rPr>
        <w:t>设备采购</w:t>
      </w:r>
      <w:r>
        <w:rPr>
          <w:rFonts w:hint="eastAsia" w:asciiTheme="minorEastAsia" w:hAnsiTheme="minorEastAsia" w:eastAsiaTheme="minorEastAsia" w:cstheme="minorEastAsia"/>
          <w:color w:val="auto"/>
          <w:spacing w:val="-1"/>
          <w:sz w:val="24"/>
          <w:szCs w:val="24"/>
          <w:highlight w:val="none"/>
        </w:rPr>
        <w:t>招标内容及要求</w:t>
      </w:r>
      <w:r>
        <w:rPr>
          <w:rFonts w:hint="eastAsia" w:asciiTheme="minorEastAsia" w:hAnsiTheme="minorEastAsia" w:eastAsiaTheme="minorEastAsia" w:cstheme="minorEastAsia"/>
          <w:color w:val="auto"/>
          <w:spacing w:val="-1"/>
          <w:sz w:val="24"/>
          <w:szCs w:val="24"/>
          <w:highlight w:val="none"/>
          <w:lang w:eastAsia="zh-CN"/>
        </w:rPr>
        <w:t>：</w:t>
      </w:r>
    </w:p>
    <w:p w14:paraId="01AFCDD3">
      <w:pPr>
        <w:pStyle w:val="18"/>
        <w:numPr>
          <w:ilvl w:val="0"/>
          <w:numId w:val="0"/>
        </w:numPr>
        <w:spacing w:line="520" w:lineRule="exact"/>
        <w:ind w:leftChars="0"/>
        <w:rPr>
          <w:rFonts w:hint="eastAsia" w:asciiTheme="minorEastAsia" w:hAnsiTheme="minorEastAsia" w:eastAsiaTheme="minorEastAsia" w:cstheme="minorEastAsia"/>
          <w:color w:val="auto"/>
          <w:spacing w:val="-1"/>
          <w:sz w:val="24"/>
          <w:szCs w:val="24"/>
          <w:highlight w:val="none"/>
          <w:lang w:eastAsia="zh-CN"/>
        </w:rPr>
      </w:pPr>
    </w:p>
    <w:p w14:paraId="77EDE227">
      <w:pPr>
        <w:rPr>
          <w:rFonts w:hAnsi="宋体" w:cs="宋体"/>
          <w:color w:val="auto"/>
          <w:kern w:val="2"/>
          <w:sz w:val="21"/>
          <w:szCs w:val="21"/>
          <w:highlight w:val="none"/>
        </w:rPr>
      </w:pPr>
    </w:p>
    <w:tbl>
      <w:tblPr>
        <w:tblStyle w:val="12"/>
        <w:tblpPr w:leftFromText="180" w:rightFromText="180" w:vertAnchor="text" w:horzAnchor="page" w:tblpXSpec="center" w:tblpY="336"/>
        <w:tblOverlap w:val="never"/>
        <w:tblW w:w="4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3520"/>
        <w:gridCol w:w="1555"/>
        <w:gridCol w:w="1475"/>
        <w:gridCol w:w="1463"/>
      </w:tblGrid>
      <w:tr w14:paraId="3731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7" w:hRule="atLeast"/>
          <w:jc w:val="center"/>
        </w:trPr>
        <w:tc>
          <w:tcPr>
            <w:tcW w:w="425" w:type="pct"/>
            <w:shd w:val="clear" w:color="auto" w:fill="auto"/>
            <w:vAlign w:val="center"/>
          </w:tcPr>
          <w:p w14:paraId="016277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09" w:type="pct"/>
            <w:shd w:val="clear" w:color="auto" w:fill="auto"/>
            <w:vAlign w:val="center"/>
          </w:tcPr>
          <w:p w14:paraId="7F39FD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887" w:type="pct"/>
            <w:shd w:val="clear" w:color="auto" w:fill="auto"/>
            <w:vAlign w:val="center"/>
          </w:tcPr>
          <w:p w14:paraId="249A77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841" w:type="pct"/>
            <w:shd w:val="clear" w:color="auto" w:fill="auto"/>
            <w:vAlign w:val="center"/>
          </w:tcPr>
          <w:p w14:paraId="2E7397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835" w:type="pct"/>
            <w:shd w:val="clear" w:color="auto" w:fill="auto"/>
            <w:vAlign w:val="center"/>
          </w:tcPr>
          <w:p w14:paraId="7B258A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14:paraId="4704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25" w:type="pct"/>
            <w:shd w:val="clear" w:color="auto" w:fill="auto"/>
            <w:vAlign w:val="center"/>
          </w:tcPr>
          <w:p w14:paraId="20EA82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09" w:type="pct"/>
            <w:shd w:val="clear" w:color="auto" w:fill="auto"/>
            <w:vAlign w:val="center"/>
          </w:tcPr>
          <w:p w14:paraId="0B4D81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拖拉机</w:t>
            </w:r>
          </w:p>
        </w:tc>
        <w:tc>
          <w:tcPr>
            <w:tcW w:w="887" w:type="pct"/>
            <w:shd w:val="clear" w:color="auto" w:fill="auto"/>
            <w:noWrap/>
            <w:vAlign w:val="center"/>
          </w:tcPr>
          <w:p w14:paraId="59B443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M1204-5X轮式</w:t>
            </w:r>
          </w:p>
        </w:tc>
        <w:tc>
          <w:tcPr>
            <w:tcW w:w="841" w:type="pct"/>
            <w:shd w:val="clear" w:color="auto" w:fill="auto"/>
            <w:noWrap/>
            <w:vAlign w:val="center"/>
          </w:tcPr>
          <w:p w14:paraId="1BE495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3EAF3B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5F5C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425" w:type="pct"/>
            <w:shd w:val="clear" w:color="auto" w:fill="auto"/>
            <w:vAlign w:val="center"/>
          </w:tcPr>
          <w:p w14:paraId="37F023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09" w:type="pct"/>
            <w:shd w:val="clear" w:color="auto" w:fill="auto"/>
            <w:vAlign w:val="center"/>
          </w:tcPr>
          <w:p w14:paraId="7D4E5C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收割机</w:t>
            </w:r>
          </w:p>
        </w:tc>
        <w:tc>
          <w:tcPr>
            <w:tcW w:w="887" w:type="pct"/>
            <w:shd w:val="clear" w:color="auto" w:fill="auto"/>
            <w:noWrap/>
            <w:vAlign w:val="center"/>
          </w:tcPr>
          <w:p w14:paraId="025077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4LZ-8G6A履带式</w:t>
            </w:r>
          </w:p>
        </w:tc>
        <w:tc>
          <w:tcPr>
            <w:tcW w:w="841" w:type="pct"/>
            <w:shd w:val="clear" w:color="auto" w:fill="auto"/>
            <w:noWrap/>
            <w:vAlign w:val="center"/>
          </w:tcPr>
          <w:p w14:paraId="1963E9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5662E5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183F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25" w:type="pct"/>
            <w:shd w:val="clear" w:color="auto" w:fill="auto"/>
            <w:vAlign w:val="center"/>
          </w:tcPr>
          <w:p w14:paraId="084DE5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09" w:type="pct"/>
            <w:shd w:val="clear" w:color="auto" w:fill="auto"/>
            <w:vAlign w:val="center"/>
          </w:tcPr>
          <w:p w14:paraId="24000E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平板车</w:t>
            </w:r>
          </w:p>
        </w:tc>
        <w:tc>
          <w:tcPr>
            <w:tcW w:w="887" w:type="pct"/>
            <w:shd w:val="clear" w:color="auto" w:fill="auto"/>
            <w:noWrap/>
            <w:vAlign w:val="center"/>
          </w:tcPr>
          <w:p w14:paraId="1A75E9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150马力</w:t>
            </w:r>
          </w:p>
        </w:tc>
        <w:tc>
          <w:tcPr>
            <w:tcW w:w="841" w:type="pct"/>
            <w:shd w:val="clear" w:color="auto" w:fill="auto"/>
            <w:noWrap/>
            <w:vAlign w:val="center"/>
          </w:tcPr>
          <w:p w14:paraId="153AA0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656F81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07F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jc w:val="center"/>
        </w:trPr>
        <w:tc>
          <w:tcPr>
            <w:tcW w:w="425" w:type="pct"/>
            <w:shd w:val="clear" w:color="auto" w:fill="auto"/>
            <w:vAlign w:val="center"/>
          </w:tcPr>
          <w:p w14:paraId="42FC78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09" w:type="pct"/>
            <w:shd w:val="clear" w:color="auto" w:fill="auto"/>
            <w:vAlign w:val="center"/>
          </w:tcPr>
          <w:p w14:paraId="68AC6E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旋耕犁</w:t>
            </w:r>
          </w:p>
        </w:tc>
        <w:tc>
          <w:tcPr>
            <w:tcW w:w="887" w:type="pct"/>
            <w:shd w:val="clear" w:color="auto" w:fill="auto"/>
            <w:noWrap/>
            <w:vAlign w:val="center"/>
          </w:tcPr>
          <w:p w14:paraId="5B2689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41" w:type="pct"/>
            <w:shd w:val="clear" w:color="auto" w:fill="auto"/>
            <w:noWrap/>
            <w:vAlign w:val="center"/>
          </w:tcPr>
          <w:p w14:paraId="160E8A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835" w:type="pct"/>
            <w:shd w:val="clear" w:color="auto" w:fill="auto"/>
            <w:noWrap/>
            <w:vAlign w:val="center"/>
          </w:tcPr>
          <w:p w14:paraId="7EEC7A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3C10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jc w:val="center"/>
        </w:trPr>
        <w:tc>
          <w:tcPr>
            <w:tcW w:w="425" w:type="pct"/>
            <w:shd w:val="clear" w:color="auto" w:fill="auto"/>
            <w:vAlign w:val="center"/>
          </w:tcPr>
          <w:p w14:paraId="1EE98A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09" w:type="pct"/>
            <w:shd w:val="clear" w:color="auto" w:fill="auto"/>
            <w:vAlign w:val="center"/>
          </w:tcPr>
          <w:p w14:paraId="63016D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播种机</w:t>
            </w:r>
          </w:p>
        </w:tc>
        <w:tc>
          <w:tcPr>
            <w:tcW w:w="887" w:type="pct"/>
            <w:shd w:val="clear" w:color="auto" w:fill="auto"/>
            <w:noWrap/>
            <w:vAlign w:val="center"/>
          </w:tcPr>
          <w:p w14:paraId="5A7B3E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41" w:type="pct"/>
            <w:shd w:val="clear" w:color="auto" w:fill="auto"/>
            <w:noWrap/>
            <w:vAlign w:val="center"/>
          </w:tcPr>
          <w:p w14:paraId="134547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835" w:type="pct"/>
            <w:shd w:val="clear" w:color="auto" w:fill="auto"/>
            <w:noWrap/>
            <w:vAlign w:val="center"/>
          </w:tcPr>
          <w:p w14:paraId="7FE0DC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6ECE4C7C">
      <w:pPr>
        <w:rPr>
          <w:rFonts w:hAnsi="宋体" w:cs="宋体"/>
          <w:color w:val="auto"/>
          <w:kern w:val="2"/>
          <w:sz w:val="21"/>
          <w:szCs w:val="21"/>
          <w:highlight w:val="none"/>
        </w:rPr>
      </w:pPr>
    </w:p>
    <w:p w14:paraId="1430FBD9">
      <w:pPr>
        <w:rPr>
          <w:rFonts w:hint="eastAsia" w:hAnsi="宋体" w:cs="宋体"/>
          <w:color w:val="auto"/>
          <w:kern w:val="2"/>
          <w:sz w:val="21"/>
          <w:szCs w:val="21"/>
          <w:highlight w:val="none"/>
        </w:rPr>
      </w:pPr>
      <w:r>
        <w:rPr>
          <w:rFonts w:hint="eastAsia" w:hAnsi="宋体" w:cs="宋体"/>
          <w:color w:val="auto"/>
          <w:kern w:val="2"/>
          <w:sz w:val="21"/>
          <w:szCs w:val="21"/>
          <w:highlight w:val="none"/>
        </w:rPr>
        <w:br w:type="page"/>
      </w:r>
    </w:p>
    <w:p w14:paraId="13F3DC0D">
      <w:pPr>
        <w:pStyle w:val="18"/>
        <w:spacing w:line="520" w:lineRule="exact"/>
        <w:rPr>
          <w:rFonts w:hAnsi="宋体" w:cs="宋体"/>
          <w:color w:val="auto"/>
          <w:kern w:val="2"/>
          <w:sz w:val="21"/>
          <w:szCs w:val="21"/>
          <w:highlight w:val="none"/>
        </w:rPr>
      </w:pPr>
      <w:r>
        <w:rPr>
          <w:rFonts w:hint="eastAsia" w:hAnsi="宋体" w:cs="宋体"/>
          <w:color w:val="auto"/>
          <w:kern w:val="2"/>
          <w:sz w:val="21"/>
          <w:szCs w:val="21"/>
          <w:highlight w:val="none"/>
        </w:rPr>
        <w:t>二、</w:t>
      </w:r>
      <w:r>
        <w:rPr>
          <w:rFonts w:hint="eastAsia" w:hAnsi="宋体" w:cs="宋体"/>
          <w:color w:val="auto"/>
          <w:kern w:val="2"/>
          <w:sz w:val="21"/>
          <w:szCs w:val="21"/>
          <w:highlight w:val="none"/>
          <w:lang w:eastAsia="zh-CN"/>
        </w:rPr>
        <w:t>项目</w:t>
      </w:r>
      <w:r>
        <w:rPr>
          <w:rFonts w:hint="eastAsia" w:hAnsi="宋体" w:cs="宋体"/>
          <w:color w:val="auto"/>
          <w:kern w:val="2"/>
          <w:sz w:val="21"/>
          <w:szCs w:val="21"/>
          <w:highlight w:val="none"/>
        </w:rPr>
        <w:t>商务要求</w:t>
      </w:r>
    </w:p>
    <w:p w14:paraId="771C4E4B">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rPr>
        <w:t>1.</w:t>
      </w:r>
      <w:r>
        <w:rPr>
          <w:rFonts w:hint="eastAsia" w:hAnsi="宋体" w:cs="宋体"/>
          <w:color w:val="auto"/>
          <w:kern w:val="2"/>
          <w:sz w:val="21"/>
          <w:szCs w:val="21"/>
          <w:highlight w:val="none"/>
          <w:lang w:eastAsia="zh-CN"/>
        </w:rPr>
        <w:t>交货要求</w:t>
      </w:r>
    </w:p>
    <w:p w14:paraId="50DEB1A8">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1.1交货时间：合同签订后10日历天内；</w:t>
      </w:r>
    </w:p>
    <w:p w14:paraId="25CB639D">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1.2交货地点：</w:t>
      </w:r>
      <w:r>
        <w:rPr>
          <w:rFonts w:hint="eastAsia" w:hAnsi="宋体" w:cs="宋体"/>
          <w:color w:val="auto"/>
          <w:kern w:val="2"/>
          <w:sz w:val="21"/>
          <w:szCs w:val="21"/>
          <w:highlight w:val="none"/>
          <w:lang w:val="en-US" w:eastAsia="zh-CN"/>
        </w:rPr>
        <w:t>采购人指定地点</w:t>
      </w:r>
      <w:r>
        <w:rPr>
          <w:rFonts w:hint="eastAsia" w:hAnsi="宋体" w:cs="宋体"/>
          <w:color w:val="auto"/>
          <w:kern w:val="2"/>
          <w:sz w:val="21"/>
          <w:szCs w:val="21"/>
          <w:highlight w:val="none"/>
          <w:lang w:eastAsia="zh-CN"/>
        </w:rPr>
        <w:t>；</w:t>
      </w:r>
    </w:p>
    <w:p w14:paraId="19ECA23D">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2.付款方式：货物按照采购人指定地点安装调试完毕、验收检测合格后一次性支付全部货款。</w:t>
      </w:r>
    </w:p>
    <w:p w14:paraId="35F0A1B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3.包装和运输（须满足财政部《关于印发〈商品包装政府采购需求标准（试行）〉、〈快递包装政府采购需求标准（试行）〉的通知》（财办库﹝2020﹞123号）。</w:t>
      </w:r>
    </w:p>
    <w:p w14:paraId="5D3AFABE">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4.质保期</w:t>
      </w:r>
    </w:p>
    <w:p w14:paraId="291395EF">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4.1质量保证期为</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年。自验收合格之日起开始计算。</w:t>
      </w:r>
    </w:p>
    <w:p w14:paraId="08B77AAB">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4.2质保期内投标人提供免费售后服务。服务期间，提供7*24小时服务响应热线电话，提供4小时故障响应，24小时解决故障服务；针对特殊故障在24小时内解决不了的，提供备用设备。</w:t>
      </w:r>
    </w:p>
    <w:p w14:paraId="7A1EBA2F">
      <w:pPr>
        <w:pStyle w:val="18"/>
        <w:spacing w:line="520" w:lineRule="exact"/>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eastAsia="zh-CN"/>
        </w:rPr>
        <w:t>5.关于强制节能产品的要求：</w:t>
      </w:r>
      <w:r>
        <w:rPr>
          <w:rFonts w:hint="eastAsia" w:hAnsi="宋体" w:cs="宋体"/>
          <w:color w:val="auto"/>
          <w:kern w:val="2"/>
          <w:sz w:val="21"/>
          <w:szCs w:val="21"/>
          <w:highlight w:val="none"/>
          <w:lang w:val="en-US" w:eastAsia="zh-CN"/>
        </w:rPr>
        <w:t>/</w:t>
      </w:r>
    </w:p>
    <w:p w14:paraId="70F883E0">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6.验收标准及方式：</w:t>
      </w:r>
    </w:p>
    <w:p w14:paraId="118832F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6.1验收小组应由采购人、使用单位、受邀的第三方组成。</w:t>
      </w:r>
    </w:p>
    <w:p w14:paraId="7FAF573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6.2货物验收：</w:t>
      </w:r>
    </w:p>
    <w:p w14:paraId="562A32FC">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4C3C92B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6.3安装验收：</w:t>
      </w:r>
    </w:p>
    <w:p w14:paraId="31F73D9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货物及组装材料验收合格后方可进行安装调试，安装调试应以达到采购人正常使用为标准。中标人向验收小组发出全面验收邀请。</w:t>
      </w:r>
    </w:p>
    <w:p w14:paraId="35BBFEE2">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6.4中标人在要求期限内不能履行合同的，采购人有权终止合同，由此造成的经济损失及社会负面影响均有中标人承担，并依法报请南阳市政府采购监督管理部门处理。</w:t>
      </w:r>
    </w:p>
    <w:p w14:paraId="0FEBDAD6">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7.□有样品，样品提供要求、方式、摆放时间及地点</w:t>
      </w:r>
    </w:p>
    <w:p w14:paraId="7022451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☑无样品。</w:t>
      </w:r>
    </w:p>
    <w:p w14:paraId="5075C306">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8.□有演示，演示要求、内容、方式及地点。鼓励使用不见面演示。</w:t>
      </w:r>
    </w:p>
    <w:p w14:paraId="02A8D081">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☑无演示。</w:t>
      </w:r>
    </w:p>
    <w:p w14:paraId="6CA96522">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9.质量要求：</w:t>
      </w:r>
      <w:r>
        <w:rPr>
          <w:rFonts w:hint="eastAsia" w:hAnsi="宋体" w:cs="宋体"/>
          <w:color w:val="auto"/>
          <w:kern w:val="2"/>
          <w:sz w:val="22"/>
          <w:szCs w:val="22"/>
          <w:highlight w:val="none"/>
          <w:lang w:val="en-US" w:eastAsia="zh-CN"/>
        </w:rPr>
        <w:t>合格</w:t>
      </w:r>
      <w:r>
        <w:rPr>
          <w:rFonts w:hint="eastAsia"/>
          <w:color w:val="auto"/>
          <w:sz w:val="24"/>
          <w:szCs w:val="21"/>
          <w:highlight w:val="none"/>
        </w:rPr>
        <w:t>；</w:t>
      </w:r>
    </w:p>
    <w:p w14:paraId="4A78C1DF">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10其他要求：中标人在供货安装调试过程中，如对采购人原设备、物品有损坏的应无偿恢复。</w:t>
      </w:r>
    </w:p>
    <w:p w14:paraId="0B6CB0CD">
      <w:pPr>
        <w:pStyle w:val="18"/>
        <w:spacing w:line="520" w:lineRule="exact"/>
        <w:rPr>
          <w:rFonts w:hAnsi="宋体" w:cs="宋体"/>
          <w:color w:val="auto"/>
          <w:kern w:val="2"/>
          <w:sz w:val="21"/>
          <w:szCs w:val="21"/>
          <w:highlight w:val="none"/>
        </w:rPr>
      </w:pPr>
    </w:p>
    <w:p w14:paraId="02324DA8">
      <w:pPr>
        <w:pStyle w:val="4"/>
        <w:rPr>
          <w:color w:val="auto"/>
          <w:highlight w:val="none"/>
        </w:rPr>
      </w:pPr>
    </w:p>
    <w:p w14:paraId="44176E2C">
      <w:pPr>
        <w:pStyle w:val="10"/>
        <w:ind w:firstLine="538"/>
        <w:rPr>
          <w:color w:val="auto"/>
          <w:highlight w:val="none"/>
        </w:rPr>
      </w:pPr>
    </w:p>
    <w:p w14:paraId="3C86CA6A">
      <w:pPr>
        <w:pStyle w:val="10"/>
        <w:ind w:firstLine="538"/>
        <w:rPr>
          <w:color w:val="auto"/>
          <w:highlight w:val="none"/>
        </w:rPr>
      </w:pPr>
    </w:p>
    <w:p w14:paraId="5B1B0309">
      <w:pPr>
        <w:pStyle w:val="10"/>
        <w:ind w:firstLine="538"/>
        <w:rPr>
          <w:color w:val="auto"/>
          <w:highlight w:val="none"/>
        </w:rPr>
      </w:pPr>
    </w:p>
    <w:p w14:paraId="5F09914E">
      <w:pPr>
        <w:pStyle w:val="10"/>
        <w:ind w:firstLine="538"/>
        <w:rPr>
          <w:color w:val="auto"/>
          <w:highlight w:val="none"/>
        </w:rPr>
      </w:pPr>
    </w:p>
    <w:p w14:paraId="575FDD0C">
      <w:pPr>
        <w:pStyle w:val="10"/>
        <w:ind w:firstLine="538"/>
        <w:rPr>
          <w:color w:val="auto"/>
          <w:highlight w:val="none"/>
        </w:rPr>
      </w:pPr>
    </w:p>
    <w:p w14:paraId="207B6830">
      <w:pPr>
        <w:pStyle w:val="10"/>
        <w:ind w:firstLine="538"/>
        <w:rPr>
          <w:color w:val="auto"/>
          <w:highlight w:val="none"/>
        </w:rPr>
      </w:pPr>
    </w:p>
    <w:p w14:paraId="3CB71B9E">
      <w:pPr>
        <w:pStyle w:val="10"/>
        <w:ind w:firstLine="538"/>
        <w:rPr>
          <w:color w:val="auto"/>
          <w:highlight w:val="none"/>
        </w:rPr>
      </w:pPr>
    </w:p>
    <w:p w14:paraId="351C7B8E">
      <w:pPr>
        <w:pStyle w:val="10"/>
        <w:ind w:firstLine="538"/>
        <w:rPr>
          <w:color w:val="auto"/>
          <w:highlight w:val="none"/>
        </w:rPr>
      </w:pPr>
    </w:p>
    <w:p w14:paraId="18EE200D">
      <w:pPr>
        <w:pStyle w:val="10"/>
        <w:ind w:firstLine="538"/>
        <w:rPr>
          <w:color w:val="auto"/>
          <w:highlight w:val="none"/>
        </w:rPr>
      </w:pPr>
    </w:p>
    <w:p w14:paraId="0F0DCE7E">
      <w:pPr>
        <w:pStyle w:val="10"/>
        <w:ind w:firstLine="538"/>
        <w:rPr>
          <w:color w:val="auto"/>
          <w:highlight w:val="none"/>
        </w:rPr>
      </w:pPr>
    </w:p>
    <w:p w14:paraId="010CD261">
      <w:pPr>
        <w:rPr>
          <w:color w:val="auto"/>
          <w:highlight w:val="none"/>
        </w:rPr>
      </w:pPr>
      <w:r>
        <w:rPr>
          <w:color w:val="auto"/>
          <w:highlight w:val="none"/>
        </w:rPr>
        <w:br w:type="page"/>
      </w:r>
    </w:p>
    <w:p w14:paraId="141D7A7E">
      <w:pPr>
        <w:pStyle w:val="10"/>
        <w:ind w:firstLine="538"/>
        <w:rPr>
          <w:color w:val="auto"/>
          <w:highlight w:val="none"/>
        </w:rPr>
      </w:pPr>
    </w:p>
    <w:p w14:paraId="15B53EEE">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投标人须知</w:t>
      </w:r>
    </w:p>
    <w:p w14:paraId="2A78BF47">
      <w:pPr>
        <w:pStyle w:val="4"/>
        <w:rPr>
          <w:color w:val="auto"/>
          <w:highlight w:val="none"/>
        </w:rPr>
      </w:pPr>
      <w:r>
        <w:rPr>
          <w:rFonts w:hint="eastAsia"/>
          <w:color w:val="auto"/>
          <w:highlight w:val="none"/>
        </w:rPr>
        <w:t>投标人须知表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20"/>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20"/>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20"/>
              <w:rPr>
                <w:color w:val="auto"/>
                <w:highlight w:val="none"/>
              </w:rPr>
            </w:pPr>
            <w:r>
              <w:rPr>
                <w:rFonts w:hint="eastAsia"/>
                <w:color w:val="auto"/>
                <w:highlight w:val="none"/>
              </w:rPr>
              <w:t>□是</w:t>
            </w:r>
          </w:p>
          <w:p w14:paraId="46F17BD1">
            <w:pPr>
              <w:pStyle w:val="20"/>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20"/>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20"/>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20"/>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20"/>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20"/>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50F9A480">
            <w:pPr>
              <w:pStyle w:val="20"/>
              <w:numPr>
                <w:ilvl w:val="0"/>
                <w:numId w:val="3"/>
              </w:numPr>
              <w:rPr>
                <w:color w:val="auto"/>
                <w:highlight w:val="none"/>
              </w:rPr>
            </w:pPr>
            <w:r>
              <w:rPr>
                <w:rFonts w:hint="eastAsia"/>
                <w:color w:val="auto"/>
                <w:highlight w:val="none"/>
              </w:rPr>
              <w:t>本项目采购标的按照中小企业划分标准属于：</w:t>
            </w:r>
            <w:r>
              <w:rPr>
                <w:rFonts w:hint="eastAsia"/>
                <w:color w:val="auto"/>
                <w:highlight w:val="none"/>
                <w:u w:val="single"/>
                <w:lang w:val="en-US" w:eastAsia="zh-CN"/>
              </w:rPr>
              <w:t>制造</w:t>
            </w:r>
            <w:r>
              <w:rPr>
                <w:rFonts w:hint="eastAsia"/>
                <w:color w:val="auto"/>
                <w:highlight w:val="none"/>
                <w:u w:val="single"/>
              </w:rPr>
              <w:t>业</w:t>
            </w:r>
            <w:r>
              <w:rPr>
                <w:rFonts w:hint="eastAsia"/>
                <w:color w:val="auto"/>
                <w:highlight w:val="none"/>
                <w:u w:val="single"/>
                <w:lang w:val="en-US" w:eastAsia="zh-CN"/>
              </w:rPr>
              <w:t xml:space="preserve">  </w:t>
            </w:r>
          </w:p>
          <w:p w14:paraId="02AF1B14">
            <w:pPr>
              <w:pStyle w:val="20"/>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1" w:line="360" w:lineRule="auto"/>
              <w:ind w:left="41" w:leftChars="0" w:right="793" w:rightChars="0" w:firstLine="214" w:firstLineChars="100"/>
              <w:textAlignment w:val="baseline"/>
              <w:rPr>
                <w:color w:val="auto"/>
                <w:highlight w:val="none"/>
              </w:rPr>
            </w:pPr>
            <w:r>
              <w:rPr>
                <w:rFonts w:hint="eastAsia" w:asciiTheme="minorEastAsia" w:hAnsiTheme="minorEastAsia" w:eastAsiaTheme="minorEastAsia" w:cstheme="minorEastAsia"/>
                <w:color w:val="auto"/>
                <w:spacing w:val="-13"/>
                <w:sz w:val="24"/>
                <w:szCs w:val="24"/>
                <w:highlight w:val="none"/>
                <w:lang w:eastAsia="zh-CN"/>
              </w:rPr>
              <w:t>☑</w:t>
            </w:r>
            <w:r>
              <w:rPr>
                <w:spacing w:val="7"/>
                <w:sz w:val="24"/>
                <w:szCs w:val="24"/>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Segoe UI Symbol" w:hAnsi="Segoe UI Symbol" w:eastAsia="仿宋_GB2312" w:cs="Segoe UI Symbol"/>
                <w:color w:val="0000FF"/>
                <w:spacing w:val="29"/>
                <w:sz w:val="22"/>
                <w:szCs w:val="28"/>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pacing w:val="29"/>
                <w:sz w:val="24"/>
                <w:szCs w:val="24"/>
                <w:highlight w:val="none"/>
              </w:rPr>
              <w:t>本项目小微企业价格折扣比例%。</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20"/>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20"/>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20"/>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10B3841F">
            <w:pPr>
              <w:wordWrap w:val="0"/>
              <w:spacing w:line="240" w:lineRule="atLeast"/>
              <w:jc w:val="both"/>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448000</w:t>
            </w:r>
            <w:r>
              <w:rPr>
                <w:rFonts w:hint="default" w:asciiTheme="minorEastAsia" w:hAnsiTheme="minorEastAsia" w:eastAsiaTheme="minorEastAsia" w:cstheme="minorEastAsia"/>
                <w:color w:val="auto"/>
                <w:sz w:val="24"/>
                <w:szCs w:val="24"/>
                <w:highlight w:val="none"/>
                <w:lang w:val="en-US" w:eastAsia="zh-CN"/>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财政涉农统筹整合资金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10DD086">
            <w:pPr>
              <w:wordWrap w:val="0"/>
              <w:spacing w:line="240" w:lineRule="atLeast"/>
              <w:jc w:val="both"/>
              <w:rPr>
                <w:rFonts w:asciiTheme="minorEastAsia" w:hAnsiTheme="minorEastAsia" w:eastAsiaTheme="minorEastAsia" w:cstheme="minorEastAsia"/>
                <w:color w:val="auto"/>
                <w:sz w:val="24"/>
                <w:szCs w:val="24"/>
                <w:highlight w:val="non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6</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20</w:t>
            </w:r>
            <w:r>
              <w:rPr>
                <w:rFonts w:hint="eastAsia" w:eastAsiaTheme="minorEastAsia"/>
                <w:color w:val="auto"/>
                <w:sz w:val="24"/>
                <w:szCs w:val="21"/>
                <w:highlight w:val="none"/>
                <w:lang w:eastAsia="zh-CN"/>
              </w:rPr>
              <w:t>日</w:t>
            </w:r>
            <w:r>
              <w:rPr>
                <w:rFonts w:hint="eastAsia" w:eastAsiaTheme="minorEastAsia"/>
                <w:color w:val="auto"/>
                <w:sz w:val="24"/>
                <w:szCs w:val="21"/>
                <w:highlight w:val="none"/>
                <w:lang w:val="en-US" w:eastAsia="zh-CN"/>
              </w:rPr>
              <w:t>09</w:t>
            </w:r>
            <w:r>
              <w:rPr>
                <w:rFonts w:hint="eastAsia" w:eastAsiaTheme="minorEastAsia"/>
                <w:color w:val="auto"/>
                <w:sz w:val="24"/>
                <w:szCs w:val="21"/>
                <w:highlight w:val="none"/>
                <w:lang w:eastAsia="zh-CN"/>
              </w:rPr>
              <w:t>时00分</w:t>
            </w:r>
            <w:r>
              <w:rPr>
                <w:rFonts w:hint="eastAsia" w:asciiTheme="minorEastAsia" w:hAnsiTheme="minorEastAsia" w:eastAsiaTheme="minorEastAsia" w:cstheme="minorEastAsia"/>
                <w:color w:val="auto"/>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315B0A42">
            <w:pPr>
              <w:wordWrap w:val="0"/>
              <w:spacing w:line="240" w:lineRule="atLeast"/>
              <w:jc w:val="both"/>
              <w:rPr>
                <w:rFonts w:asciiTheme="minorEastAsia" w:hAnsiTheme="minorEastAsia" w:eastAsiaTheme="minorEastAsia" w:cstheme="minorEastAsia"/>
                <w:color w:val="auto"/>
                <w:sz w:val="24"/>
                <w:szCs w:val="24"/>
                <w:highlight w:val="none"/>
                <w:u w:val="singl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6</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20</w:t>
            </w:r>
            <w:r>
              <w:rPr>
                <w:rFonts w:hint="eastAsia" w:eastAsiaTheme="minorEastAsia"/>
                <w:color w:val="auto"/>
                <w:sz w:val="24"/>
                <w:szCs w:val="21"/>
                <w:highlight w:val="none"/>
                <w:lang w:eastAsia="zh-CN"/>
              </w:rPr>
              <w:t>日09时00分</w:t>
            </w:r>
            <w:r>
              <w:rPr>
                <w:rFonts w:hint="eastAsia" w:asciiTheme="minorEastAsia" w:hAnsiTheme="minorEastAsia" w:eastAsiaTheme="minorEastAsia" w:cstheme="minorEastAsia"/>
                <w:color w:val="auto"/>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20"/>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2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20"/>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2E3CCE71">
      <w:pPr>
        <w:pStyle w:val="4"/>
        <w:rPr>
          <w:color w:val="auto"/>
          <w:highlight w:val="none"/>
        </w:rPr>
      </w:pPr>
    </w:p>
    <w:p w14:paraId="5A152DA9">
      <w:pPr>
        <w:pStyle w:val="4"/>
        <w:rPr>
          <w:color w:val="auto"/>
          <w:highlight w:val="none"/>
        </w:rPr>
      </w:pPr>
      <w:r>
        <w:rPr>
          <w:rFonts w:hint="eastAsia"/>
          <w:color w:val="auto"/>
          <w:highlight w:val="none"/>
        </w:rPr>
        <w:t>投标人须知</w:t>
      </w:r>
    </w:p>
    <w:p w14:paraId="4C0AE598">
      <w:pPr>
        <w:pStyle w:val="4"/>
        <w:rPr>
          <w:bCs/>
          <w:color w:val="auto"/>
          <w:spacing w:val="-1"/>
          <w:highlight w:val="none"/>
        </w:rPr>
      </w:pPr>
      <w:r>
        <w:rPr>
          <w:rFonts w:hint="eastAsia"/>
          <w:color w:val="auto"/>
          <w:highlight w:val="none"/>
        </w:rPr>
        <w:t>一、说明</w:t>
      </w:r>
    </w:p>
    <w:p w14:paraId="7FEB56A8">
      <w:pPr>
        <w:pStyle w:val="4"/>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1.1采购人、采购代理机构：指依法进行政府采购的国家机关、事业单位、团体组织及其委托的采购代理机构。本项目采购人、采购代理机构见第一章《公开招标公告》。</w:t>
      </w:r>
    </w:p>
    <w:p w14:paraId="2F09EF1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1.2投标人（也称供应商、申请人）：指向采购人提供货物、工程或者服务的法人、其他组织或者自然人。</w:t>
      </w:r>
    </w:p>
    <w:p w14:paraId="1BC59398">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1.3联合体：指两个以上的自然人、法人或者其他组织组成一个联合体，以一个供应商的身份共同参加政府采购。</w:t>
      </w:r>
    </w:p>
    <w:p w14:paraId="091E5391">
      <w:pPr>
        <w:pStyle w:val="4"/>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1B05124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2.1资金来源为财政</w:t>
      </w:r>
      <w:r>
        <w:rPr>
          <w:rFonts w:hint="eastAsia" w:ascii="宋体" w:hAnsi="宋体" w:eastAsia="宋体" w:cs="宋体"/>
          <w:color w:val="auto"/>
          <w:kern w:val="2"/>
          <w:sz w:val="21"/>
          <w:szCs w:val="21"/>
          <w:highlight w:val="none"/>
        </w:rPr>
        <w:t>性资金</w:t>
      </w:r>
      <w:r>
        <w:rPr>
          <w:rFonts w:hint="eastAsia" w:hAnsi="宋体" w:cs="宋体"/>
          <w:color w:val="auto"/>
          <w:kern w:val="2"/>
          <w:sz w:val="21"/>
          <w:szCs w:val="21"/>
          <w:highlight w:val="none"/>
          <w:lang w:val="en-US" w:eastAsia="zh-CN"/>
        </w:rPr>
        <w:t>448000</w:t>
      </w:r>
      <w:r>
        <w:rPr>
          <w:rFonts w:hint="eastAsia" w:ascii="宋体" w:hAnsi="宋体" w:eastAsia="宋体" w:cs="宋体"/>
          <w:color w:val="auto"/>
          <w:kern w:val="2"/>
          <w:sz w:val="21"/>
          <w:szCs w:val="21"/>
          <w:highlight w:val="none"/>
          <w:lang w:val="en-US" w:eastAsia="zh-CN"/>
        </w:rPr>
        <w:t>元</w:t>
      </w:r>
      <w:r>
        <w:rPr>
          <w:rFonts w:hint="eastAsia" w:ascii="宋体" w:hAnsi="宋体" w:eastAsia="宋体" w:cs="宋体"/>
          <w:color w:val="auto"/>
          <w:kern w:val="2"/>
          <w:sz w:val="21"/>
          <w:szCs w:val="21"/>
          <w:highlight w:val="none"/>
        </w:rPr>
        <w:t>。</w:t>
      </w:r>
    </w:p>
    <w:p w14:paraId="53EAE5B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2.2项目属性见《投标人须知表》。</w:t>
      </w:r>
    </w:p>
    <w:p w14:paraId="4FD7667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2.3是否属于科研仪器设备采购见《投标人须知表》。</w:t>
      </w:r>
    </w:p>
    <w:p w14:paraId="2C4744B3">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2.4核心产品见《投标人须知表》。</w:t>
      </w:r>
    </w:p>
    <w:p w14:paraId="5FE22E43">
      <w:pPr>
        <w:pStyle w:val="4"/>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3.1若《投标人须知表》中规定了组织现场考察、召开开标前答疑会，则投标人应按要求在规定的时间和地点参加。</w:t>
      </w:r>
    </w:p>
    <w:p w14:paraId="23119F8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4"/>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4.1采购本国货物、工程和服务</w:t>
      </w:r>
    </w:p>
    <w:p w14:paraId="4665A6C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4.1.1政府采购应当采购本国货物、工程和服务。但有《中华人民共和国政府采购法》第十条规定情形的除外。</w:t>
      </w:r>
    </w:p>
    <w:p w14:paraId="6AF2CD0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4.1.2本项目如接受非本国货物、工程、服务参与投标，则具体要求见第二章《采购需求》。</w:t>
      </w:r>
    </w:p>
    <w:p w14:paraId="5307468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4.2中小企业、监狱企业及残疾人福利性单位</w:t>
      </w:r>
    </w:p>
    <w:p w14:paraId="4FAD288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4.2.1中小企业定义：</w:t>
      </w:r>
    </w:p>
    <w:p w14:paraId="0733BFC3">
      <w:pPr>
        <w:pStyle w:val="18"/>
        <w:spacing w:line="520" w:lineRule="exact"/>
        <w:ind w:left="440"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供应商提供的货物、工程或者服务符合下列情形的，享受中小企业扶持政策：</w:t>
      </w:r>
    </w:p>
    <w:p w14:paraId="79574F7A">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（1）在货物采购项目中，货物由中小企业制造，即货物由中小企业生产且使用该中小企业商号或者注册商标；</w:t>
      </w:r>
    </w:p>
    <w:p w14:paraId="2407543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（2）在工程采购项目中，工程由中小企业承建，即工程施工单位为中小企业；</w:t>
      </w:r>
    </w:p>
    <w:p w14:paraId="042DC70D">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（3）在服务采购项目中，服务由中小企业承接，即提供服务的人员为中小企业依照《中华人民共和国劳动合同法》订立劳动合同的从业人员。</w:t>
      </w:r>
    </w:p>
    <w:p w14:paraId="42B8F0C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在货物采购项目中，供应商提供的货物既有中小企业制造货物，也有大型企业制造货物的，不享受中小企业扶持政策。</w:t>
      </w:r>
    </w:p>
    <w:p w14:paraId="5E178644">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0B7EE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"file:///C:\\Users\\Administrator\\Desktop\\5.2.3.1" </w:instrText>
      </w:r>
      <w:r>
        <w:rPr>
          <w:color w:val="auto"/>
          <w:highlight w:val="none"/>
        </w:rPr>
        <w:fldChar w:fldCharType="separate"/>
      </w:r>
      <w:r>
        <w:rPr>
          <w:rFonts w:hint="eastAsia" w:hAnsi="宋体" w:cs="宋体"/>
          <w:color w:val="auto"/>
          <w:kern w:val="2"/>
          <w:sz w:val="21"/>
          <w:szCs w:val="21"/>
          <w:highlight w:val="none"/>
        </w:rPr>
        <w:t>4.2.3.1</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安置的残疾人占本单位在职职工人数的比例不低于25%（含25%），并且安置的残疾人人数不少于10人（含10人）；</w:t>
      </w:r>
    </w:p>
    <w:p w14:paraId="3C103996">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"file:///C:\\Users\\Administrator\\Desktop\\5.2.3.2" </w:instrText>
      </w:r>
      <w:r>
        <w:rPr>
          <w:color w:val="auto"/>
          <w:highlight w:val="none"/>
        </w:rPr>
        <w:fldChar w:fldCharType="separate"/>
      </w:r>
      <w:r>
        <w:rPr>
          <w:rFonts w:hint="eastAsia" w:hAnsi="宋体" w:cs="宋体"/>
          <w:color w:val="auto"/>
          <w:kern w:val="2"/>
          <w:sz w:val="21"/>
          <w:szCs w:val="21"/>
          <w:highlight w:val="none"/>
        </w:rPr>
        <w:t>4.2.3.2</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依法与安置的每位残疾人签订了一年以上（含一年）的劳动合同或服务协议；</w:t>
      </w:r>
    </w:p>
    <w:p w14:paraId="45A0ABF0">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"file:///C:\\Users\\Administrator\\Desktop\\5.2.3.3" </w:instrText>
      </w:r>
      <w:r>
        <w:rPr>
          <w:color w:val="auto"/>
          <w:highlight w:val="none"/>
        </w:rPr>
        <w:fldChar w:fldCharType="separate"/>
      </w:r>
      <w:r>
        <w:rPr>
          <w:rFonts w:hint="eastAsia" w:hAnsi="宋体" w:cs="宋体"/>
          <w:color w:val="auto"/>
          <w:kern w:val="2"/>
          <w:sz w:val="21"/>
          <w:szCs w:val="21"/>
          <w:highlight w:val="none"/>
        </w:rPr>
        <w:t>4.2.3.3</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为安置的每位残疾人按月足额缴纳了基本养老、医疗、失业、工伤和生育等社会保险费；</w:t>
      </w:r>
    </w:p>
    <w:p w14:paraId="46BF1794">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"file:///C:\\Users\\Administrator\\Desktop\\5.2.3.4" </w:instrText>
      </w:r>
      <w:r>
        <w:rPr>
          <w:color w:val="auto"/>
          <w:highlight w:val="none"/>
        </w:rPr>
        <w:fldChar w:fldCharType="separate"/>
      </w:r>
      <w:r>
        <w:rPr>
          <w:rFonts w:hint="eastAsia" w:hAnsi="宋体" w:cs="宋体"/>
          <w:color w:val="auto"/>
          <w:kern w:val="2"/>
          <w:sz w:val="21"/>
          <w:szCs w:val="21"/>
          <w:highlight w:val="none"/>
        </w:rPr>
        <w:t>4.2.3.4</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通过银行等金融机构向安置的每位残疾人，按月支付了不低于单位所在区县的月最低工资标准的工资；</w:t>
      </w:r>
    </w:p>
    <w:p w14:paraId="1E5966F7">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"file:///C:\\Users\\Administrator\\Desktop\\5.2.3.5" </w:instrText>
      </w:r>
      <w:r>
        <w:rPr>
          <w:color w:val="auto"/>
          <w:highlight w:val="none"/>
        </w:rPr>
        <w:fldChar w:fldCharType="separate"/>
      </w:r>
      <w:r>
        <w:rPr>
          <w:rFonts w:hint="eastAsia" w:hAnsi="宋体" w:cs="宋体"/>
          <w:color w:val="auto"/>
          <w:kern w:val="2"/>
          <w:sz w:val="21"/>
          <w:szCs w:val="21"/>
          <w:highlight w:val="none"/>
        </w:rPr>
        <w:t>4.2.3.5</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提供本单位制造的货物、承担的工程或者服务（以下简称产品），或者提供其他残疾人福利性单位制造的货物（不包括使用非残疾人福利性单位注册商标的货物）；</w:t>
      </w:r>
    </w:p>
    <w:p w14:paraId="1756AD7F">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"file:///C:\\Users\\Administrator\\Desktop\\5.2.3.6" </w:instrText>
      </w:r>
      <w:r>
        <w:rPr>
          <w:color w:val="auto"/>
          <w:highlight w:val="none"/>
        </w:rPr>
        <w:fldChar w:fldCharType="separate"/>
      </w:r>
      <w:r>
        <w:rPr>
          <w:rFonts w:hint="eastAsia" w:hAnsi="宋体" w:cs="宋体"/>
          <w:color w:val="auto"/>
          <w:kern w:val="2"/>
          <w:sz w:val="21"/>
          <w:szCs w:val="21"/>
          <w:highlight w:val="none"/>
        </w:rPr>
        <w:t>4.2.3.6</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4.2.4本项目是否专门面向中小企业预留采购份额见第一章《公开招标公告》。</w:t>
      </w:r>
    </w:p>
    <w:p w14:paraId="79BE075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4.2.5采购标的对应的中小企业划分标准所属行业见《投标人须知表》。</w:t>
      </w:r>
    </w:p>
    <w:p w14:paraId="6154B48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4.2.6小微企业价格评审优惠的政策调整：见第四章《开、评标程序、评标方法和评标标准》。</w:t>
      </w:r>
    </w:p>
    <w:p w14:paraId="73A46DF0">
      <w:pPr>
        <w:pStyle w:val="4"/>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4.3政府采购节能产品、环境标志产品</w:t>
      </w:r>
    </w:p>
    <w:p w14:paraId="4EB90FF1">
      <w:pPr>
        <w:pStyle w:val="18"/>
        <w:spacing w:line="520" w:lineRule="exact"/>
        <w:ind w:left="440" w:firstLine="0"/>
        <w:rPr>
          <w:rFonts w:hAnsi="宋体" w:cs="宋体"/>
          <w:color w:val="auto"/>
          <w:kern w:val="2"/>
          <w:sz w:val="21"/>
          <w:szCs w:val="21"/>
          <w:highlight w:val="none"/>
        </w:rPr>
      </w:pPr>
      <w:r>
        <w:rPr>
          <w:rFonts w:hAnsi="宋体" w:cs="宋体"/>
          <w:color w:val="auto"/>
          <w:kern w:val="2"/>
          <w:sz w:val="21"/>
          <w:szCs w:val="21"/>
          <w:highlight w:val="none"/>
        </w:rPr>
        <w:t>4.3.1政府采购节能产品、环境标志产品实施品目清单管理。财政部、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Ansi="宋体" w:cs="宋体"/>
          <w:color w:val="auto"/>
          <w:kern w:val="2"/>
          <w:sz w:val="21"/>
          <w:szCs w:val="21"/>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4"/>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4.4正版软件</w:t>
      </w:r>
    </w:p>
    <w:p w14:paraId="74DD9D6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4.4.1依据《财政部、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、信息产业部以文件形式确定、公布并适时调整。</w:t>
      </w:r>
    </w:p>
    <w:p w14:paraId="0FB39C5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4.4.2各级政府部门在购置计算机办公设备时，必须采购预装正版操作系统</w:t>
      </w:r>
    </w:p>
    <w:p w14:paraId="6948E2A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4.5网络安全专用产品</w:t>
      </w:r>
    </w:p>
    <w:p w14:paraId="70906D1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4.6采购需求标准</w:t>
      </w:r>
    </w:p>
    <w:p w14:paraId="6DE3A749">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4.6.2绿色数据中心政府采购需求标准（试行）</w:t>
      </w:r>
    </w:p>
    <w:p w14:paraId="09923FE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4"/>
        <w:ind w:firstLine="0" w:firstLineChars="0"/>
        <w:rPr>
          <w:color w:val="auto"/>
          <w:sz w:val="24"/>
          <w:szCs w:val="24"/>
          <w:highlight w:val="none"/>
        </w:rPr>
      </w:pPr>
      <w:r>
        <w:rPr>
          <w:rFonts w:hint="eastAsia"/>
          <w:color w:val="auto"/>
          <w:sz w:val="24"/>
          <w:szCs w:val="24"/>
          <w:highlight w:val="none"/>
        </w:rPr>
        <w:t>5.投标费用</w:t>
      </w:r>
    </w:p>
    <w:p w14:paraId="2DEDB3B6">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投标人应自行承担所有与准备和招标有关的费用，无论招标的结果如何，采购人或采购代理机构在任何情况下均无承担这些费用的义务和责任。</w:t>
      </w:r>
    </w:p>
    <w:p w14:paraId="110D82BD">
      <w:pPr>
        <w:pStyle w:val="4"/>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18"/>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0D350BC4">
      <w:pPr>
        <w:keepNext w:val="0"/>
        <w:keepLines w:val="0"/>
        <w:pageBreakBefore w:val="0"/>
        <w:widowControl w:val="0"/>
        <w:kinsoku/>
        <w:wordWrap w:val="0"/>
        <w:overflowPunct/>
        <w:topLinePunct w:val="0"/>
        <w:autoSpaceDE w:val="0"/>
        <w:autoSpaceDN w:val="0"/>
        <w:bidi w:val="0"/>
        <w:adjustRightInd/>
        <w:snapToGrid/>
        <w:spacing w:line="240" w:lineRule="auto"/>
        <w:ind w:firstLine="567"/>
        <w:jc w:val="both"/>
        <w:textAlignment w:val="auto"/>
        <w:rPr>
          <w:rFonts w:hint="eastAsia" w:asciiTheme="minorEastAsia" w:hAnsiTheme="minorEastAsia" w:eastAsiaTheme="minorEastAsia" w:cstheme="minorEastAsia"/>
          <w:color w:val="auto"/>
          <w:spacing w:val="-4"/>
          <w:sz w:val="24"/>
          <w:szCs w:val="24"/>
          <w:highlight w:val="none"/>
        </w:rPr>
      </w:pP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6.3“货物”指投标人按招标文件规定，须向采购人提供的与本次招标相关的</w:t>
      </w:r>
      <w:r>
        <w:rPr>
          <w:rFonts w:hint="eastAsia" w:ascii="宋体" w:hAnsi="宋体" w:eastAsia="宋体" w:cs="宋体"/>
          <w:color w:val="auto"/>
          <w:sz w:val="24"/>
          <w:szCs w:val="24"/>
          <w:highlight w:val="none"/>
          <w:u w:val="single"/>
          <w:lang w:val="en-US" w:eastAsia="zh-CN"/>
        </w:rPr>
        <w:t>机械设备</w:t>
      </w:r>
      <w:r>
        <w:rPr>
          <w:rFonts w:hint="eastAsia" w:asciiTheme="minorEastAsia" w:hAnsiTheme="minorEastAsia" w:eastAsiaTheme="minorEastAsia" w:cstheme="minorEastAsia"/>
          <w:color w:val="auto"/>
          <w:spacing w:val="-2"/>
          <w:sz w:val="24"/>
          <w:szCs w:val="24"/>
          <w:highlight w:val="none"/>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6.4“服务”指招标文件规定投标人应承担的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送货安装、售后</w:t>
      </w:r>
      <w:r>
        <w:rPr>
          <w:rFonts w:hint="eastAsia" w:asciiTheme="minorEastAsia" w:hAnsiTheme="minorEastAsia" w:eastAsiaTheme="minorEastAsia" w:cstheme="minorEastAsia"/>
          <w:color w:val="auto"/>
          <w:spacing w:val="-2"/>
          <w:sz w:val="24"/>
          <w:szCs w:val="24"/>
          <w:highlight w:val="none"/>
          <w:lang w:eastAsia="zh-CN"/>
        </w:rPr>
        <w:t>服务。</w:t>
      </w:r>
    </w:p>
    <w:p w14:paraId="4E9769BB">
      <w:pPr>
        <w:pStyle w:val="4"/>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4"/>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16DFE157">
      <w:pPr>
        <w:pStyle w:val="4"/>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4"/>
        <w:ind w:firstLine="0" w:firstLineChars="0"/>
        <w:rPr>
          <w:b w:val="0"/>
          <w:color w:val="auto"/>
          <w:spacing w:val="-8"/>
          <w:sz w:val="24"/>
          <w:szCs w:val="24"/>
          <w:highlight w:val="none"/>
        </w:rPr>
      </w:pPr>
      <w:r>
        <w:rPr>
          <w:rFonts w:hint="eastAsia"/>
          <w:b w:val="0"/>
          <w:color w:val="auto"/>
          <w:spacing w:val="-8"/>
          <w:sz w:val="24"/>
          <w:szCs w:val="24"/>
          <w:highlight w:val="none"/>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4"/>
        <w:ind w:firstLine="0" w:firstLineChars="0"/>
        <w:rPr>
          <w:b w:val="0"/>
          <w:color w:val="auto"/>
          <w:spacing w:val="-8"/>
          <w:sz w:val="24"/>
          <w:szCs w:val="24"/>
          <w:highlight w:val="none"/>
        </w:rPr>
      </w:pPr>
      <w:r>
        <w:rPr>
          <w:rFonts w:hint="eastAsia"/>
          <w:b w:val="0"/>
          <w:color w:val="auto"/>
          <w:spacing w:val="-8"/>
          <w:sz w:val="24"/>
          <w:szCs w:val="24"/>
          <w:highlight w:val="none"/>
        </w:rPr>
        <w:t>8.4投标人应关注是否有发布最新的澄清更正公告和更正的最新招标文件（电子答疑文件），如有则需下载最新的招标文件，并在此基础上制作最新的投标文件并上传。</w:t>
      </w:r>
    </w:p>
    <w:p w14:paraId="16D6E6CF">
      <w:pPr>
        <w:pStyle w:val="4"/>
        <w:ind w:firstLine="2016"/>
        <w:rPr>
          <w:b w:val="0"/>
          <w:color w:val="auto"/>
          <w:spacing w:val="-8"/>
          <w:sz w:val="24"/>
          <w:szCs w:val="24"/>
          <w:highlight w:val="none"/>
        </w:rPr>
      </w:pPr>
    </w:p>
    <w:p w14:paraId="5321B63E">
      <w:pPr>
        <w:pStyle w:val="4"/>
        <w:ind w:firstLine="0" w:firstLineChars="0"/>
        <w:rPr>
          <w:color w:val="auto"/>
          <w:sz w:val="28"/>
          <w:szCs w:val="28"/>
          <w:highlight w:val="none"/>
        </w:rPr>
      </w:pPr>
      <w:r>
        <w:rPr>
          <w:rFonts w:hint="eastAsia"/>
          <w:color w:val="auto"/>
          <w:sz w:val="28"/>
          <w:szCs w:val="28"/>
          <w:highlight w:val="none"/>
        </w:rPr>
        <w:t>三、投标文件的编制</w:t>
      </w:r>
    </w:p>
    <w:p w14:paraId="1FD29743">
      <w:pPr>
        <w:pStyle w:val="4"/>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4"/>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4"/>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F307ACA">
      <w:pPr>
        <w:pStyle w:val="4"/>
        <w:ind w:firstLine="739" w:firstLineChars="200"/>
        <w:rPr>
          <w:color w:val="auto"/>
          <w:highlight w:val="none"/>
        </w:rPr>
      </w:pPr>
      <w:r>
        <w:rPr>
          <w:rFonts w:hint="eastAsia"/>
          <w:color w:val="auto"/>
          <w:highlight w:val="none"/>
        </w:rPr>
        <w:t>第四章开、评标程序、评标方法和评标标准</w:t>
      </w: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2.3宣布开标结束。</w:t>
      </w:r>
    </w:p>
    <w:p w14:paraId="548EDE9E">
      <w:pPr>
        <w:rPr>
          <w:color w:val="auto"/>
          <w:highlight w:val="none"/>
        </w:rPr>
      </w:pPr>
    </w:p>
    <w:p w14:paraId="31293CD4">
      <w:pPr>
        <w:pStyle w:val="4"/>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5"/>
        <w:rPr>
          <w:color w:val="auto"/>
          <w:highlight w:val="none"/>
        </w:rPr>
      </w:pPr>
    </w:p>
    <w:p w14:paraId="3F2C6969">
      <w:pPr>
        <w:pStyle w:val="4"/>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21"/>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20"/>
              <w:rPr>
                <w:color w:val="auto"/>
                <w:highlight w:val="none"/>
              </w:rPr>
            </w:pPr>
            <w:r>
              <w:rPr>
                <w:rFonts w:hint="eastAsia"/>
                <w:color w:val="auto"/>
                <w:highlight w:val="none"/>
              </w:rPr>
              <w:t>1</w:t>
            </w:r>
            <w:r>
              <w:rPr>
                <w:color w:val="auto"/>
                <w:highlight w:val="none"/>
              </w:rPr>
              <w:t>1</w:t>
            </w:r>
          </w:p>
          <w:p w14:paraId="3460ACCF">
            <w:pPr>
              <w:pStyle w:val="20"/>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686D45A">
            <w:pPr>
              <w:spacing w:line="520" w:lineRule="exact"/>
              <w:rPr>
                <w:color w:val="auto"/>
                <w:sz w:val="24"/>
                <w:szCs w:val="21"/>
                <w:highlight w:val="none"/>
              </w:rPr>
            </w:pPr>
            <w:r>
              <w:rPr>
                <w:rFonts w:hint="eastAsia"/>
                <w:color w:val="auto"/>
                <w:sz w:val="24"/>
                <w:szCs w:val="21"/>
                <w:highlight w:val="none"/>
              </w:rPr>
              <w:t>本项目专门面向中小企业采购。即：提供的货物全部由符合政策要求的中小/微企业制造、服务全部由符合政策要求的中小/微企业承接。</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47BDDF4C">
            <w:pPr>
              <w:spacing w:line="520" w:lineRule="exact"/>
              <w:rPr>
                <w:rFonts w:asciiTheme="minorEastAsia" w:hAnsiTheme="minorEastAsia" w:eastAsiaTheme="minorEastAsia" w:cstheme="minorEastAsia"/>
                <w:color w:val="auto"/>
                <w:sz w:val="24"/>
                <w:szCs w:val="24"/>
                <w:highlight w:val="none"/>
              </w:rPr>
            </w:pPr>
            <w:r>
              <w:rPr>
                <w:color w:val="auto"/>
                <w:sz w:val="24"/>
                <w:szCs w:val="21"/>
                <w:highlight w:val="none"/>
              </w:rPr>
              <w:t>2.</w:t>
            </w:r>
            <w:r>
              <w:rPr>
                <w:rFonts w:hint="eastAsia"/>
                <w:color w:val="auto"/>
                <w:sz w:val="24"/>
                <w:szCs w:val="21"/>
                <w:highlight w:val="none"/>
              </w:rPr>
              <w:t>4.本项目是否属于政府购买服务：否</w:t>
            </w: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20"/>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20"/>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20"/>
              <w:rPr>
                <w:color w:val="auto"/>
                <w:highlight w:val="none"/>
              </w:rPr>
            </w:pPr>
          </w:p>
          <w:p w14:paraId="74BEDD28">
            <w:pPr>
              <w:pStyle w:val="20"/>
              <w:rPr>
                <w:color w:val="auto"/>
                <w:highlight w:val="none"/>
              </w:rPr>
            </w:pPr>
          </w:p>
          <w:p w14:paraId="3AECBF64">
            <w:pPr>
              <w:pStyle w:val="20"/>
              <w:rPr>
                <w:color w:val="auto"/>
                <w:highlight w:val="none"/>
              </w:rPr>
            </w:pPr>
          </w:p>
          <w:p w14:paraId="704E0D38">
            <w:pPr>
              <w:pStyle w:val="20"/>
              <w:rPr>
                <w:color w:val="auto"/>
                <w:highlight w:val="none"/>
              </w:rPr>
            </w:pPr>
          </w:p>
          <w:p w14:paraId="62725C1E">
            <w:pPr>
              <w:pStyle w:val="20"/>
              <w:rPr>
                <w:color w:val="auto"/>
                <w:highlight w:val="none"/>
              </w:rPr>
            </w:pPr>
          </w:p>
          <w:p w14:paraId="0D52B3B8">
            <w:pPr>
              <w:pStyle w:val="20"/>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20"/>
              <w:rPr>
                <w:color w:val="auto"/>
                <w:highlight w:val="none"/>
              </w:rPr>
            </w:pPr>
          </w:p>
          <w:p w14:paraId="12CF0017">
            <w:pPr>
              <w:pStyle w:val="20"/>
              <w:rPr>
                <w:color w:val="auto"/>
                <w:highlight w:val="none"/>
              </w:rPr>
            </w:pPr>
          </w:p>
          <w:p w14:paraId="259394AB">
            <w:pPr>
              <w:pStyle w:val="20"/>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20"/>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20"/>
              <w:rPr>
                <w:color w:val="auto"/>
                <w:highlight w:val="none"/>
              </w:rPr>
            </w:pPr>
          </w:p>
          <w:p w14:paraId="03F7CD1F">
            <w:pPr>
              <w:pStyle w:val="20"/>
              <w:rPr>
                <w:color w:val="auto"/>
                <w:highlight w:val="none"/>
              </w:rPr>
            </w:pPr>
          </w:p>
          <w:p w14:paraId="28DF1A24">
            <w:pPr>
              <w:pStyle w:val="20"/>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20"/>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20"/>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326FF">
      <w:pPr>
        <w:pStyle w:val="4"/>
        <w:rPr>
          <w:rFonts w:hint="eastAsia"/>
          <w:color w:val="auto"/>
          <w:highlight w:val="none"/>
        </w:rPr>
      </w:pPr>
    </w:p>
    <w:p w14:paraId="5172A769">
      <w:pPr>
        <w:pStyle w:val="4"/>
        <w:rPr>
          <w:rFonts w:hint="eastAsia"/>
          <w:color w:val="auto"/>
          <w:highlight w:val="none"/>
        </w:rPr>
      </w:pPr>
    </w:p>
    <w:p w14:paraId="0AA27C24">
      <w:pPr>
        <w:pStyle w:val="4"/>
        <w:rPr>
          <w:rFonts w:hint="eastAsia"/>
          <w:color w:val="auto"/>
          <w:highlight w:val="none"/>
        </w:rPr>
      </w:pPr>
    </w:p>
    <w:p w14:paraId="0ADF7A3D">
      <w:pPr>
        <w:pStyle w:val="4"/>
        <w:rPr>
          <w:rFonts w:hint="eastAsia"/>
          <w:color w:val="auto"/>
          <w:highlight w:val="none"/>
        </w:rPr>
      </w:pPr>
    </w:p>
    <w:p w14:paraId="1175FD6A">
      <w:pPr>
        <w:pStyle w:val="4"/>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21"/>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685"/>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tcPr>
          <w:p w14:paraId="465C9F63">
            <w:pPr>
              <w:spacing w:before="0" w:after="0"/>
              <w:ind w:left="14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6" w14:cap="flat" w14:cmpd="sng" w14:algn="ctr">
                  <w14:solidFill>
                    <w14:srgbClr w14:val="000000"/>
                  </w14:solidFill>
                  <w14:prstDash w14:val="solid"/>
                  <w14:miter w14:val="0"/>
                </w14:textOutline>
              </w:rPr>
              <w:t>序号</w:t>
            </w:r>
          </w:p>
        </w:tc>
        <w:tc>
          <w:tcPr>
            <w:tcW w:w="1685" w:type="dxa"/>
          </w:tcPr>
          <w:p w14:paraId="58359B42">
            <w:pPr>
              <w:spacing w:before="0" w:after="0"/>
              <w:ind w:left="43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5" w:type="dxa"/>
          </w:tcPr>
          <w:p w14:paraId="1A4ED041">
            <w:pPr>
              <w:pStyle w:val="20"/>
              <w:spacing w:before="0" w:after="0"/>
              <w:ind w:left="32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85" w:type="dxa"/>
          </w:tcPr>
          <w:p w14:paraId="0D44CF29">
            <w:pPr>
              <w:spacing w:before="0" w:after="0"/>
              <w:ind w:left="11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7076" w:type="dxa"/>
          </w:tcPr>
          <w:p w14:paraId="3AADE1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028FD71">
            <w:pPr>
              <w:pStyle w:val="20"/>
              <w:spacing w:before="0" w:after="0"/>
              <w:ind w:left="3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685" w:type="dxa"/>
            <w:vAlign w:val="center"/>
          </w:tcPr>
          <w:p w14:paraId="7BCEF9EB">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7076" w:type="dxa"/>
            <w:vAlign w:val="center"/>
          </w:tcPr>
          <w:p w14:paraId="594A1854">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未将一个采购包中的内容拆分投标；</w:t>
            </w:r>
          </w:p>
          <w:p w14:paraId="720200E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C1EF9B0">
            <w:pPr>
              <w:pStyle w:val="20"/>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85" w:type="dxa"/>
          </w:tcPr>
          <w:p w14:paraId="745CD0CE">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076" w:type="dxa"/>
          </w:tcPr>
          <w:p w14:paraId="6EB76D8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07B4406">
            <w:pPr>
              <w:pStyle w:val="20"/>
              <w:spacing w:before="0" w:after="0"/>
              <w:ind w:left="30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685" w:type="dxa"/>
          </w:tcPr>
          <w:p w14:paraId="7AAE63D3">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7076" w:type="dxa"/>
          </w:tcPr>
          <w:p w14:paraId="18E5D391">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28D2525A">
            <w:pPr>
              <w:pStyle w:val="20"/>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85" w:type="dxa"/>
          </w:tcPr>
          <w:p w14:paraId="6DC061E4">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7076" w:type="dxa"/>
          </w:tcPr>
          <w:p w14:paraId="36F6392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4E40E37">
            <w:pPr>
              <w:pStyle w:val="20"/>
              <w:spacing w:before="0" w:after="0"/>
              <w:ind w:left="31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685" w:type="dxa"/>
          </w:tcPr>
          <w:p w14:paraId="34E7105A">
            <w:pPr>
              <w:spacing w:before="0" w:after="0"/>
              <w:ind w:left="118"/>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7076" w:type="dxa"/>
          </w:tcPr>
          <w:p w14:paraId="7F6A9B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0799085F">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7</w:t>
            </w:r>
          </w:p>
        </w:tc>
        <w:tc>
          <w:tcPr>
            <w:tcW w:w="1685" w:type="dxa"/>
          </w:tcPr>
          <w:p w14:paraId="6505B7E8">
            <w:pPr>
              <w:spacing w:before="0" w:after="0"/>
              <w:ind w:left="112" w:right="123" w:hanging="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7076" w:type="dxa"/>
          </w:tcPr>
          <w:p w14:paraId="27CBE03C">
            <w:pPr>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不涉及报价修正，或投标文件报价出现前后不一致时，投标人对修正后的报价予以确认。</w:t>
            </w:r>
            <w:r>
              <w:rPr>
                <w:rFonts w:hint="eastAsia" w:ascii="宋体" w:hAnsi="宋体" w:cs="宋体"/>
                <w:color w:val="auto"/>
                <w:sz w:val="24"/>
                <w:szCs w:val="24"/>
                <w:highlight w:val="none"/>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5D64B31">
            <w:pPr>
              <w:pStyle w:val="20"/>
              <w:spacing w:before="0" w:after="0"/>
              <w:jc w:val="center"/>
              <w:rPr>
                <w:rFonts w:asciiTheme="minorEastAsia" w:hAnsiTheme="minorEastAsia" w:eastAsiaTheme="minorEastAsia" w:cstheme="minorEastAsia"/>
                <w:color w:val="auto"/>
                <w:sz w:val="24"/>
                <w:szCs w:val="24"/>
                <w:highlight w:val="none"/>
              </w:rPr>
            </w:pPr>
          </w:p>
          <w:p w14:paraId="2EDE1F89">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8</w:t>
            </w:r>
          </w:p>
        </w:tc>
        <w:tc>
          <w:tcPr>
            <w:tcW w:w="1685" w:type="dxa"/>
          </w:tcPr>
          <w:p w14:paraId="4D69C12B">
            <w:pPr>
              <w:pStyle w:val="20"/>
              <w:spacing w:before="0" w:after="0"/>
              <w:jc w:val="center"/>
              <w:rPr>
                <w:rFonts w:asciiTheme="minorEastAsia" w:hAnsiTheme="minorEastAsia" w:eastAsiaTheme="minorEastAsia" w:cstheme="minorEastAsia"/>
                <w:color w:val="auto"/>
                <w:sz w:val="24"/>
                <w:szCs w:val="24"/>
                <w:highlight w:val="none"/>
              </w:rPr>
            </w:pPr>
          </w:p>
          <w:p w14:paraId="6D8F2D00">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7076" w:type="dxa"/>
          </w:tcPr>
          <w:p w14:paraId="56DCC87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689152AE">
            <w:pPr>
              <w:pStyle w:val="20"/>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9</w:t>
            </w:r>
          </w:p>
        </w:tc>
        <w:tc>
          <w:tcPr>
            <w:tcW w:w="1685"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☑交货时间</w:t>
            </w:r>
          </w:p>
          <w:p w14:paraId="22955E46">
            <w:pPr>
              <w:spacing w:before="0" w:after="0"/>
              <w:ind w:left="122" w:right="129" w:hanging="7"/>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7076" w:type="dxa"/>
            <w:vAlign w:val="center"/>
          </w:tcPr>
          <w:p w14:paraId="0B6FED27">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EE32227">
            <w:pPr>
              <w:pStyle w:val="20"/>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10</w:t>
            </w:r>
          </w:p>
        </w:tc>
        <w:tc>
          <w:tcPr>
            <w:tcW w:w="1685"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服务质量</w:t>
            </w:r>
          </w:p>
        </w:tc>
        <w:tc>
          <w:tcPr>
            <w:tcW w:w="7076" w:type="dxa"/>
            <w:vAlign w:val="center"/>
          </w:tcPr>
          <w:p w14:paraId="1AE0E4F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85" w:type="dxa"/>
          </w:tcPr>
          <w:p w14:paraId="5AE29113">
            <w:pPr>
              <w:pStyle w:val="20"/>
              <w:spacing w:before="0" w:after="0"/>
              <w:jc w:val="center"/>
              <w:rPr>
                <w:rFonts w:asciiTheme="minorEastAsia" w:hAnsiTheme="minorEastAsia" w:eastAsiaTheme="minorEastAsia" w:cstheme="minorEastAsia"/>
                <w:color w:val="auto"/>
                <w:sz w:val="24"/>
                <w:szCs w:val="24"/>
                <w:highlight w:val="none"/>
              </w:rPr>
            </w:pPr>
          </w:p>
          <w:p w14:paraId="45B7B60A">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11</w:t>
            </w:r>
          </w:p>
        </w:tc>
        <w:tc>
          <w:tcPr>
            <w:tcW w:w="1685" w:type="dxa"/>
          </w:tcPr>
          <w:p w14:paraId="44C6DE23">
            <w:pPr>
              <w:pStyle w:val="20"/>
              <w:spacing w:before="0" w:after="0"/>
              <w:rPr>
                <w:rFonts w:asciiTheme="minorEastAsia" w:hAnsiTheme="minorEastAsia" w:eastAsiaTheme="minorEastAsia" w:cstheme="minorEastAsia"/>
                <w:color w:val="auto"/>
                <w:sz w:val="24"/>
                <w:szCs w:val="24"/>
                <w:highlight w:val="none"/>
              </w:rPr>
            </w:pPr>
          </w:p>
          <w:p w14:paraId="2DE58B33">
            <w:pPr>
              <w:spacing w:before="0" w:after="0"/>
              <w:ind w:left="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7076" w:type="dxa"/>
          </w:tcPr>
          <w:p w14:paraId="07A2AF21">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tcPr>
          <w:p w14:paraId="6E2A7697">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0EDE529D">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20EDEA40">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36EED214">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12</w:t>
            </w:r>
          </w:p>
        </w:tc>
        <w:tc>
          <w:tcPr>
            <w:tcW w:w="1685" w:type="dxa"/>
          </w:tcPr>
          <w:p w14:paraId="4DB8F779">
            <w:pPr>
              <w:pStyle w:val="20"/>
              <w:spacing w:before="0" w:after="0"/>
              <w:rPr>
                <w:rFonts w:asciiTheme="minorEastAsia" w:hAnsiTheme="minorEastAsia" w:eastAsiaTheme="minorEastAsia" w:cstheme="minorEastAsia"/>
                <w:color w:val="auto"/>
                <w:sz w:val="24"/>
                <w:szCs w:val="24"/>
                <w:highlight w:val="none"/>
              </w:rPr>
            </w:pPr>
          </w:p>
          <w:p w14:paraId="24DA00FA">
            <w:pPr>
              <w:pStyle w:val="20"/>
              <w:spacing w:before="0" w:after="0"/>
              <w:rPr>
                <w:rFonts w:asciiTheme="minorEastAsia" w:hAnsiTheme="minorEastAsia" w:eastAsiaTheme="minorEastAsia" w:cstheme="minorEastAsia"/>
                <w:color w:val="auto"/>
                <w:sz w:val="24"/>
                <w:szCs w:val="24"/>
                <w:highlight w:val="none"/>
              </w:rPr>
            </w:pPr>
          </w:p>
          <w:p w14:paraId="0794D50A">
            <w:pPr>
              <w:pStyle w:val="20"/>
              <w:spacing w:before="0" w:after="0"/>
              <w:rPr>
                <w:rFonts w:asciiTheme="minorEastAsia" w:hAnsiTheme="minorEastAsia" w:eastAsiaTheme="minorEastAsia" w:cstheme="minorEastAsia"/>
                <w:color w:val="auto"/>
                <w:sz w:val="24"/>
                <w:szCs w:val="24"/>
                <w:highlight w:val="none"/>
              </w:rPr>
            </w:pPr>
          </w:p>
          <w:p w14:paraId="2FE5E827">
            <w:pPr>
              <w:spacing w:before="0" w:after="0"/>
              <w:ind w:left="13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7076" w:type="dxa"/>
          </w:tcPr>
          <w:p w14:paraId="4A7678E2">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不存在《政府采购货物和服务招标投标管理办法》视为投标人串通投标的情形：</w:t>
            </w:r>
          </w:p>
          <w:p w14:paraId="3B702B39">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（一）不同投标人的投标文件由同一单位或者同一个人编制；</w:t>
            </w:r>
          </w:p>
          <w:p w14:paraId="65B0523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（二）不同投标人委托同一单位或者个人办理投标事宜；</w:t>
            </w:r>
          </w:p>
          <w:p w14:paraId="76785398">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（三）不同投标人的投标文件载明的项目管理成员或者联系人员为同一人；</w:t>
            </w:r>
          </w:p>
          <w:p w14:paraId="35F98555">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（四）不同投标人的投标文件异常一致或者投标报价呈规律性差异；</w:t>
            </w:r>
          </w:p>
          <w:p w14:paraId="324D976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（五）不同投标人的投标文件相互混装；</w:t>
            </w:r>
          </w:p>
          <w:p w14:paraId="41BB07AA">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（二）不同供应商的投标（响应）文件由同一电子设备编制、打印、加密或上传；</w:t>
            </w:r>
          </w:p>
          <w:p w14:paraId="3927C8B7">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（三）不同供应商的投标（响应）文件由同一电子设备打印、复印；</w:t>
            </w:r>
          </w:p>
          <w:p w14:paraId="3EE8D82D">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（五）不同供应商的投标（响应）文件内容存在两处以上细节错误一致；</w:t>
            </w:r>
          </w:p>
          <w:p w14:paraId="409E737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91A46A0">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eastAsia="zh-CN"/>
              </w:rPr>
              <w:t>3</w:t>
            </w:r>
          </w:p>
        </w:tc>
        <w:tc>
          <w:tcPr>
            <w:tcW w:w="1685" w:type="dxa"/>
          </w:tcPr>
          <w:p w14:paraId="62F643D2">
            <w:pPr>
              <w:spacing w:before="0" w:after="0"/>
              <w:ind w:left="13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7076" w:type="dxa"/>
          </w:tcPr>
          <w:p w14:paraId="7C853B55">
            <w:pPr>
              <w:spacing w:before="0" w:after="0"/>
              <w:rPr>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0F93706">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eastAsia="zh-CN"/>
              </w:rPr>
              <w:t>4</w:t>
            </w:r>
          </w:p>
        </w:tc>
        <w:tc>
          <w:tcPr>
            <w:tcW w:w="1685" w:type="dxa"/>
          </w:tcPr>
          <w:p w14:paraId="399E6767">
            <w:pPr>
              <w:spacing w:before="0" w:after="0"/>
              <w:ind w:left="11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7076" w:type="dxa"/>
          </w:tcPr>
          <w:p w14:paraId="7F4FB4AC">
            <w:pPr>
              <w:spacing w:before="0" w:after="0"/>
              <w:rPr>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4.5评标委员会将根据各投标人的评标排序，依次推荐本项目（各采购包）的中标候选人，起草并签署评标报告。本项目（采购包）评标委员会共推荐3名中标候选人。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4"/>
        <w:ind w:firstLine="0" w:firstLineChars="0"/>
        <w:rPr>
          <w:color w:val="auto"/>
          <w:highlight w:val="none"/>
        </w:rPr>
      </w:pPr>
    </w:p>
    <w:p w14:paraId="6E0DB916">
      <w:pPr>
        <w:rPr>
          <w:rFonts w:hint="eastAsia"/>
          <w:color w:val="auto"/>
          <w:highlight w:val="none"/>
        </w:rPr>
      </w:pPr>
      <w:bookmarkStart w:id="8" w:name="_Toc144974577"/>
      <w:bookmarkStart w:id="9" w:name="_Toc33217862"/>
      <w:r>
        <w:rPr>
          <w:rFonts w:hint="eastAsia"/>
          <w:color w:val="auto"/>
          <w:highlight w:val="none"/>
        </w:rPr>
        <w:br w:type="page"/>
      </w:r>
    </w:p>
    <w:p w14:paraId="6472D29D">
      <w:pPr>
        <w:pStyle w:val="4"/>
        <w:rPr>
          <w:color w:val="auto"/>
          <w:highlight w:val="none"/>
        </w:rPr>
      </w:pPr>
      <w:r>
        <w:rPr>
          <w:rFonts w:hint="eastAsia"/>
          <w:color w:val="auto"/>
          <w:highlight w:val="none"/>
        </w:rPr>
        <w:t>评分标准</w:t>
      </w:r>
    </w:p>
    <w:p w14:paraId="5197F0AC">
      <w:pPr>
        <w:spacing w:before="58" w:line="216" w:lineRule="auto"/>
        <w:ind w:left="1709"/>
        <w:rPr>
          <w:color w:val="auto"/>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详细评审评标办法采用综合评分法,满分100分。</w:t>
      </w:r>
    </w:p>
    <w:p w14:paraId="77596757">
      <w:pPr>
        <w:spacing w:before="44"/>
        <w:rPr>
          <w:color w:val="auto"/>
          <w:highlight w:val="none"/>
        </w:rPr>
      </w:pPr>
    </w:p>
    <w:tbl>
      <w:tblPr>
        <w:tblStyle w:val="21"/>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399"/>
        <w:gridCol w:w="2395"/>
        <w:gridCol w:w="4624"/>
      </w:tblGrid>
      <w:tr w14:paraId="46A3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32" w:type="dxa"/>
            <w:gridSpan w:val="2"/>
          </w:tcPr>
          <w:p w14:paraId="2165CF03">
            <w:pPr>
              <w:pStyle w:val="20"/>
              <w:rPr>
                <w:color w:val="auto"/>
                <w:highlight w:val="none"/>
              </w:rPr>
            </w:pPr>
            <w:r>
              <w:rPr>
                <w:color w:val="auto"/>
                <w:highlight w:val="none"/>
              </w:rPr>
              <w:t>条款号</w:t>
            </w:r>
          </w:p>
        </w:tc>
        <w:tc>
          <w:tcPr>
            <w:tcW w:w="2395" w:type="dxa"/>
          </w:tcPr>
          <w:p w14:paraId="748ED41E">
            <w:pPr>
              <w:pStyle w:val="20"/>
              <w:rPr>
                <w:color w:val="auto"/>
                <w:highlight w:val="none"/>
              </w:rPr>
            </w:pPr>
            <w:r>
              <w:rPr>
                <w:color w:val="auto"/>
                <w:highlight w:val="none"/>
              </w:rPr>
              <w:t>评分因素</w:t>
            </w:r>
          </w:p>
        </w:tc>
        <w:tc>
          <w:tcPr>
            <w:tcW w:w="4624" w:type="dxa"/>
          </w:tcPr>
          <w:p w14:paraId="4BBBDC67">
            <w:pPr>
              <w:pStyle w:val="20"/>
              <w:rPr>
                <w:color w:val="auto"/>
                <w:highlight w:val="none"/>
              </w:rPr>
            </w:pPr>
            <w:r>
              <w:rPr>
                <w:color w:val="auto"/>
                <w:highlight w:val="none"/>
              </w:rPr>
              <w:t>评分标准</w:t>
            </w:r>
          </w:p>
        </w:tc>
      </w:tr>
      <w:tr w14:paraId="46474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0" w:hRule="atLeast"/>
        </w:trPr>
        <w:tc>
          <w:tcPr>
            <w:tcW w:w="933" w:type="dxa"/>
          </w:tcPr>
          <w:p w14:paraId="3A19BCAD">
            <w:pPr>
              <w:spacing w:line="269" w:lineRule="auto"/>
              <w:rPr>
                <w:rFonts w:asciiTheme="minorEastAsia" w:hAnsiTheme="minorEastAsia" w:eastAsiaTheme="minorEastAsia"/>
                <w:color w:val="auto"/>
                <w:highlight w:val="none"/>
              </w:rPr>
            </w:pPr>
          </w:p>
          <w:p w14:paraId="4A260AD9">
            <w:pPr>
              <w:spacing w:line="270" w:lineRule="auto"/>
              <w:rPr>
                <w:rFonts w:asciiTheme="minorEastAsia" w:hAnsiTheme="minorEastAsia" w:eastAsiaTheme="minorEastAsia"/>
                <w:color w:val="auto"/>
                <w:highlight w:val="none"/>
              </w:rPr>
            </w:pPr>
          </w:p>
          <w:p w14:paraId="20944C2B">
            <w:pPr>
              <w:spacing w:line="270" w:lineRule="auto"/>
              <w:rPr>
                <w:rFonts w:asciiTheme="minorEastAsia" w:hAnsiTheme="minorEastAsia" w:eastAsiaTheme="minorEastAsia"/>
                <w:color w:val="auto"/>
                <w:highlight w:val="none"/>
              </w:rPr>
            </w:pPr>
          </w:p>
          <w:p w14:paraId="695864D0">
            <w:pPr>
              <w:spacing w:line="270" w:lineRule="auto"/>
              <w:rPr>
                <w:rFonts w:asciiTheme="minorEastAsia" w:hAnsiTheme="minorEastAsia" w:eastAsiaTheme="minorEastAsia"/>
                <w:color w:val="auto"/>
                <w:highlight w:val="none"/>
              </w:rPr>
            </w:pPr>
          </w:p>
          <w:p w14:paraId="28FC2781">
            <w:pPr>
              <w:spacing w:line="270" w:lineRule="auto"/>
              <w:rPr>
                <w:rFonts w:asciiTheme="minorEastAsia" w:hAnsiTheme="minorEastAsia" w:eastAsiaTheme="minorEastAsia"/>
                <w:color w:val="auto"/>
                <w:highlight w:val="none"/>
              </w:rPr>
            </w:pPr>
          </w:p>
          <w:p w14:paraId="1773A2FF">
            <w:pPr>
              <w:spacing w:line="270" w:lineRule="auto"/>
              <w:rPr>
                <w:rFonts w:asciiTheme="minorEastAsia" w:hAnsiTheme="minorEastAsia" w:eastAsiaTheme="minorEastAsia"/>
                <w:color w:val="auto"/>
                <w:highlight w:val="none"/>
              </w:rPr>
            </w:pPr>
          </w:p>
          <w:p w14:paraId="0391BB2E">
            <w:pPr>
              <w:spacing w:line="270" w:lineRule="auto"/>
              <w:rPr>
                <w:rFonts w:asciiTheme="minorEastAsia" w:hAnsiTheme="minorEastAsia" w:eastAsiaTheme="minorEastAsia"/>
                <w:color w:val="auto"/>
                <w:highlight w:val="none"/>
              </w:rPr>
            </w:pPr>
          </w:p>
          <w:p w14:paraId="622E46AC">
            <w:pPr>
              <w:pStyle w:val="20"/>
              <w:ind w:left="0" w:leftChars="0" w:firstLine="0" w:firstLineChars="0"/>
              <w:rPr>
                <w:color w:val="auto"/>
                <w:highlight w:val="none"/>
              </w:rPr>
            </w:pPr>
            <w:r>
              <w:rPr>
                <w:rFonts w:hint="eastAsia"/>
                <w:color w:val="auto"/>
                <w:highlight w:val="none"/>
                <w:lang w:val="en-US" w:eastAsia="zh-CN"/>
              </w:rPr>
              <w:t>2</w:t>
            </w:r>
            <w:r>
              <w:rPr>
                <w:color w:val="auto"/>
                <w:highlight w:val="none"/>
              </w:rPr>
              <w:t>.2.4</w:t>
            </w:r>
            <w:r>
              <w:rPr>
                <w:color w:val="auto"/>
                <w:spacing w:val="1"/>
                <w:highlight w:val="none"/>
              </w:rPr>
              <w:t xml:space="preserve"> </w:t>
            </w:r>
            <w:r>
              <w:rPr>
                <w:color w:val="auto"/>
                <w:spacing w:val="-7"/>
                <w:highlight w:val="none"/>
              </w:rPr>
              <w:t>（1）</w:t>
            </w:r>
          </w:p>
        </w:tc>
        <w:tc>
          <w:tcPr>
            <w:tcW w:w="1399" w:type="dxa"/>
          </w:tcPr>
          <w:p w14:paraId="77836AE0">
            <w:pPr>
              <w:spacing w:line="246" w:lineRule="auto"/>
              <w:rPr>
                <w:rFonts w:asciiTheme="minorEastAsia" w:hAnsiTheme="minorEastAsia" w:eastAsiaTheme="minorEastAsia"/>
                <w:color w:val="auto"/>
                <w:highlight w:val="none"/>
              </w:rPr>
            </w:pPr>
          </w:p>
          <w:p w14:paraId="4676A9B7">
            <w:pPr>
              <w:spacing w:line="246" w:lineRule="auto"/>
              <w:rPr>
                <w:rFonts w:asciiTheme="minorEastAsia" w:hAnsiTheme="minorEastAsia" w:eastAsiaTheme="minorEastAsia"/>
                <w:color w:val="auto"/>
                <w:highlight w:val="none"/>
              </w:rPr>
            </w:pPr>
          </w:p>
          <w:p w14:paraId="5B25C169">
            <w:pPr>
              <w:spacing w:line="246" w:lineRule="auto"/>
              <w:rPr>
                <w:rFonts w:asciiTheme="minorEastAsia" w:hAnsiTheme="minorEastAsia" w:eastAsiaTheme="minorEastAsia"/>
                <w:color w:val="auto"/>
                <w:highlight w:val="none"/>
              </w:rPr>
            </w:pPr>
          </w:p>
          <w:p w14:paraId="55F72563">
            <w:pPr>
              <w:spacing w:line="246" w:lineRule="auto"/>
              <w:rPr>
                <w:rFonts w:asciiTheme="minorEastAsia" w:hAnsiTheme="minorEastAsia" w:eastAsiaTheme="minorEastAsia"/>
                <w:color w:val="auto"/>
                <w:highlight w:val="none"/>
              </w:rPr>
            </w:pPr>
          </w:p>
          <w:p w14:paraId="5E620E74">
            <w:pPr>
              <w:spacing w:line="246" w:lineRule="auto"/>
              <w:rPr>
                <w:rFonts w:asciiTheme="minorEastAsia" w:hAnsiTheme="minorEastAsia" w:eastAsiaTheme="minorEastAsia"/>
                <w:color w:val="auto"/>
                <w:highlight w:val="none"/>
              </w:rPr>
            </w:pPr>
          </w:p>
          <w:p w14:paraId="50D727CE">
            <w:pPr>
              <w:spacing w:line="246" w:lineRule="auto"/>
              <w:rPr>
                <w:rFonts w:asciiTheme="minorEastAsia" w:hAnsiTheme="minorEastAsia" w:eastAsiaTheme="minorEastAsia"/>
                <w:color w:val="auto"/>
                <w:highlight w:val="none"/>
              </w:rPr>
            </w:pPr>
          </w:p>
          <w:p w14:paraId="71F76FD5">
            <w:pPr>
              <w:spacing w:line="246" w:lineRule="auto"/>
              <w:rPr>
                <w:rFonts w:asciiTheme="minorEastAsia" w:hAnsiTheme="minorEastAsia" w:eastAsiaTheme="minorEastAsia"/>
                <w:color w:val="auto"/>
                <w:highlight w:val="none"/>
              </w:rPr>
            </w:pPr>
          </w:p>
          <w:p w14:paraId="7C0DB1F2">
            <w:pPr>
              <w:spacing w:line="246" w:lineRule="auto"/>
              <w:rPr>
                <w:rFonts w:asciiTheme="minorEastAsia" w:hAnsiTheme="minorEastAsia" w:eastAsiaTheme="minorEastAsia"/>
                <w:color w:val="auto"/>
                <w:highlight w:val="none"/>
              </w:rPr>
            </w:pPr>
          </w:p>
          <w:p w14:paraId="6AC0C96A">
            <w:pPr>
              <w:pStyle w:val="20"/>
              <w:ind w:left="440" w:leftChars="0" w:firstLine="0" w:firstLineChars="0"/>
              <w:jc w:val="left"/>
              <w:rPr>
                <w:color w:val="auto"/>
                <w:highlight w:val="none"/>
              </w:rPr>
            </w:pPr>
            <w:r>
              <w:rPr>
                <w:color w:val="auto"/>
                <w:spacing w:val="-4"/>
                <w:highlight w:val="none"/>
              </w:rPr>
              <w:t>投标报价</w:t>
            </w:r>
            <w:r>
              <w:rPr>
                <w:color w:val="auto"/>
                <w:spacing w:val="2"/>
                <w:highlight w:val="none"/>
              </w:rPr>
              <w:t xml:space="preserve"> </w:t>
            </w:r>
            <w:r>
              <w:rPr>
                <w:color w:val="auto"/>
                <w:highlight w:val="none"/>
              </w:rPr>
              <w:t>（满分30</w:t>
            </w:r>
            <w:r>
              <w:rPr>
                <w:color w:val="auto"/>
                <w:spacing w:val="1"/>
                <w:highlight w:val="none"/>
              </w:rPr>
              <w:t xml:space="preserve"> </w:t>
            </w:r>
            <w:r>
              <w:rPr>
                <w:color w:val="auto"/>
                <w:spacing w:val="-7"/>
                <w:highlight w:val="none"/>
              </w:rPr>
              <w:t>分）</w:t>
            </w:r>
          </w:p>
        </w:tc>
        <w:tc>
          <w:tcPr>
            <w:tcW w:w="2395" w:type="dxa"/>
          </w:tcPr>
          <w:p w14:paraId="743F0B7E">
            <w:pPr>
              <w:spacing w:line="253" w:lineRule="auto"/>
              <w:rPr>
                <w:rFonts w:asciiTheme="minorEastAsia" w:hAnsiTheme="minorEastAsia" w:eastAsiaTheme="minorEastAsia"/>
                <w:color w:val="auto"/>
                <w:highlight w:val="none"/>
              </w:rPr>
            </w:pPr>
          </w:p>
          <w:p w14:paraId="6E7547B1">
            <w:pPr>
              <w:spacing w:line="253" w:lineRule="auto"/>
              <w:rPr>
                <w:rFonts w:asciiTheme="minorEastAsia" w:hAnsiTheme="minorEastAsia" w:eastAsiaTheme="minorEastAsia"/>
                <w:color w:val="auto"/>
                <w:highlight w:val="none"/>
              </w:rPr>
            </w:pPr>
          </w:p>
          <w:p w14:paraId="6FB485A9">
            <w:pPr>
              <w:spacing w:line="253" w:lineRule="auto"/>
              <w:rPr>
                <w:rFonts w:asciiTheme="minorEastAsia" w:hAnsiTheme="minorEastAsia" w:eastAsiaTheme="minorEastAsia"/>
                <w:color w:val="auto"/>
                <w:highlight w:val="none"/>
              </w:rPr>
            </w:pPr>
          </w:p>
          <w:p w14:paraId="7FE1C156">
            <w:pPr>
              <w:spacing w:line="253" w:lineRule="auto"/>
              <w:rPr>
                <w:rFonts w:asciiTheme="minorEastAsia" w:hAnsiTheme="minorEastAsia" w:eastAsiaTheme="minorEastAsia"/>
                <w:color w:val="auto"/>
                <w:highlight w:val="none"/>
              </w:rPr>
            </w:pPr>
          </w:p>
          <w:p w14:paraId="3DFDBE26">
            <w:pPr>
              <w:spacing w:line="253" w:lineRule="auto"/>
              <w:rPr>
                <w:rFonts w:asciiTheme="minorEastAsia" w:hAnsiTheme="minorEastAsia" w:eastAsiaTheme="minorEastAsia"/>
                <w:color w:val="auto"/>
                <w:highlight w:val="none"/>
              </w:rPr>
            </w:pPr>
          </w:p>
          <w:p w14:paraId="4D7D39AE">
            <w:pPr>
              <w:spacing w:line="253" w:lineRule="auto"/>
              <w:rPr>
                <w:rFonts w:asciiTheme="minorEastAsia" w:hAnsiTheme="minorEastAsia" w:eastAsiaTheme="minorEastAsia"/>
                <w:color w:val="auto"/>
                <w:highlight w:val="none"/>
              </w:rPr>
            </w:pPr>
          </w:p>
          <w:p w14:paraId="086B262F">
            <w:pPr>
              <w:spacing w:line="253" w:lineRule="auto"/>
              <w:rPr>
                <w:rFonts w:asciiTheme="minorEastAsia" w:hAnsiTheme="minorEastAsia" w:eastAsiaTheme="minorEastAsia"/>
                <w:color w:val="auto"/>
                <w:highlight w:val="none"/>
              </w:rPr>
            </w:pPr>
          </w:p>
          <w:p w14:paraId="76425F27">
            <w:pPr>
              <w:spacing w:line="253" w:lineRule="auto"/>
              <w:rPr>
                <w:rFonts w:asciiTheme="minorEastAsia" w:hAnsiTheme="minorEastAsia" w:eastAsiaTheme="minorEastAsia"/>
                <w:color w:val="auto"/>
                <w:highlight w:val="none"/>
              </w:rPr>
            </w:pPr>
          </w:p>
          <w:p w14:paraId="61B0C738">
            <w:pPr>
              <w:spacing w:line="253" w:lineRule="auto"/>
              <w:rPr>
                <w:rFonts w:asciiTheme="minorEastAsia" w:hAnsiTheme="minorEastAsia" w:eastAsiaTheme="minorEastAsia"/>
                <w:color w:val="auto"/>
                <w:highlight w:val="none"/>
              </w:rPr>
            </w:pPr>
          </w:p>
          <w:p w14:paraId="45EB690C">
            <w:pPr>
              <w:pStyle w:val="20"/>
              <w:ind w:left="440" w:leftChars="0" w:firstLine="0" w:firstLineChars="0"/>
              <w:rPr>
                <w:color w:val="auto"/>
                <w:highlight w:val="none"/>
              </w:rPr>
            </w:pPr>
            <w:r>
              <w:rPr>
                <w:color w:val="auto"/>
                <w:highlight w:val="none"/>
              </w:rPr>
              <w:t>投标报价（30分）</w:t>
            </w:r>
          </w:p>
        </w:tc>
        <w:tc>
          <w:tcPr>
            <w:tcW w:w="4624" w:type="dxa"/>
          </w:tcPr>
          <w:p w14:paraId="06B2CEED">
            <w:pPr>
              <w:pStyle w:val="20"/>
              <w:numPr>
                <w:ilvl w:val="0"/>
                <w:numId w:val="4"/>
              </w:numPr>
              <w:ind w:left="220" w:leftChars="0" w:firstLine="0" w:firstLineChars="0"/>
              <w:rPr>
                <w:color w:val="auto"/>
                <w:highlight w:val="none"/>
              </w:rPr>
            </w:pPr>
            <w:r>
              <w:rPr>
                <w:color w:val="auto"/>
                <w:spacing w:val="-2"/>
                <w:highlight w:val="none"/>
              </w:rPr>
              <w:t>满足招标文件要求且投标价格最低的</w:t>
            </w:r>
            <w:r>
              <w:rPr>
                <w:color w:val="auto"/>
                <w:spacing w:val="7"/>
                <w:highlight w:val="none"/>
              </w:rPr>
              <w:t xml:space="preserve"> </w:t>
            </w:r>
            <w:r>
              <w:rPr>
                <w:color w:val="auto"/>
                <w:highlight w:val="none"/>
              </w:rPr>
              <w:t>投标报价为评标基准价,其价格分为满分</w:t>
            </w:r>
            <w:r>
              <w:rPr>
                <w:color w:val="auto"/>
                <w:spacing w:val="5"/>
                <w:highlight w:val="none"/>
              </w:rPr>
              <w:t xml:space="preserve"> </w:t>
            </w:r>
            <w:r>
              <w:rPr>
                <w:color w:val="auto"/>
                <w:highlight w:val="none"/>
              </w:rPr>
              <w:t>。其余各投标人的投标报价得分=评标基准价</w:t>
            </w:r>
            <w:r>
              <w:rPr>
                <w:rFonts w:hint="eastAsia"/>
                <w:color w:val="auto"/>
                <w:highlight w:val="none"/>
                <w:lang w:eastAsia="zh-CN"/>
              </w:rPr>
              <w:t>/</w:t>
            </w:r>
            <w:r>
              <w:rPr>
                <w:color w:val="auto"/>
                <w:highlight w:val="none"/>
              </w:rPr>
              <w:t>投标报价×30 分。2.价格扣除：供应商为小微企业的，则给</w:t>
            </w:r>
            <w:r>
              <w:rPr>
                <w:color w:val="auto"/>
                <w:spacing w:val="5"/>
                <w:highlight w:val="none"/>
              </w:rPr>
              <w:t xml:space="preserve"> </w:t>
            </w:r>
            <w:r>
              <w:rPr>
                <w:color w:val="auto"/>
                <w:highlight w:val="none"/>
              </w:rPr>
              <w:t>予总报价15%的扣除，用扣除后的价格参</w:t>
            </w:r>
            <w:r>
              <w:rPr>
                <w:color w:val="auto"/>
                <w:spacing w:val="4"/>
                <w:highlight w:val="none"/>
              </w:rPr>
              <w:t xml:space="preserve">  </w:t>
            </w:r>
            <w:r>
              <w:rPr>
                <w:color w:val="auto"/>
                <w:highlight w:val="none"/>
              </w:rPr>
              <w:t>与评审。参加投标的中小企业，应当按照</w:t>
            </w:r>
            <w:r>
              <w:rPr>
                <w:color w:val="auto"/>
                <w:spacing w:val="8"/>
                <w:highlight w:val="none"/>
              </w:rPr>
              <w:t xml:space="preserve"> </w:t>
            </w:r>
            <w:r>
              <w:rPr>
                <w:color w:val="auto"/>
                <w:highlight w:val="none"/>
              </w:rPr>
              <w:t>《政府采购促进中小企业发展管理办法》 （财库〔2020〕46号）的规定提供《中小</w:t>
            </w:r>
            <w:r>
              <w:rPr>
                <w:color w:val="auto"/>
                <w:spacing w:val="11"/>
                <w:highlight w:val="none"/>
              </w:rPr>
              <w:t xml:space="preserve"> </w:t>
            </w:r>
            <w:r>
              <w:rPr>
                <w:color w:val="auto"/>
                <w:highlight w:val="none"/>
              </w:rPr>
              <w:t>企业声明函》（依据国务院批准的中小企</w:t>
            </w:r>
            <w:r>
              <w:rPr>
                <w:color w:val="auto"/>
                <w:spacing w:val="8"/>
                <w:highlight w:val="none"/>
              </w:rPr>
              <w:t xml:space="preserve"> </w:t>
            </w:r>
            <w:r>
              <w:rPr>
                <w:color w:val="auto"/>
                <w:highlight w:val="none"/>
              </w:rPr>
              <w:t>业划分标准确定的中型企业、小型企业和</w:t>
            </w:r>
            <w:r>
              <w:rPr>
                <w:color w:val="auto"/>
                <w:spacing w:val="8"/>
                <w:highlight w:val="none"/>
              </w:rPr>
              <w:t xml:space="preserve"> </w:t>
            </w:r>
            <w:r>
              <w:rPr>
                <w:color w:val="auto"/>
                <w:highlight w:val="none"/>
              </w:rPr>
              <w:t>微型企业，但与大企业的负责人为同一人</w:t>
            </w:r>
            <w:r>
              <w:rPr>
                <w:color w:val="auto"/>
                <w:spacing w:val="8"/>
                <w:highlight w:val="none"/>
              </w:rPr>
              <w:t xml:space="preserve"> </w:t>
            </w:r>
            <w:r>
              <w:rPr>
                <w:color w:val="auto"/>
                <w:spacing w:val="-5"/>
                <w:highlight w:val="none"/>
              </w:rPr>
              <w:t>,</w:t>
            </w:r>
            <w:r>
              <w:rPr>
                <w:color w:val="auto"/>
                <w:spacing w:val="80"/>
                <w:highlight w:val="none"/>
              </w:rPr>
              <w:t xml:space="preserve"> </w:t>
            </w:r>
            <w:r>
              <w:rPr>
                <w:color w:val="auto"/>
                <w:spacing w:val="-5"/>
                <w:highlight w:val="none"/>
              </w:rPr>
              <w:t>或者与大企业存在直接控股、管理关系</w:t>
            </w:r>
            <w:r>
              <w:rPr>
                <w:color w:val="auto"/>
                <w:highlight w:val="none"/>
              </w:rPr>
              <w:t xml:space="preserve"> </w:t>
            </w:r>
            <w:r>
              <w:rPr>
                <w:color w:val="auto"/>
                <w:spacing w:val="-2"/>
                <w:highlight w:val="none"/>
              </w:rPr>
              <w:t>的除外）。</w:t>
            </w:r>
            <w:r>
              <w:rPr>
                <w:color w:val="auto"/>
                <w:highlight w:val="none"/>
              </w:rPr>
              <w:t>根据财政部司法部《关于政府采购支持监</w:t>
            </w:r>
            <w:r>
              <w:rPr>
                <w:color w:val="auto"/>
                <w:spacing w:val="7"/>
                <w:highlight w:val="none"/>
              </w:rPr>
              <w:t xml:space="preserve"> </w:t>
            </w:r>
            <w:r>
              <w:rPr>
                <w:color w:val="auto"/>
                <w:highlight w:val="none"/>
              </w:rPr>
              <w:t>狱企业发展有关问题的通知》（财库〔20</w:t>
            </w:r>
            <w:r>
              <w:rPr>
                <w:color w:val="auto"/>
                <w:spacing w:val="-2"/>
                <w:highlight w:val="none"/>
              </w:rPr>
              <w:t>14〕68号）和财政部民政部中国残疾人联</w:t>
            </w:r>
            <w:r>
              <w:rPr>
                <w:color w:val="auto"/>
                <w:spacing w:val="11"/>
                <w:highlight w:val="none"/>
              </w:rPr>
              <w:t xml:space="preserve"> </w:t>
            </w:r>
            <w:r>
              <w:rPr>
                <w:color w:val="auto"/>
                <w:highlight w:val="none"/>
              </w:rPr>
              <w:t>合会《关于促进残疾人就业政府采购政策</w:t>
            </w:r>
            <w:r>
              <w:rPr>
                <w:color w:val="auto"/>
                <w:spacing w:val="6"/>
                <w:highlight w:val="none"/>
              </w:rPr>
              <w:t xml:space="preserve"> </w:t>
            </w:r>
            <w:r>
              <w:rPr>
                <w:color w:val="auto"/>
                <w:highlight w:val="none"/>
              </w:rPr>
              <w:t>的通知》（财库〔2017〕141号）规定，本项目对监狱企业、残疾人福利企业作为</w:t>
            </w:r>
            <w:r>
              <w:rPr>
                <w:color w:val="auto"/>
                <w:spacing w:val="6"/>
                <w:highlight w:val="none"/>
              </w:rPr>
              <w:t xml:space="preserve"> </w:t>
            </w:r>
            <w:r>
              <w:rPr>
                <w:color w:val="auto"/>
                <w:highlight w:val="none"/>
              </w:rPr>
              <w:t>供应商所提供的服务的给予15%的扣除。【供应商需提供中小企业认定证书或监狱</w:t>
            </w:r>
            <w:r>
              <w:rPr>
                <w:color w:val="auto"/>
                <w:spacing w:val="13"/>
                <w:highlight w:val="none"/>
              </w:rPr>
              <w:t xml:space="preserve"> </w:t>
            </w:r>
            <w:r>
              <w:rPr>
                <w:color w:val="auto"/>
                <w:highlight w:val="none"/>
              </w:rPr>
              <w:t>企业、残疾人福利企业相关证明文件】，</w:t>
            </w:r>
            <w:r>
              <w:rPr>
                <w:color w:val="auto"/>
                <w:spacing w:val="3"/>
                <w:highlight w:val="none"/>
              </w:rPr>
              <w:t xml:space="preserve"> </w:t>
            </w:r>
            <w:r>
              <w:rPr>
                <w:color w:val="auto"/>
                <w:spacing w:val="-2"/>
                <w:highlight w:val="none"/>
              </w:rPr>
              <w:t>否则不予认可。</w:t>
            </w:r>
            <w:r>
              <w:rPr>
                <w:color w:val="auto"/>
                <w:spacing w:val="-4"/>
                <w:highlight w:val="none"/>
              </w:rPr>
              <w:t>同一供应商（包括联合体</w:t>
            </w:r>
            <w:r>
              <w:rPr>
                <w:color w:val="auto"/>
                <w:spacing w:val="15"/>
                <w:highlight w:val="none"/>
              </w:rPr>
              <w:t>），</w:t>
            </w:r>
            <w:r>
              <w:rPr>
                <w:color w:val="auto"/>
                <w:spacing w:val="-4"/>
                <w:highlight w:val="none"/>
              </w:rPr>
              <w:t>小微企业、</w:t>
            </w:r>
            <w:r>
              <w:rPr>
                <w:color w:val="auto"/>
                <w:highlight w:val="none"/>
              </w:rPr>
              <w:t xml:space="preserve"> 监狱、残疾人福利企业价格扣除优惠只享</w:t>
            </w:r>
            <w:r>
              <w:rPr>
                <w:color w:val="auto"/>
                <w:spacing w:val="6"/>
                <w:highlight w:val="none"/>
              </w:rPr>
              <w:t xml:space="preserve"> </w:t>
            </w:r>
            <w:r>
              <w:rPr>
                <w:color w:val="auto"/>
                <w:highlight w:val="none"/>
              </w:rPr>
              <w:t>受一次，不得重复享受。</w:t>
            </w:r>
          </w:p>
          <w:p w14:paraId="494E4038">
            <w:pPr>
              <w:pStyle w:val="20"/>
              <w:numPr>
                <w:ilvl w:val="0"/>
                <w:numId w:val="0"/>
              </w:numPr>
              <w:rPr>
                <w:rFonts w:hint="default" w:eastAsia="宋体"/>
                <w:color w:val="auto"/>
                <w:highlight w:val="none"/>
                <w:lang w:val="en-US" w:eastAsia="zh-CN"/>
              </w:rPr>
            </w:pPr>
            <w:r>
              <w:rPr>
                <w:rFonts w:hint="eastAsia"/>
                <w:b/>
                <w:bCs/>
                <w:color w:val="auto"/>
                <w:highlight w:val="none"/>
                <w:lang w:val="en-US" w:eastAsia="zh-CN"/>
              </w:rPr>
              <w:t>（专门面向中小企业的项目除外)</w:t>
            </w:r>
          </w:p>
        </w:tc>
      </w:tr>
    </w:tbl>
    <w:p w14:paraId="59B74A98">
      <w:pPr>
        <w:rPr>
          <w:rFonts w:asciiTheme="minorEastAsia" w:hAnsiTheme="minorEastAsia" w:eastAsiaTheme="minorEastAsia"/>
          <w:color w:val="auto"/>
          <w:highlight w:val="none"/>
        </w:rPr>
        <w:sectPr>
          <w:footerReference r:id="rId6" w:type="default"/>
          <w:pgSz w:w="11907" w:h="16840"/>
          <w:pgMar w:top="1426" w:right="841" w:bottom="1008" w:left="1129" w:header="0" w:footer="838" w:gutter="0"/>
          <w:cols w:space="720" w:num="1"/>
        </w:sectPr>
      </w:pPr>
    </w:p>
    <w:tbl>
      <w:tblPr>
        <w:tblStyle w:val="21"/>
        <w:tblpPr w:leftFromText="180" w:rightFromText="180" w:vertAnchor="text" w:horzAnchor="page" w:tblpXSpec="center" w:tblpY="6"/>
        <w:tblOverlap w:val="never"/>
        <w:tblW w:w="92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878"/>
        <w:gridCol w:w="2349"/>
        <w:gridCol w:w="5061"/>
      </w:tblGrid>
      <w:tr w14:paraId="233A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918" w:type="dxa"/>
            <w:vMerge w:val="restart"/>
          </w:tcPr>
          <w:p w14:paraId="22EFA5DA">
            <w:pPr>
              <w:spacing w:line="243" w:lineRule="auto"/>
              <w:rPr>
                <w:color w:val="auto"/>
                <w:highlight w:val="none"/>
              </w:rPr>
            </w:pPr>
          </w:p>
          <w:p w14:paraId="3195A129">
            <w:pPr>
              <w:spacing w:line="243" w:lineRule="auto"/>
              <w:rPr>
                <w:color w:val="auto"/>
                <w:highlight w:val="none"/>
              </w:rPr>
            </w:pPr>
          </w:p>
          <w:p w14:paraId="51740A80">
            <w:pPr>
              <w:spacing w:line="243" w:lineRule="auto"/>
              <w:rPr>
                <w:color w:val="auto"/>
                <w:highlight w:val="none"/>
              </w:rPr>
            </w:pPr>
          </w:p>
          <w:p w14:paraId="056440CC">
            <w:pPr>
              <w:spacing w:line="243" w:lineRule="auto"/>
              <w:rPr>
                <w:color w:val="auto"/>
                <w:highlight w:val="none"/>
              </w:rPr>
            </w:pPr>
          </w:p>
          <w:p w14:paraId="71DAA629">
            <w:pPr>
              <w:spacing w:line="243" w:lineRule="auto"/>
              <w:rPr>
                <w:color w:val="auto"/>
                <w:highlight w:val="none"/>
              </w:rPr>
            </w:pPr>
          </w:p>
          <w:p w14:paraId="2048E819">
            <w:pPr>
              <w:spacing w:line="243" w:lineRule="auto"/>
              <w:rPr>
                <w:color w:val="auto"/>
                <w:highlight w:val="none"/>
              </w:rPr>
            </w:pPr>
          </w:p>
          <w:p w14:paraId="1E015918">
            <w:pPr>
              <w:spacing w:line="243" w:lineRule="auto"/>
              <w:rPr>
                <w:color w:val="auto"/>
                <w:highlight w:val="none"/>
              </w:rPr>
            </w:pPr>
          </w:p>
          <w:p w14:paraId="1A95C6AE">
            <w:pPr>
              <w:spacing w:line="243" w:lineRule="auto"/>
              <w:rPr>
                <w:color w:val="auto"/>
                <w:highlight w:val="none"/>
              </w:rPr>
            </w:pPr>
          </w:p>
          <w:p w14:paraId="05C603AC">
            <w:pPr>
              <w:spacing w:line="243" w:lineRule="auto"/>
              <w:rPr>
                <w:color w:val="auto"/>
                <w:highlight w:val="none"/>
              </w:rPr>
            </w:pPr>
          </w:p>
          <w:p w14:paraId="356ABBF1">
            <w:pPr>
              <w:spacing w:line="243" w:lineRule="auto"/>
              <w:rPr>
                <w:color w:val="auto"/>
                <w:highlight w:val="none"/>
              </w:rPr>
            </w:pPr>
          </w:p>
          <w:p w14:paraId="047EFF1D">
            <w:pPr>
              <w:spacing w:line="243" w:lineRule="auto"/>
              <w:rPr>
                <w:color w:val="auto"/>
                <w:highlight w:val="none"/>
              </w:rPr>
            </w:pPr>
          </w:p>
          <w:p w14:paraId="5A1207AE">
            <w:pPr>
              <w:spacing w:line="243" w:lineRule="auto"/>
              <w:rPr>
                <w:color w:val="auto"/>
                <w:highlight w:val="none"/>
              </w:rPr>
            </w:pPr>
          </w:p>
          <w:p w14:paraId="5865FC33">
            <w:pPr>
              <w:spacing w:line="244" w:lineRule="auto"/>
              <w:rPr>
                <w:color w:val="auto"/>
                <w:highlight w:val="none"/>
              </w:rPr>
            </w:pPr>
          </w:p>
          <w:p w14:paraId="439D7215">
            <w:pPr>
              <w:spacing w:line="244" w:lineRule="auto"/>
              <w:rPr>
                <w:color w:val="auto"/>
                <w:highlight w:val="none"/>
              </w:rPr>
            </w:pPr>
          </w:p>
          <w:p w14:paraId="30445D56">
            <w:pPr>
              <w:spacing w:line="244" w:lineRule="auto"/>
              <w:rPr>
                <w:color w:val="auto"/>
                <w:highlight w:val="none"/>
              </w:rPr>
            </w:pPr>
          </w:p>
          <w:p w14:paraId="1FB87902">
            <w:pPr>
              <w:pStyle w:val="20"/>
              <w:ind w:left="0" w:leftChars="0" w:firstLine="0" w:firstLineChars="0"/>
              <w:rPr>
                <w:color w:val="auto"/>
                <w:highlight w:val="none"/>
              </w:rPr>
            </w:pPr>
            <w:r>
              <w:rPr>
                <w:rFonts w:hint="eastAsia"/>
                <w:color w:val="auto"/>
                <w:highlight w:val="none"/>
                <w:lang w:val="en-US" w:eastAsia="zh-CN"/>
              </w:rPr>
              <w:t>2.</w:t>
            </w:r>
            <w:r>
              <w:rPr>
                <w:color w:val="auto"/>
                <w:highlight w:val="none"/>
              </w:rPr>
              <w:t>2.4</w:t>
            </w:r>
            <w:r>
              <w:rPr>
                <w:color w:val="auto"/>
                <w:spacing w:val="1"/>
                <w:highlight w:val="none"/>
              </w:rPr>
              <w:t xml:space="preserve"> </w:t>
            </w:r>
            <w:r>
              <w:rPr>
                <w:color w:val="auto"/>
                <w:spacing w:val="-7"/>
                <w:highlight w:val="none"/>
              </w:rPr>
              <w:t>（2）</w:t>
            </w:r>
          </w:p>
        </w:tc>
        <w:tc>
          <w:tcPr>
            <w:tcW w:w="878" w:type="dxa"/>
            <w:vMerge w:val="restart"/>
          </w:tcPr>
          <w:p w14:paraId="7F73967E">
            <w:pPr>
              <w:spacing w:line="241" w:lineRule="auto"/>
              <w:rPr>
                <w:color w:val="auto"/>
                <w:highlight w:val="none"/>
              </w:rPr>
            </w:pPr>
          </w:p>
          <w:p w14:paraId="7CC337F5">
            <w:pPr>
              <w:spacing w:line="241" w:lineRule="auto"/>
              <w:rPr>
                <w:color w:val="auto"/>
                <w:highlight w:val="none"/>
              </w:rPr>
            </w:pPr>
          </w:p>
          <w:p w14:paraId="0AA94644">
            <w:pPr>
              <w:spacing w:line="241" w:lineRule="auto"/>
              <w:rPr>
                <w:color w:val="auto"/>
                <w:highlight w:val="none"/>
              </w:rPr>
            </w:pPr>
          </w:p>
          <w:p w14:paraId="3800FFF9">
            <w:pPr>
              <w:spacing w:line="241" w:lineRule="auto"/>
              <w:rPr>
                <w:color w:val="auto"/>
                <w:highlight w:val="none"/>
              </w:rPr>
            </w:pPr>
          </w:p>
          <w:p w14:paraId="71848BF5">
            <w:pPr>
              <w:spacing w:line="241" w:lineRule="auto"/>
              <w:rPr>
                <w:color w:val="auto"/>
                <w:highlight w:val="none"/>
              </w:rPr>
            </w:pPr>
          </w:p>
          <w:p w14:paraId="751267FB">
            <w:pPr>
              <w:spacing w:line="241" w:lineRule="auto"/>
              <w:rPr>
                <w:color w:val="auto"/>
                <w:highlight w:val="none"/>
              </w:rPr>
            </w:pPr>
          </w:p>
          <w:p w14:paraId="3194FB8E">
            <w:pPr>
              <w:spacing w:line="241" w:lineRule="auto"/>
              <w:rPr>
                <w:color w:val="auto"/>
                <w:highlight w:val="none"/>
              </w:rPr>
            </w:pPr>
          </w:p>
          <w:p w14:paraId="334BF731">
            <w:pPr>
              <w:spacing w:line="241" w:lineRule="auto"/>
              <w:rPr>
                <w:color w:val="auto"/>
                <w:highlight w:val="none"/>
              </w:rPr>
            </w:pPr>
          </w:p>
          <w:p w14:paraId="28ECBB41">
            <w:pPr>
              <w:spacing w:line="241" w:lineRule="auto"/>
              <w:rPr>
                <w:color w:val="auto"/>
                <w:highlight w:val="none"/>
              </w:rPr>
            </w:pPr>
          </w:p>
          <w:p w14:paraId="7454DD50">
            <w:pPr>
              <w:spacing w:line="241" w:lineRule="auto"/>
              <w:rPr>
                <w:color w:val="auto"/>
                <w:highlight w:val="none"/>
              </w:rPr>
            </w:pPr>
          </w:p>
          <w:p w14:paraId="6BCE7BB3">
            <w:pPr>
              <w:spacing w:line="242" w:lineRule="auto"/>
              <w:rPr>
                <w:color w:val="auto"/>
                <w:highlight w:val="none"/>
              </w:rPr>
            </w:pPr>
          </w:p>
          <w:p w14:paraId="5A44AD97">
            <w:pPr>
              <w:spacing w:line="242" w:lineRule="auto"/>
              <w:rPr>
                <w:color w:val="auto"/>
                <w:highlight w:val="none"/>
              </w:rPr>
            </w:pPr>
          </w:p>
          <w:p w14:paraId="56C1563B">
            <w:pPr>
              <w:spacing w:line="242" w:lineRule="auto"/>
              <w:rPr>
                <w:color w:val="auto"/>
                <w:highlight w:val="none"/>
              </w:rPr>
            </w:pPr>
          </w:p>
          <w:p w14:paraId="73B5E298">
            <w:pPr>
              <w:spacing w:line="242" w:lineRule="auto"/>
              <w:rPr>
                <w:color w:val="auto"/>
                <w:highlight w:val="none"/>
              </w:rPr>
            </w:pPr>
          </w:p>
          <w:p w14:paraId="12D598A0">
            <w:pPr>
              <w:spacing w:line="242" w:lineRule="auto"/>
              <w:rPr>
                <w:color w:val="auto"/>
                <w:highlight w:val="none"/>
              </w:rPr>
            </w:pPr>
          </w:p>
          <w:p w14:paraId="6464CD1D">
            <w:pPr>
              <w:spacing w:line="242" w:lineRule="auto"/>
              <w:rPr>
                <w:color w:val="auto"/>
                <w:highlight w:val="none"/>
              </w:rPr>
            </w:pPr>
          </w:p>
          <w:p w14:paraId="38630E1D">
            <w:pPr>
              <w:spacing w:line="242" w:lineRule="auto"/>
              <w:rPr>
                <w:color w:val="auto"/>
                <w:highlight w:val="none"/>
              </w:rPr>
            </w:pPr>
          </w:p>
          <w:p w14:paraId="4FEBF9A4">
            <w:pPr>
              <w:spacing w:line="242" w:lineRule="auto"/>
              <w:rPr>
                <w:color w:val="auto"/>
                <w:highlight w:val="none"/>
              </w:rPr>
            </w:pPr>
          </w:p>
          <w:p w14:paraId="5BB13002">
            <w:pPr>
              <w:spacing w:line="254" w:lineRule="auto"/>
              <w:rPr>
                <w:color w:val="auto"/>
                <w:highlight w:val="none"/>
              </w:rPr>
            </w:pPr>
          </w:p>
          <w:p w14:paraId="3AE826DF">
            <w:pPr>
              <w:spacing w:line="254" w:lineRule="auto"/>
              <w:rPr>
                <w:color w:val="auto"/>
                <w:highlight w:val="none"/>
              </w:rPr>
            </w:pPr>
          </w:p>
          <w:p w14:paraId="7E9777AC">
            <w:pPr>
              <w:spacing w:line="254" w:lineRule="auto"/>
              <w:ind w:left="220" w:leftChars="100" w:firstLine="0" w:firstLineChars="0"/>
              <w:rPr>
                <w:color w:val="auto"/>
                <w:highlight w:val="none"/>
              </w:rPr>
            </w:pPr>
            <w:r>
              <w:rPr>
                <w:rFonts w:hint="eastAsia" w:ascii="微软雅黑" w:hAnsi="微软雅黑" w:eastAsia="微软雅黑" w:cs="微软雅黑"/>
                <w:color w:val="auto"/>
                <w:highlight w:val="none"/>
              </w:rPr>
              <w:t>技术部分（</w:t>
            </w:r>
            <w:r>
              <w:rPr>
                <w:rFonts w:eastAsia="宋体"/>
                <w:color w:val="auto"/>
                <w:highlight w:val="none"/>
                <w:lang w:eastAsia="zh-CN"/>
              </w:rPr>
              <w:t>5</w:t>
            </w:r>
            <w:r>
              <w:rPr>
                <w:color w:val="auto"/>
                <w:highlight w:val="none"/>
              </w:rPr>
              <w:t>0</w:t>
            </w:r>
            <w:r>
              <w:rPr>
                <w:rFonts w:hint="eastAsia" w:ascii="微软雅黑" w:hAnsi="微软雅黑" w:eastAsia="微软雅黑" w:cs="微软雅黑"/>
                <w:color w:val="auto"/>
                <w:highlight w:val="none"/>
              </w:rPr>
              <w:t>分）</w:t>
            </w:r>
          </w:p>
        </w:tc>
        <w:tc>
          <w:tcPr>
            <w:tcW w:w="2349" w:type="dxa"/>
          </w:tcPr>
          <w:p w14:paraId="0439C447">
            <w:pPr>
              <w:spacing w:line="244" w:lineRule="auto"/>
              <w:jc w:val="center"/>
              <w:rPr>
                <w:color w:val="auto"/>
                <w:highlight w:val="none"/>
              </w:rPr>
            </w:pPr>
          </w:p>
          <w:p w14:paraId="795D8FEE">
            <w:pPr>
              <w:spacing w:line="244" w:lineRule="auto"/>
              <w:jc w:val="center"/>
              <w:rPr>
                <w:color w:val="auto"/>
                <w:highlight w:val="none"/>
              </w:rPr>
            </w:pPr>
          </w:p>
          <w:p w14:paraId="47760598">
            <w:pPr>
              <w:pStyle w:val="15"/>
              <w:rPr>
                <w:color w:val="auto"/>
                <w:highlight w:val="none"/>
              </w:rPr>
            </w:pPr>
          </w:p>
          <w:p w14:paraId="20DC90F6">
            <w:pPr>
              <w:pStyle w:val="20"/>
              <w:ind w:left="440" w:leftChars="0" w:firstLine="0" w:firstLineChars="0"/>
              <w:rPr>
                <w:color w:val="auto"/>
                <w:highlight w:val="none"/>
                <w:lang w:eastAsia="zh-CN"/>
              </w:rPr>
            </w:pPr>
            <w:r>
              <w:rPr>
                <w:rFonts w:hint="eastAsia"/>
                <w:color w:val="auto"/>
                <w:highlight w:val="none"/>
              </w:rPr>
              <w:t>履约能力与现有需求的配合能力</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Pr>
          <w:p w14:paraId="124D5ACA">
            <w:pPr>
              <w:pStyle w:val="20"/>
              <w:ind w:left="220" w:leftChars="0" w:firstLine="0" w:firstLineChars="0"/>
              <w:rPr>
                <w:color w:val="auto"/>
                <w:highlight w:val="none"/>
              </w:rPr>
            </w:pPr>
            <w:r>
              <w:rPr>
                <w:rFonts w:hint="eastAsia"/>
                <w:color w:val="auto"/>
                <w:highlight w:val="none"/>
              </w:rPr>
              <w:t>工作计划的效率性考查、对比各投标人履约能力与采购人的需求配合及工作计划的效率性等响应情况：投标人履约能力好，采购人的需求配合及工作计划的效率性高，得</w:t>
            </w:r>
            <w:r>
              <w:rPr>
                <w:color w:val="auto"/>
                <w:highlight w:val="none"/>
              </w:rPr>
              <w:t>10</w:t>
            </w:r>
            <w:r>
              <w:rPr>
                <w:rFonts w:hint="eastAsia"/>
                <w:color w:val="auto"/>
                <w:highlight w:val="none"/>
              </w:rPr>
              <w:t>分；投标人履约能力较好，采购人的需求配合及工作计划的效率性较高，得</w:t>
            </w:r>
            <w:r>
              <w:rPr>
                <w:color w:val="auto"/>
                <w:highlight w:val="none"/>
              </w:rPr>
              <w:t>8</w:t>
            </w:r>
            <w:r>
              <w:rPr>
                <w:rFonts w:hint="eastAsia"/>
                <w:color w:val="auto"/>
                <w:highlight w:val="none"/>
              </w:rPr>
              <w:t>分；投标人履约能力一般，采购人的需求配合及工作计划的效率性一般，得</w:t>
            </w:r>
            <w:r>
              <w:rPr>
                <w:color w:val="auto"/>
                <w:highlight w:val="none"/>
              </w:rPr>
              <w:t>3</w:t>
            </w:r>
            <w:r>
              <w:rPr>
                <w:rFonts w:hint="eastAsia"/>
                <w:color w:val="auto"/>
                <w:highlight w:val="none"/>
              </w:rPr>
              <w:t>分；投标人履约能力差，采购人的需求配合及工作计划的效率性差，得 0 分。</w:t>
            </w:r>
          </w:p>
        </w:tc>
      </w:tr>
      <w:tr w14:paraId="1F79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918" w:type="dxa"/>
            <w:vMerge w:val="continue"/>
          </w:tcPr>
          <w:p w14:paraId="5BE5DA67">
            <w:pPr>
              <w:rPr>
                <w:color w:val="auto"/>
                <w:highlight w:val="none"/>
              </w:rPr>
            </w:pPr>
          </w:p>
        </w:tc>
        <w:tc>
          <w:tcPr>
            <w:tcW w:w="878" w:type="dxa"/>
            <w:vMerge w:val="continue"/>
          </w:tcPr>
          <w:p w14:paraId="6155A31F">
            <w:pPr>
              <w:rPr>
                <w:color w:val="auto"/>
                <w:highlight w:val="none"/>
              </w:rPr>
            </w:pPr>
          </w:p>
        </w:tc>
        <w:tc>
          <w:tcPr>
            <w:tcW w:w="2349" w:type="dxa"/>
          </w:tcPr>
          <w:p w14:paraId="4165FF2D">
            <w:pPr>
              <w:pStyle w:val="20"/>
              <w:rPr>
                <w:color w:val="auto"/>
                <w:highlight w:val="none"/>
              </w:rPr>
            </w:pPr>
          </w:p>
          <w:p w14:paraId="1EAFFBA5">
            <w:pPr>
              <w:pStyle w:val="20"/>
              <w:rPr>
                <w:color w:val="auto"/>
                <w:highlight w:val="none"/>
              </w:rPr>
            </w:pPr>
          </w:p>
          <w:p w14:paraId="3482B0D5">
            <w:pPr>
              <w:pStyle w:val="20"/>
              <w:ind w:left="440" w:leftChars="0" w:firstLine="0" w:firstLineChars="0"/>
              <w:rPr>
                <w:color w:val="auto"/>
                <w:highlight w:val="none"/>
                <w:lang w:eastAsia="zh-CN"/>
              </w:rPr>
            </w:pPr>
            <w:r>
              <w:rPr>
                <w:rFonts w:hint="eastAsia"/>
                <w:color w:val="auto"/>
                <w:highlight w:val="none"/>
              </w:rPr>
              <w:t>实施方案及技术</w:t>
            </w:r>
            <w:r>
              <w:rPr>
                <w:rFonts w:hint="eastAsia"/>
                <w:color w:val="auto"/>
                <w:highlight w:val="none"/>
                <w:lang w:eastAsia="zh-CN"/>
              </w:rPr>
              <w:t>(</w:t>
            </w:r>
            <w:r>
              <w:rPr>
                <w:color w:val="auto"/>
                <w:highlight w:val="none"/>
              </w:rPr>
              <w:t>10</w:t>
            </w:r>
            <w:r>
              <w:rPr>
                <w:rFonts w:hint="eastAsia"/>
                <w:color w:val="auto"/>
                <w:highlight w:val="none"/>
              </w:rPr>
              <w:t>分</w:t>
            </w:r>
            <w:r>
              <w:rPr>
                <w:rFonts w:hint="eastAsia"/>
                <w:color w:val="auto"/>
                <w:highlight w:val="none"/>
                <w:lang w:eastAsia="zh-CN"/>
              </w:rPr>
              <w:t>)</w:t>
            </w:r>
          </w:p>
        </w:tc>
        <w:tc>
          <w:tcPr>
            <w:tcW w:w="5061" w:type="dxa"/>
          </w:tcPr>
          <w:p w14:paraId="29EFF1DE">
            <w:pPr>
              <w:pStyle w:val="20"/>
              <w:ind w:left="220" w:leftChars="0" w:firstLine="0" w:firstLineChars="0"/>
              <w:rPr>
                <w:color w:val="auto"/>
                <w:highlight w:val="none"/>
                <w:lang w:eastAsia="zh-CN"/>
              </w:rPr>
            </w:pPr>
            <w:r>
              <w:rPr>
                <w:rFonts w:hint="eastAsia"/>
                <w:color w:val="auto"/>
                <w:highlight w:val="none"/>
              </w:rPr>
              <w:t>根据方案的完整性、合理性、可实施性等方面进行对比第一档：方案完整、逻辑清晰、全面，合理、规范，可行性强，完全满足采购人需求，得</w:t>
            </w:r>
            <w:r>
              <w:rPr>
                <w:color w:val="auto"/>
                <w:highlight w:val="none"/>
              </w:rPr>
              <w:t>10</w:t>
            </w:r>
            <w:r>
              <w:rPr>
                <w:rFonts w:hint="eastAsia"/>
                <w:color w:val="auto"/>
                <w:highlight w:val="none"/>
              </w:rPr>
              <w:t>分；第二档：实施方案基本完整、逻辑基本清晰、基本全面，合理、较为规范，基本完全满足采购人需求，得</w:t>
            </w:r>
            <w:r>
              <w:rPr>
                <w:color w:val="auto"/>
                <w:highlight w:val="none"/>
              </w:rPr>
              <w:t>8</w:t>
            </w:r>
            <w:r>
              <w:rPr>
                <w:rFonts w:hint="eastAsia"/>
                <w:color w:val="auto"/>
                <w:highlight w:val="none"/>
              </w:rPr>
              <w:t>分；第三档：实施方案基本完整、逻辑基本清晰、基本全面，合理、较为规范，方案不存在严重缺项得</w:t>
            </w:r>
            <w:r>
              <w:rPr>
                <w:color w:val="auto"/>
                <w:highlight w:val="none"/>
              </w:rPr>
              <w:t>5</w:t>
            </w:r>
            <w:r>
              <w:rPr>
                <w:rFonts w:hint="eastAsia"/>
                <w:color w:val="auto"/>
                <w:highlight w:val="none"/>
              </w:rPr>
              <w:t>分</w:t>
            </w:r>
            <w:r>
              <w:rPr>
                <w:color w:val="auto"/>
                <w:highlight w:val="none"/>
                <w:lang w:eastAsia="zh-CN"/>
              </w:rPr>
              <w:t>;</w:t>
            </w:r>
            <w:r>
              <w:rPr>
                <w:rFonts w:hint="eastAsia"/>
                <w:color w:val="auto"/>
                <w:highlight w:val="none"/>
                <w:lang w:eastAsia="zh-CN"/>
              </w:rPr>
              <w:t>第四档：</w:t>
            </w:r>
            <w:r>
              <w:rPr>
                <w:rFonts w:hint="eastAsia"/>
                <w:color w:val="auto"/>
                <w:highlight w:val="none"/>
              </w:rPr>
              <w:t>实施</w:t>
            </w:r>
            <w:r>
              <w:rPr>
                <w:rFonts w:hint="eastAsia"/>
                <w:color w:val="auto"/>
                <w:highlight w:val="none"/>
                <w:lang w:eastAsia="zh-CN"/>
              </w:rPr>
              <w:t>方案存在严重缺项或不提供，得</w:t>
            </w:r>
            <w:r>
              <w:rPr>
                <w:color w:val="auto"/>
                <w:highlight w:val="none"/>
                <w:lang w:eastAsia="zh-CN"/>
              </w:rPr>
              <w:t>0</w:t>
            </w:r>
            <w:r>
              <w:rPr>
                <w:rFonts w:hint="eastAsia"/>
                <w:color w:val="auto"/>
                <w:highlight w:val="none"/>
                <w:lang w:eastAsia="zh-CN"/>
              </w:rPr>
              <w:t>分</w:t>
            </w:r>
          </w:p>
        </w:tc>
      </w:tr>
      <w:tr w14:paraId="3DCF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Merge w:val="continue"/>
          </w:tcPr>
          <w:p w14:paraId="356D94A0">
            <w:pPr>
              <w:rPr>
                <w:color w:val="auto"/>
                <w:highlight w:val="none"/>
              </w:rPr>
            </w:pPr>
          </w:p>
        </w:tc>
        <w:tc>
          <w:tcPr>
            <w:tcW w:w="878" w:type="dxa"/>
            <w:vMerge w:val="continue"/>
          </w:tcPr>
          <w:p w14:paraId="4E527653">
            <w:pPr>
              <w:rPr>
                <w:color w:val="auto"/>
                <w:highlight w:val="none"/>
              </w:rPr>
            </w:pPr>
          </w:p>
        </w:tc>
        <w:tc>
          <w:tcPr>
            <w:tcW w:w="2349" w:type="dxa"/>
            <w:tcBorders>
              <w:bottom w:val="single" w:color="auto" w:sz="4" w:space="0"/>
            </w:tcBorders>
          </w:tcPr>
          <w:p w14:paraId="3C373DE2">
            <w:pPr>
              <w:spacing w:line="270" w:lineRule="auto"/>
              <w:jc w:val="center"/>
              <w:rPr>
                <w:color w:val="auto"/>
                <w:highlight w:val="none"/>
              </w:rPr>
            </w:pPr>
          </w:p>
          <w:p w14:paraId="6EC2B3B4">
            <w:pPr>
              <w:spacing w:line="271" w:lineRule="auto"/>
              <w:jc w:val="center"/>
              <w:rPr>
                <w:color w:val="auto"/>
                <w:highlight w:val="none"/>
              </w:rPr>
            </w:pPr>
          </w:p>
          <w:p w14:paraId="25B51A13">
            <w:pPr>
              <w:pStyle w:val="20"/>
              <w:ind w:left="440" w:leftChars="0" w:firstLine="0" w:firstLineChars="0"/>
              <w:rPr>
                <w:color w:val="auto"/>
                <w:highlight w:val="none"/>
                <w:lang w:eastAsia="zh-CN"/>
              </w:rPr>
            </w:pPr>
            <w:r>
              <w:rPr>
                <w:rFonts w:hint="eastAsia"/>
                <w:color w:val="auto"/>
                <w:highlight w:val="none"/>
              </w:rPr>
              <w:t>项目进度计划与措施</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Borders>
              <w:bottom w:val="single" w:color="auto" w:sz="4" w:space="0"/>
            </w:tcBorders>
          </w:tcPr>
          <w:p w14:paraId="493EBA49">
            <w:pPr>
              <w:pStyle w:val="20"/>
              <w:ind w:left="220" w:leftChars="0" w:firstLine="0" w:firstLineChars="0"/>
              <w:rPr>
                <w:color w:val="auto"/>
                <w:highlight w:val="none"/>
              </w:rPr>
            </w:pPr>
            <w:r>
              <w:rPr>
                <w:rFonts w:hint="eastAsia"/>
                <w:color w:val="auto"/>
                <w:highlight w:val="none"/>
              </w:rPr>
              <w:t>根据计划与措施是否合理、科学等方面进行对比第一档：项目进度计划与措施方案完整、逻辑清晰、全面，合理、规范，可行性强，完全满足采购人需求，得</w:t>
            </w:r>
            <w:r>
              <w:rPr>
                <w:color w:val="auto"/>
                <w:highlight w:val="none"/>
              </w:rPr>
              <w:t>10</w:t>
            </w:r>
            <w:r>
              <w:rPr>
                <w:rFonts w:hint="eastAsia"/>
                <w:color w:val="auto"/>
                <w:highlight w:val="none"/>
              </w:rPr>
              <w:t>分；第二档：项目进度计划与措施方案基本完整、逻辑基本清晰、基本全面，合理、较为规范，基本满足采购人需求，得</w:t>
            </w:r>
            <w:r>
              <w:rPr>
                <w:color w:val="auto"/>
                <w:highlight w:val="none"/>
              </w:rPr>
              <w:t>8</w:t>
            </w:r>
            <w:r>
              <w:rPr>
                <w:rFonts w:hint="eastAsia"/>
                <w:color w:val="auto"/>
                <w:highlight w:val="none"/>
              </w:rPr>
              <w:t>分；第三档：项目进度计划与措施方案基本完整、逻辑基本清晰、基本全面，合理、较为规范，方案不存在严重缺项得</w:t>
            </w:r>
            <w:r>
              <w:rPr>
                <w:color w:val="auto"/>
                <w:highlight w:val="none"/>
              </w:rPr>
              <w:t>5</w:t>
            </w:r>
            <w:r>
              <w:rPr>
                <w:rFonts w:hint="eastAsia"/>
                <w:color w:val="auto"/>
                <w:highlight w:val="none"/>
              </w:rPr>
              <w:t>分；第四档：项目进度计划与措施方案存在严重缺项或不提供，得</w:t>
            </w:r>
            <w:r>
              <w:rPr>
                <w:color w:val="auto"/>
                <w:highlight w:val="none"/>
              </w:rPr>
              <w:t>0</w:t>
            </w:r>
            <w:r>
              <w:rPr>
                <w:rFonts w:hint="eastAsia"/>
                <w:color w:val="auto"/>
                <w:highlight w:val="none"/>
              </w:rPr>
              <w:t>分。</w:t>
            </w:r>
          </w:p>
        </w:tc>
      </w:tr>
      <w:tr w14:paraId="36230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jc w:val="center"/>
        </w:trPr>
        <w:tc>
          <w:tcPr>
            <w:tcW w:w="918" w:type="dxa"/>
            <w:vMerge w:val="continue"/>
            <w:tcBorders>
              <w:bottom w:val="nil"/>
            </w:tcBorders>
          </w:tcPr>
          <w:p w14:paraId="179F0F40">
            <w:pPr>
              <w:rPr>
                <w:rFonts w:hint="eastAsia" w:eastAsia="宋体"/>
                <w:color w:val="auto"/>
                <w:highlight w:val="none"/>
                <w:lang w:val="en-US" w:eastAsia="zh-CN"/>
              </w:rPr>
            </w:pPr>
            <w:r>
              <w:rPr>
                <w:rFonts w:hint="eastAsia"/>
                <w:color w:val="auto"/>
                <w:highlight w:val="none"/>
                <w:lang w:val="en-US" w:eastAsia="zh-CN"/>
              </w:rPr>
              <w:t xml:space="preserve"> </w:t>
            </w:r>
          </w:p>
        </w:tc>
        <w:tc>
          <w:tcPr>
            <w:tcW w:w="878" w:type="dxa"/>
            <w:vMerge w:val="continue"/>
            <w:tcBorders>
              <w:bottom w:val="nil"/>
            </w:tcBorders>
          </w:tcPr>
          <w:p w14:paraId="71C012D6">
            <w:pPr>
              <w:rPr>
                <w:color w:val="auto"/>
                <w:highlight w:val="none"/>
              </w:rPr>
            </w:pPr>
          </w:p>
        </w:tc>
        <w:tc>
          <w:tcPr>
            <w:tcW w:w="2349" w:type="dxa"/>
          </w:tcPr>
          <w:p w14:paraId="7C8473B0">
            <w:pPr>
              <w:pStyle w:val="20"/>
              <w:rPr>
                <w:color w:val="auto"/>
                <w:highlight w:val="none"/>
              </w:rPr>
            </w:pPr>
          </w:p>
          <w:p w14:paraId="13E17194">
            <w:pPr>
              <w:pStyle w:val="20"/>
              <w:rPr>
                <w:color w:val="auto"/>
                <w:highlight w:val="none"/>
              </w:rPr>
            </w:pPr>
          </w:p>
          <w:p w14:paraId="33857DAC">
            <w:pPr>
              <w:pStyle w:val="20"/>
              <w:rPr>
                <w:color w:val="auto"/>
                <w:highlight w:val="none"/>
              </w:rPr>
            </w:pPr>
          </w:p>
          <w:p w14:paraId="777223A3">
            <w:pPr>
              <w:pStyle w:val="20"/>
              <w:ind w:left="440" w:leftChars="0" w:firstLine="0" w:firstLineChars="0"/>
              <w:rPr>
                <w:color w:val="auto"/>
                <w:highlight w:val="none"/>
                <w:lang w:eastAsia="zh-CN"/>
              </w:rPr>
            </w:pPr>
            <w:r>
              <w:rPr>
                <w:color w:val="auto"/>
                <w:highlight w:val="none"/>
                <w:lang w:eastAsia="zh-CN"/>
              </w:rPr>
              <w:t>质量管理体系与措施</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Pr>
          <w:p w14:paraId="0DA9A641">
            <w:pPr>
              <w:pStyle w:val="20"/>
              <w:ind w:left="220" w:leftChars="0" w:firstLine="0" w:firstLineChars="0"/>
              <w:rPr>
                <w:color w:val="auto"/>
                <w:highlight w:val="none"/>
              </w:rPr>
            </w:pPr>
            <w:r>
              <w:rPr>
                <w:rFonts w:hint="eastAsia"/>
                <w:color w:val="auto"/>
                <w:highlight w:val="none"/>
              </w:rPr>
              <w:t>根据质量管理体系和措施是否明确、合理可行、满足采购人需求等方面进行对比第一档：措施方案完整、逻辑清晰、全面，合理、规范，可行性强，完全满足采购人需求，得</w:t>
            </w:r>
            <w:r>
              <w:rPr>
                <w:color w:val="auto"/>
                <w:highlight w:val="none"/>
              </w:rPr>
              <w:t>10</w:t>
            </w:r>
            <w:r>
              <w:rPr>
                <w:rFonts w:hint="eastAsia"/>
                <w:color w:val="auto"/>
                <w:highlight w:val="none"/>
              </w:rPr>
              <w:t>分；第二档：措施方案基本完整、逻辑基本清晰、基本全面，合理、较为规范，基本满足采购人需求，得</w:t>
            </w:r>
            <w:r>
              <w:rPr>
                <w:color w:val="auto"/>
                <w:highlight w:val="none"/>
              </w:rPr>
              <w:t>8</w:t>
            </w:r>
            <w:r>
              <w:rPr>
                <w:rFonts w:hint="eastAsia"/>
                <w:color w:val="auto"/>
                <w:highlight w:val="none"/>
              </w:rPr>
              <w:t>分；第三档：措施方案基本完整、逻辑基本清晰、基本全面，合理、较为规范，方案不措施存在严重缺项得</w:t>
            </w:r>
            <w:r>
              <w:rPr>
                <w:color w:val="auto"/>
                <w:highlight w:val="none"/>
              </w:rPr>
              <w:t>5</w:t>
            </w:r>
            <w:r>
              <w:rPr>
                <w:rFonts w:hint="eastAsia"/>
                <w:color w:val="auto"/>
                <w:highlight w:val="none"/>
              </w:rPr>
              <w:t>分；第四档：措施方案存在严重缺项或不提供，得</w:t>
            </w:r>
            <w:r>
              <w:rPr>
                <w:color w:val="auto"/>
                <w:highlight w:val="none"/>
              </w:rPr>
              <w:t>0</w:t>
            </w:r>
            <w:r>
              <w:rPr>
                <w:rFonts w:hint="eastAsia"/>
                <w:color w:val="auto"/>
                <w:highlight w:val="none"/>
              </w:rPr>
              <w:t>分。</w:t>
            </w:r>
          </w:p>
        </w:tc>
      </w:tr>
      <w:tr w14:paraId="5596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5" w:hRule="atLeast"/>
          <w:jc w:val="center"/>
        </w:trPr>
        <w:tc>
          <w:tcPr>
            <w:tcW w:w="918" w:type="dxa"/>
            <w:tcBorders>
              <w:top w:val="nil"/>
              <w:bottom w:val="single" w:color="auto" w:sz="4" w:space="0"/>
            </w:tcBorders>
          </w:tcPr>
          <w:p w14:paraId="2B94B71F">
            <w:pPr>
              <w:rPr>
                <w:color w:val="auto"/>
                <w:highlight w:val="none"/>
              </w:rPr>
            </w:pPr>
          </w:p>
        </w:tc>
        <w:tc>
          <w:tcPr>
            <w:tcW w:w="878" w:type="dxa"/>
            <w:tcBorders>
              <w:top w:val="nil"/>
              <w:bottom w:val="single" w:color="auto" w:sz="4" w:space="0"/>
            </w:tcBorders>
          </w:tcPr>
          <w:p w14:paraId="34F8F7AF">
            <w:pPr>
              <w:rPr>
                <w:color w:val="auto"/>
                <w:highlight w:val="none"/>
              </w:rPr>
            </w:pPr>
          </w:p>
        </w:tc>
        <w:tc>
          <w:tcPr>
            <w:tcW w:w="2349" w:type="dxa"/>
          </w:tcPr>
          <w:p w14:paraId="16F91666">
            <w:pPr>
              <w:pStyle w:val="20"/>
              <w:rPr>
                <w:color w:val="auto"/>
                <w:highlight w:val="none"/>
              </w:rPr>
            </w:pPr>
          </w:p>
          <w:p w14:paraId="78968AFA">
            <w:pPr>
              <w:pStyle w:val="20"/>
              <w:rPr>
                <w:color w:val="auto"/>
                <w:highlight w:val="none"/>
              </w:rPr>
            </w:pPr>
          </w:p>
          <w:p w14:paraId="6925ABFE">
            <w:pPr>
              <w:pStyle w:val="20"/>
              <w:rPr>
                <w:color w:val="auto"/>
                <w:highlight w:val="none"/>
              </w:rPr>
            </w:pPr>
          </w:p>
          <w:p w14:paraId="3A486B62">
            <w:pPr>
              <w:pStyle w:val="20"/>
              <w:ind w:left="440" w:leftChars="0" w:firstLine="0" w:firstLineChars="0"/>
              <w:rPr>
                <w:color w:val="auto"/>
                <w:highlight w:val="none"/>
                <w:lang w:eastAsia="zh-CN"/>
              </w:rPr>
            </w:pPr>
            <w:r>
              <w:rPr>
                <w:rFonts w:hint="eastAsia"/>
                <w:color w:val="auto"/>
                <w:highlight w:val="none"/>
                <w:lang w:eastAsia="zh-CN"/>
              </w:rPr>
              <w:t>产品质量保证措施(</w:t>
            </w:r>
            <w:r>
              <w:rPr>
                <w:color w:val="auto"/>
                <w:highlight w:val="none"/>
                <w:lang w:eastAsia="zh-CN"/>
              </w:rPr>
              <w:t>10</w:t>
            </w:r>
            <w:r>
              <w:rPr>
                <w:rFonts w:hint="eastAsia"/>
                <w:color w:val="auto"/>
                <w:highlight w:val="none"/>
                <w:lang w:eastAsia="zh-CN"/>
              </w:rPr>
              <w:t>分)</w:t>
            </w:r>
          </w:p>
        </w:tc>
        <w:tc>
          <w:tcPr>
            <w:tcW w:w="5061" w:type="dxa"/>
          </w:tcPr>
          <w:p w14:paraId="716D5635">
            <w:pPr>
              <w:pStyle w:val="20"/>
              <w:ind w:left="220" w:leftChars="0" w:firstLine="0" w:firstLineChars="0"/>
              <w:rPr>
                <w:color w:val="auto"/>
                <w:highlight w:val="none"/>
              </w:rPr>
            </w:pPr>
            <w:r>
              <w:rPr>
                <w:rFonts w:hint="eastAsia"/>
                <w:color w:val="auto"/>
                <w:highlight w:val="none"/>
              </w:rPr>
              <w:t>产品质量保证措施。评委根据措施是否合理、可行等方面进行对比第一档：措施方案完整、逻辑清晰、全面，合理、规范，可行性强，完全满足采购人需求，得</w:t>
            </w:r>
            <w:r>
              <w:rPr>
                <w:color w:val="auto"/>
                <w:highlight w:val="none"/>
              </w:rPr>
              <w:t>10</w:t>
            </w:r>
            <w:r>
              <w:rPr>
                <w:rFonts w:hint="eastAsia"/>
                <w:color w:val="auto"/>
                <w:highlight w:val="none"/>
              </w:rPr>
              <w:t>分；第二档：措施方案基本完整、逻辑基本清晰、基本全面，合理、较为规范，基本满采购人需求，得</w:t>
            </w:r>
            <w:r>
              <w:rPr>
                <w:color w:val="auto"/>
                <w:highlight w:val="none"/>
              </w:rPr>
              <w:t>8分；</w:t>
            </w:r>
            <w:r>
              <w:rPr>
                <w:rFonts w:hint="eastAsia"/>
                <w:color w:val="auto"/>
                <w:highlight w:val="none"/>
              </w:rPr>
              <w:t>第三档：措施方案基本完整、逻辑基本清晰、基本全面，合理、较为规范，方案不存在严重缺项得</w:t>
            </w:r>
            <w:r>
              <w:rPr>
                <w:color w:val="auto"/>
                <w:highlight w:val="none"/>
              </w:rPr>
              <w:t>5</w:t>
            </w:r>
            <w:r>
              <w:rPr>
                <w:rFonts w:hint="eastAsia"/>
                <w:color w:val="auto"/>
                <w:highlight w:val="none"/>
              </w:rPr>
              <w:t>分；第四档：措施方案存在严重缺项或不提供，得</w:t>
            </w:r>
            <w:r>
              <w:rPr>
                <w:color w:val="auto"/>
                <w:highlight w:val="none"/>
              </w:rPr>
              <w:t>0</w:t>
            </w:r>
            <w:r>
              <w:rPr>
                <w:rFonts w:hint="eastAsia"/>
                <w:color w:val="auto"/>
                <w:highlight w:val="none"/>
              </w:rPr>
              <w:t>分。</w:t>
            </w:r>
          </w:p>
        </w:tc>
      </w:tr>
      <w:tr w14:paraId="5E86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918" w:type="dxa"/>
            <w:vMerge w:val="restart"/>
            <w:tcBorders>
              <w:top w:val="single" w:color="auto" w:sz="4" w:space="0"/>
              <w:left w:val="single" w:color="auto" w:sz="4" w:space="0"/>
              <w:right w:val="single" w:color="auto" w:sz="4" w:space="0"/>
            </w:tcBorders>
          </w:tcPr>
          <w:p w14:paraId="0F48B88B">
            <w:pPr>
              <w:rPr>
                <w:color w:val="auto"/>
                <w:highlight w:val="none"/>
              </w:rPr>
            </w:pPr>
          </w:p>
          <w:p w14:paraId="64C9378F">
            <w:pPr>
              <w:rPr>
                <w:color w:val="auto"/>
                <w:highlight w:val="none"/>
              </w:rPr>
            </w:pPr>
          </w:p>
          <w:p w14:paraId="1208C117">
            <w:pPr>
              <w:rPr>
                <w:color w:val="auto"/>
                <w:spacing w:val="-3"/>
                <w:highlight w:val="none"/>
              </w:rPr>
            </w:pPr>
          </w:p>
          <w:p w14:paraId="3149BC47">
            <w:pPr>
              <w:rPr>
                <w:color w:val="auto"/>
                <w:spacing w:val="-3"/>
                <w:highlight w:val="none"/>
              </w:rPr>
            </w:pPr>
          </w:p>
          <w:p w14:paraId="3865832B">
            <w:pPr>
              <w:rPr>
                <w:color w:val="auto"/>
                <w:spacing w:val="-3"/>
                <w:highlight w:val="none"/>
              </w:rPr>
            </w:pPr>
          </w:p>
          <w:p w14:paraId="591C3EBE">
            <w:pPr>
              <w:rPr>
                <w:color w:val="auto"/>
                <w:spacing w:val="-3"/>
                <w:highlight w:val="none"/>
              </w:rPr>
            </w:pPr>
          </w:p>
          <w:p w14:paraId="1B4F35D8">
            <w:pPr>
              <w:rPr>
                <w:color w:val="auto"/>
                <w:spacing w:val="-3"/>
                <w:highlight w:val="none"/>
              </w:rPr>
            </w:pPr>
          </w:p>
          <w:p w14:paraId="3DB8E309">
            <w:pPr>
              <w:rPr>
                <w:color w:val="auto"/>
                <w:spacing w:val="-3"/>
                <w:highlight w:val="none"/>
              </w:rPr>
            </w:pPr>
          </w:p>
          <w:p w14:paraId="42A53E68">
            <w:pPr>
              <w:rPr>
                <w:color w:val="auto"/>
                <w:spacing w:val="-3"/>
                <w:highlight w:val="none"/>
              </w:rPr>
            </w:pPr>
          </w:p>
          <w:p w14:paraId="33F7CE47">
            <w:pPr>
              <w:rPr>
                <w:color w:val="auto"/>
                <w:spacing w:val="-3"/>
                <w:highlight w:val="none"/>
              </w:rPr>
            </w:pPr>
          </w:p>
          <w:p w14:paraId="7ED7950F">
            <w:pPr>
              <w:rPr>
                <w:color w:val="auto"/>
                <w:spacing w:val="-3"/>
                <w:highlight w:val="none"/>
              </w:rPr>
            </w:pPr>
          </w:p>
          <w:p w14:paraId="1DB99016">
            <w:pPr>
              <w:rPr>
                <w:color w:val="auto"/>
                <w:spacing w:val="1"/>
                <w:highlight w:val="none"/>
              </w:rPr>
            </w:pPr>
            <w:r>
              <w:rPr>
                <w:color w:val="auto"/>
                <w:spacing w:val="-3"/>
                <w:highlight w:val="none"/>
              </w:rPr>
              <w:t>2.2.4</w:t>
            </w:r>
            <w:r>
              <w:rPr>
                <w:color w:val="auto"/>
                <w:spacing w:val="1"/>
                <w:highlight w:val="none"/>
              </w:rPr>
              <w:t xml:space="preserve"> </w:t>
            </w:r>
          </w:p>
          <w:p w14:paraId="1B014A9C">
            <w:pPr>
              <w:rPr>
                <w:color w:val="auto"/>
                <w:highlight w:val="none"/>
              </w:rPr>
            </w:pPr>
            <w:r>
              <w:rPr>
                <w:color w:val="auto"/>
                <w:spacing w:val="-7"/>
                <w:highlight w:val="none"/>
              </w:rPr>
              <w:t>（3）</w:t>
            </w:r>
          </w:p>
        </w:tc>
        <w:tc>
          <w:tcPr>
            <w:tcW w:w="878" w:type="dxa"/>
            <w:vMerge w:val="restart"/>
            <w:tcBorders>
              <w:top w:val="single" w:color="auto" w:sz="4" w:space="0"/>
              <w:left w:val="single" w:color="auto" w:sz="4" w:space="0"/>
              <w:right w:val="single" w:color="auto" w:sz="4" w:space="0"/>
            </w:tcBorders>
          </w:tcPr>
          <w:p w14:paraId="6EF13135">
            <w:pPr>
              <w:rPr>
                <w:color w:val="auto"/>
                <w:spacing w:val="-4"/>
                <w:highlight w:val="none"/>
              </w:rPr>
            </w:pPr>
          </w:p>
          <w:p w14:paraId="1E7046FF">
            <w:pPr>
              <w:rPr>
                <w:color w:val="auto"/>
                <w:spacing w:val="-4"/>
                <w:highlight w:val="none"/>
              </w:rPr>
            </w:pPr>
          </w:p>
          <w:p w14:paraId="3E90E6BE">
            <w:pPr>
              <w:rPr>
                <w:color w:val="auto"/>
                <w:spacing w:val="-4"/>
                <w:highlight w:val="none"/>
              </w:rPr>
            </w:pPr>
          </w:p>
          <w:p w14:paraId="4E0D46E2">
            <w:pPr>
              <w:rPr>
                <w:color w:val="auto"/>
                <w:spacing w:val="-4"/>
                <w:highlight w:val="none"/>
              </w:rPr>
            </w:pPr>
          </w:p>
          <w:p w14:paraId="22EEABF5">
            <w:pPr>
              <w:rPr>
                <w:color w:val="auto"/>
                <w:spacing w:val="-4"/>
                <w:highlight w:val="none"/>
              </w:rPr>
            </w:pPr>
          </w:p>
          <w:p w14:paraId="0171ACE2">
            <w:pPr>
              <w:rPr>
                <w:color w:val="auto"/>
                <w:spacing w:val="-4"/>
                <w:highlight w:val="none"/>
              </w:rPr>
            </w:pPr>
          </w:p>
          <w:p w14:paraId="2A32758C">
            <w:pPr>
              <w:rPr>
                <w:color w:val="auto"/>
                <w:spacing w:val="-4"/>
                <w:highlight w:val="none"/>
              </w:rPr>
            </w:pPr>
          </w:p>
          <w:p w14:paraId="2E749619">
            <w:pPr>
              <w:rPr>
                <w:color w:val="auto"/>
                <w:spacing w:val="-4"/>
                <w:highlight w:val="none"/>
              </w:rPr>
            </w:pPr>
          </w:p>
          <w:p w14:paraId="6ED6721F">
            <w:pPr>
              <w:rPr>
                <w:color w:val="auto"/>
                <w:spacing w:val="-4"/>
                <w:highlight w:val="none"/>
              </w:rPr>
            </w:pPr>
          </w:p>
          <w:p w14:paraId="029AB6A8">
            <w:pPr>
              <w:rPr>
                <w:color w:val="auto"/>
                <w:spacing w:val="-4"/>
                <w:highlight w:val="none"/>
              </w:rPr>
            </w:pPr>
          </w:p>
          <w:p w14:paraId="18A67839">
            <w:pPr>
              <w:rPr>
                <w:color w:val="auto"/>
                <w:spacing w:val="-4"/>
                <w:highlight w:val="none"/>
              </w:rPr>
            </w:pPr>
          </w:p>
          <w:p w14:paraId="0321AE02">
            <w:pPr>
              <w:rPr>
                <w:color w:val="auto"/>
                <w:spacing w:val="2"/>
                <w:highlight w:val="none"/>
              </w:rPr>
            </w:pPr>
            <w:r>
              <w:rPr>
                <w:color w:val="auto"/>
                <w:spacing w:val="-4"/>
                <w:highlight w:val="none"/>
              </w:rPr>
              <w:t>综合部分</w:t>
            </w:r>
            <w:r>
              <w:rPr>
                <w:color w:val="auto"/>
                <w:spacing w:val="2"/>
                <w:highlight w:val="none"/>
              </w:rPr>
              <w:t xml:space="preserve"> </w:t>
            </w:r>
          </w:p>
          <w:p w14:paraId="68AB69B2">
            <w:pPr>
              <w:rPr>
                <w:color w:val="auto"/>
                <w:spacing w:val="-5"/>
                <w:highlight w:val="none"/>
              </w:rPr>
            </w:pPr>
            <w:r>
              <w:rPr>
                <w:rFonts w:hint="eastAsia" w:ascii="微软雅黑" w:hAnsi="微软雅黑" w:eastAsia="微软雅黑" w:cs="微软雅黑"/>
                <w:color w:val="auto"/>
                <w:spacing w:val="-5"/>
                <w:highlight w:val="none"/>
              </w:rPr>
              <w:t>（</w:t>
            </w:r>
            <w:r>
              <w:rPr>
                <w:color w:val="auto"/>
                <w:spacing w:val="-5"/>
                <w:highlight w:val="none"/>
                <w:lang w:eastAsia="zh-CN"/>
              </w:rPr>
              <w:t>2</w:t>
            </w:r>
            <w:r>
              <w:rPr>
                <w:color w:val="auto"/>
                <w:spacing w:val="-5"/>
                <w:highlight w:val="none"/>
              </w:rPr>
              <w:t>0</w:t>
            </w:r>
            <w:r>
              <w:rPr>
                <w:rFonts w:hint="eastAsia" w:ascii="微软雅黑" w:hAnsi="微软雅黑" w:eastAsia="微软雅黑" w:cs="微软雅黑"/>
                <w:color w:val="auto"/>
                <w:spacing w:val="-5"/>
                <w:highlight w:val="none"/>
              </w:rPr>
              <w:t>分）</w:t>
            </w:r>
          </w:p>
        </w:tc>
        <w:tc>
          <w:tcPr>
            <w:tcW w:w="2349" w:type="dxa"/>
            <w:tcBorders>
              <w:left w:val="single" w:color="auto" w:sz="4" w:space="0"/>
            </w:tcBorders>
          </w:tcPr>
          <w:p w14:paraId="115AB9E8">
            <w:pPr>
              <w:spacing w:line="265" w:lineRule="auto"/>
              <w:jc w:val="center"/>
              <w:rPr>
                <w:color w:val="auto"/>
                <w:highlight w:val="none"/>
              </w:rPr>
            </w:pPr>
          </w:p>
          <w:p w14:paraId="3E326F55">
            <w:pPr>
              <w:pStyle w:val="20"/>
              <w:ind w:left="440" w:leftChars="0" w:firstLine="0" w:firstLineChars="0"/>
              <w:rPr>
                <w:color w:val="auto"/>
                <w:highlight w:val="none"/>
                <w:lang w:eastAsia="zh-CN"/>
              </w:rPr>
            </w:pPr>
            <w:r>
              <w:rPr>
                <w:rFonts w:hint="eastAsia"/>
                <w:color w:val="auto"/>
                <w:highlight w:val="none"/>
              </w:rPr>
              <w:t>业绩</w:t>
            </w:r>
            <w:r>
              <w:rPr>
                <w:rFonts w:hint="eastAsia"/>
                <w:color w:val="auto"/>
                <w:highlight w:val="none"/>
                <w:lang w:eastAsia="zh-CN"/>
              </w:rPr>
              <w:t>（6分）</w:t>
            </w:r>
          </w:p>
        </w:tc>
        <w:tc>
          <w:tcPr>
            <w:tcW w:w="5061" w:type="dxa"/>
          </w:tcPr>
          <w:p w14:paraId="2A219B2A">
            <w:pPr>
              <w:pStyle w:val="20"/>
              <w:ind w:left="220" w:leftChars="0" w:firstLine="0" w:firstLineChars="0"/>
              <w:rPr>
                <w:color w:val="auto"/>
                <w:highlight w:val="none"/>
              </w:rPr>
            </w:pPr>
            <w:r>
              <w:rPr>
                <w:rFonts w:hint="eastAsia"/>
                <w:color w:val="auto"/>
                <w:highlight w:val="none"/>
              </w:rPr>
              <w:t>供应商</w:t>
            </w:r>
            <w:r>
              <w:rPr>
                <w:color w:val="auto"/>
                <w:highlight w:val="none"/>
              </w:rPr>
              <w:t>202</w:t>
            </w:r>
            <w:r>
              <w:rPr>
                <w:rFonts w:hint="eastAsia"/>
                <w:color w:val="auto"/>
                <w:highlight w:val="none"/>
                <w:lang w:val="en-US" w:eastAsia="zh-CN"/>
              </w:rPr>
              <w:t>1</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日以来有类似项目业绩的，每有一份得</w:t>
            </w:r>
            <w:r>
              <w:rPr>
                <w:color w:val="auto"/>
                <w:highlight w:val="none"/>
              </w:rPr>
              <w:t>2</w:t>
            </w:r>
            <w:r>
              <w:rPr>
                <w:rFonts w:hint="eastAsia"/>
                <w:color w:val="auto"/>
                <w:highlight w:val="none"/>
              </w:rPr>
              <w:t>分，本项最多得</w:t>
            </w:r>
            <w:r>
              <w:rPr>
                <w:color w:val="auto"/>
                <w:highlight w:val="none"/>
              </w:rPr>
              <w:t>6</w:t>
            </w:r>
            <w:r>
              <w:rPr>
                <w:rFonts w:hint="eastAsia"/>
                <w:color w:val="auto"/>
                <w:highlight w:val="none"/>
              </w:rPr>
              <w:t>分。注：诚信库需上传合同和中标通知书，二者缺一不可，否则不得分。（以合同签订时间为准）。</w:t>
            </w:r>
          </w:p>
        </w:tc>
      </w:tr>
      <w:tr w14:paraId="0134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18" w:type="dxa"/>
            <w:vMerge w:val="continue"/>
            <w:tcBorders>
              <w:left w:val="single" w:color="auto" w:sz="4" w:space="0"/>
              <w:right w:val="single" w:color="auto" w:sz="4" w:space="0"/>
            </w:tcBorders>
          </w:tcPr>
          <w:p w14:paraId="01A784E3">
            <w:pPr>
              <w:rPr>
                <w:color w:val="auto"/>
                <w:spacing w:val="-7"/>
                <w:highlight w:val="none"/>
              </w:rPr>
            </w:pPr>
          </w:p>
        </w:tc>
        <w:tc>
          <w:tcPr>
            <w:tcW w:w="878" w:type="dxa"/>
            <w:vMerge w:val="continue"/>
            <w:tcBorders>
              <w:left w:val="single" w:color="auto" w:sz="4" w:space="0"/>
              <w:right w:val="single" w:color="auto" w:sz="4" w:space="0"/>
            </w:tcBorders>
          </w:tcPr>
          <w:p w14:paraId="502D9357">
            <w:pPr>
              <w:pStyle w:val="15"/>
              <w:rPr>
                <w:color w:val="auto"/>
                <w:spacing w:val="-5"/>
                <w:highlight w:val="none"/>
              </w:rPr>
            </w:pPr>
          </w:p>
        </w:tc>
        <w:tc>
          <w:tcPr>
            <w:tcW w:w="2349" w:type="dxa"/>
            <w:tcBorders>
              <w:left w:val="single" w:color="auto" w:sz="4" w:space="0"/>
            </w:tcBorders>
          </w:tcPr>
          <w:p w14:paraId="492C2566">
            <w:pPr>
              <w:pStyle w:val="20"/>
              <w:rPr>
                <w:color w:val="auto"/>
                <w:highlight w:val="none"/>
                <w:lang w:eastAsia="zh-CN"/>
              </w:rPr>
            </w:pPr>
          </w:p>
          <w:p w14:paraId="13512AFE">
            <w:pPr>
              <w:pStyle w:val="20"/>
              <w:rPr>
                <w:color w:val="auto"/>
                <w:highlight w:val="none"/>
                <w:lang w:eastAsia="zh-CN"/>
              </w:rPr>
            </w:pPr>
          </w:p>
          <w:p w14:paraId="796259D8">
            <w:pPr>
              <w:pStyle w:val="20"/>
              <w:ind w:left="440" w:leftChars="0" w:firstLine="0" w:firstLineChars="0"/>
              <w:rPr>
                <w:color w:val="auto"/>
                <w:highlight w:val="none"/>
                <w:lang w:eastAsia="zh-CN"/>
              </w:rPr>
            </w:pPr>
            <w:r>
              <w:rPr>
                <w:rFonts w:hint="eastAsia"/>
                <w:color w:val="auto"/>
                <w:highlight w:val="none"/>
                <w:lang w:eastAsia="zh-CN"/>
              </w:rPr>
              <w:t>售后服务及承诺</w:t>
            </w:r>
          </w:p>
          <w:p w14:paraId="72628A4C">
            <w:pPr>
              <w:pStyle w:val="20"/>
              <w:ind w:left="0" w:leftChars="0" w:firstLine="720" w:firstLineChars="300"/>
              <w:rPr>
                <w:color w:val="auto"/>
                <w:highlight w:val="none"/>
                <w:lang w:eastAsia="zh-CN"/>
              </w:rPr>
            </w:pPr>
            <w:r>
              <w:rPr>
                <w:rFonts w:hint="eastAsia"/>
                <w:color w:val="auto"/>
                <w:highlight w:val="none"/>
                <w:lang w:eastAsia="zh-CN"/>
              </w:rPr>
              <w:t>（</w:t>
            </w:r>
            <w:r>
              <w:rPr>
                <w:color w:val="auto"/>
                <w:highlight w:val="none"/>
                <w:lang w:eastAsia="zh-CN"/>
              </w:rPr>
              <w:t xml:space="preserve">12 </w:t>
            </w:r>
            <w:r>
              <w:rPr>
                <w:rFonts w:hint="eastAsia"/>
                <w:color w:val="auto"/>
                <w:highlight w:val="none"/>
                <w:lang w:eastAsia="zh-CN"/>
              </w:rPr>
              <w:t>分）</w:t>
            </w:r>
          </w:p>
        </w:tc>
        <w:tc>
          <w:tcPr>
            <w:tcW w:w="5061" w:type="dxa"/>
          </w:tcPr>
          <w:p w14:paraId="242BBD81">
            <w:pPr>
              <w:pStyle w:val="20"/>
              <w:ind w:left="220" w:leftChars="0" w:firstLine="0" w:firstLineChars="0"/>
              <w:rPr>
                <w:color w:val="auto"/>
                <w:highlight w:val="none"/>
              </w:rPr>
            </w:pPr>
            <w:r>
              <w:rPr>
                <w:color w:val="auto"/>
                <w:highlight w:val="none"/>
              </w:rPr>
              <w:t>1</w:t>
            </w:r>
            <w:r>
              <w:rPr>
                <w:rFonts w:hint="eastAsia"/>
                <w:color w:val="auto"/>
                <w:highlight w:val="none"/>
              </w:rPr>
              <w:t>、投标人就如何做好后续服务保障工作提供一套优秀的服务方案，评委根据方案的优劣进行对比，优得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w:t>
            </w:r>
            <w:r>
              <w:rPr>
                <w:color w:val="auto"/>
                <w:highlight w:val="none"/>
              </w:rPr>
              <w:t>2</w:t>
            </w:r>
            <w:r>
              <w:rPr>
                <w:rFonts w:hint="eastAsia"/>
                <w:color w:val="auto"/>
                <w:highlight w:val="none"/>
              </w:rPr>
              <w:t>、投标人在项目实施完成后所承诺的责任、服务内容是否合理完整，评委根据承诺内容进行对比，优得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w:t>
            </w:r>
            <w:r>
              <w:rPr>
                <w:color w:val="auto"/>
                <w:highlight w:val="none"/>
              </w:rPr>
              <w:t>3</w:t>
            </w:r>
            <w:r>
              <w:rPr>
                <w:rFonts w:hint="eastAsia"/>
                <w:color w:val="auto"/>
                <w:highlight w:val="none"/>
              </w:rPr>
              <w:t>、根据承诺内容及针对采购人排忧解难情况及其他承诺情况等进行对比，优得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分。注：承诺内容必须具有可行性，一旦承诺必须兑现。</w:t>
            </w:r>
          </w:p>
        </w:tc>
      </w:tr>
      <w:tr w14:paraId="6898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918" w:type="dxa"/>
            <w:vMerge w:val="continue"/>
            <w:tcBorders>
              <w:left w:val="single" w:color="auto" w:sz="4" w:space="0"/>
              <w:right w:val="single" w:color="auto" w:sz="4" w:space="0"/>
            </w:tcBorders>
          </w:tcPr>
          <w:p w14:paraId="227DDFFE">
            <w:pPr>
              <w:rPr>
                <w:color w:val="auto"/>
                <w:spacing w:val="-7"/>
                <w:highlight w:val="none"/>
              </w:rPr>
            </w:pPr>
          </w:p>
        </w:tc>
        <w:tc>
          <w:tcPr>
            <w:tcW w:w="878" w:type="dxa"/>
            <w:vMerge w:val="continue"/>
            <w:tcBorders>
              <w:left w:val="single" w:color="auto" w:sz="4" w:space="0"/>
              <w:right w:val="single" w:color="auto" w:sz="4" w:space="0"/>
            </w:tcBorders>
          </w:tcPr>
          <w:p w14:paraId="34496AAA">
            <w:pPr>
              <w:pStyle w:val="15"/>
              <w:rPr>
                <w:color w:val="auto"/>
                <w:spacing w:val="-5"/>
                <w:highlight w:val="none"/>
              </w:rPr>
            </w:pPr>
          </w:p>
        </w:tc>
        <w:tc>
          <w:tcPr>
            <w:tcW w:w="2349" w:type="dxa"/>
            <w:tcBorders>
              <w:left w:val="single" w:color="auto" w:sz="4" w:space="0"/>
            </w:tcBorders>
          </w:tcPr>
          <w:p w14:paraId="0E84D2DD">
            <w:pPr>
              <w:pStyle w:val="20"/>
              <w:rPr>
                <w:color w:val="auto"/>
                <w:highlight w:val="none"/>
                <w:lang w:eastAsia="zh-CN"/>
              </w:rPr>
            </w:pPr>
          </w:p>
          <w:p w14:paraId="1649D565">
            <w:pPr>
              <w:pStyle w:val="20"/>
              <w:ind w:left="440" w:leftChars="0" w:firstLine="0" w:firstLineChars="0"/>
              <w:rPr>
                <w:color w:val="auto"/>
                <w:highlight w:val="none"/>
              </w:rPr>
            </w:pPr>
            <w:r>
              <w:rPr>
                <w:rFonts w:hint="eastAsia"/>
                <w:color w:val="auto"/>
                <w:highlight w:val="none"/>
                <w:lang w:eastAsia="zh-CN"/>
              </w:rPr>
              <w:t>投标文件编制评价（2分）</w:t>
            </w:r>
          </w:p>
        </w:tc>
        <w:tc>
          <w:tcPr>
            <w:tcW w:w="5061" w:type="dxa"/>
          </w:tcPr>
          <w:p w14:paraId="0227BA95">
            <w:pPr>
              <w:pStyle w:val="20"/>
              <w:ind w:left="220" w:leftChars="0" w:firstLine="0" w:firstLineChars="0"/>
              <w:rPr>
                <w:color w:val="auto"/>
                <w:highlight w:val="none"/>
              </w:rPr>
            </w:pPr>
            <w:r>
              <w:rPr>
                <w:rFonts w:hint="eastAsia"/>
                <w:color w:val="auto"/>
                <w:highlight w:val="none"/>
              </w:rPr>
              <w:t>投标文件符合招标文件所有条款条件，制作规范最多得</w:t>
            </w:r>
            <w:r>
              <w:rPr>
                <w:color w:val="auto"/>
                <w:highlight w:val="none"/>
              </w:rPr>
              <w:t>2</w:t>
            </w:r>
            <w:r>
              <w:rPr>
                <w:rFonts w:hint="eastAsia"/>
                <w:color w:val="auto"/>
                <w:highlight w:val="none"/>
              </w:rPr>
              <w:t>分；若投标文件与招标文件要求有偏离，但不影响到实质性响应，有一项细微偏差扣</w:t>
            </w:r>
            <w:r>
              <w:rPr>
                <w:color w:val="auto"/>
                <w:highlight w:val="none"/>
              </w:rPr>
              <w:t>1</w:t>
            </w:r>
            <w:r>
              <w:rPr>
                <w:rFonts w:hint="eastAsia"/>
                <w:color w:val="auto"/>
                <w:highlight w:val="none"/>
              </w:rPr>
              <w:t>分，直至该项分值扣完为止。</w:t>
            </w:r>
          </w:p>
        </w:tc>
      </w:tr>
      <w:tr w14:paraId="3BA6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7" w:hRule="atLeast"/>
          <w:jc w:val="center"/>
        </w:trPr>
        <w:tc>
          <w:tcPr>
            <w:tcW w:w="9206" w:type="dxa"/>
            <w:gridSpan w:val="4"/>
            <w:tcBorders>
              <w:left w:val="single" w:color="auto" w:sz="4" w:space="0"/>
              <w:bottom w:val="single" w:color="auto" w:sz="4" w:space="0"/>
            </w:tcBorders>
          </w:tcPr>
          <w:p w14:paraId="552B3F5A">
            <w:pPr>
              <w:pStyle w:val="20"/>
              <w:rPr>
                <w:color w:val="auto"/>
                <w:highlight w:val="none"/>
              </w:rPr>
            </w:pPr>
            <w:r>
              <w:rPr>
                <w:color w:val="auto"/>
                <w:highlight w:val="none"/>
              </w:rPr>
              <w:t>备注：</w:t>
            </w:r>
          </w:p>
          <w:p w14:paraId="69F67D34">
            <w:pPr>
              <w:pStyle w:val="20"/>
              <w:rPr>
                <w:color w:val="auto"/>
                <w:highlight w:val="none"/>
              </w:rPr>
            </w:pPr>
            <w:r>
              <w:rPr>
                <w:color w:val="auto"/>
                <w:highlight w:val="none"/>
              </w:rPr>
              <w:t>投标人综合得分等于以上五项的汇总得分。</w:t>
            </w:r>
          </w:p>
          <w:p w14:paraId="4A47C11D">
            <w:pPr>
              <w:pStyle w:val="20"/>
              <w:rPr>
                <w:color w:val="auto"/>
                <w:sz w:val="22"/>
                <w:szCs w:val="20"/>
                <w:highlight w:val="none"/>
              </w:rPr>
            </w:pPr>
            <w:r>
              <w:rPr>
                <w:color w:val="auto"/>
                <w:highlight w:val="none"/>
              </w:rPr>
              <w:t>评标委员会对各投标人的得分进行汇总，计算过程中评委个人分值按</w:t>
            </w:r>
            <w:r>
              <w:rPr>
                <w:color w:val="auto"/>
                <w:spacing w:val="-1"/>
                <w:highlight w:val="none"/>
              </w:rPr>
              <w:t>四舍五入保留三位小数</w:t>
            </w:r>
            <w:r>
              <w:rPr>
                <w:color w:val="auto"/>
                <w:highlight w:val="none"/>
              </w:rPr>
              <w:t xml:space="preserve"> ,</w:t>
            </w:r>
            <w:r>
              <w:rPr>
                <w:color w:val="auto"/>
                <w:spacing w:val="65"/>
                <w:highlight w:val="none"/>
              </w:rPr>
              <w:t xml:space="preserve"> </w:t>
            </w:r>
            <w:r>
              <w:rPr>
                <w:color w:val="auto"/>
                <w:highlight w:val="none"/>
              </w:rPr>
              <w:t xml:space="preserve">最终结果按四舍五入保留两位小数。以各评标委员会打分的算术平均值作为该投标人的最 </w:t>
            </w:r>
            <w:r>
              <w:rPr>
                <w:color w:val="auto"/>
                <w:spacing w:val="-5"/>
                <w:highlight w:val="none"/>
              </w:rPr>
              <w:t>终得分</w:t>
            </w:r>
          </w:p>
        </w:tc>
      </w:tr>
    </w:tbl>
    <w:p w14:paraId="368844A4">
      <w:pPr>
        <w:pStyle w:val="20"/>
        <w:spacing w:before="265" w:line="240" w:lineRule="auto"/>
        <w:ind w:left="0" w:leftChars="0" w:firstLine="0" w:firstLineChars="0"/>
        <w:rPr>
          <w:rFonts w:ascii="宋体" w:hAnsi="宋体" w:eastAsia="宋体" w:cs="宋体"/>
          <w:color w:val="auto"/>
          <w:spacing w:val="9"/>
          <w:kern w:val="2"/>
          <w:sz w:val="20"/>
          <w:szCs w:val="20"/>
          <w:highlight w:val="none"/>
          <w:lang w:val="en-US" w:eastAsia="en-US" w:bidi="ar-SA"/>
        </w:rPr>
        <w:sectPr>
          <w:footerReference r:id="rId7" w:type="default"/>
          <w:pgSz w:w="11910" w:h="16840"/>
          <w:pgMar w:top="1326" w:right="915" w:bottom="1009" w:left="1060" w:header="0" w:footer="847" w:gutter="0"/>
          <w:cols w:space="720" w:num="1"/>
        </w:sectPr>
      </w:pPr>
    </w:p>
    <w:p w14:paraId="3946ECED">
      <w:pPr>
        <w:pStyle w:val="20"/>
        <w:spacing w:before="265" w:line="240" w:lineRule="auto"/>
        <w:ind w:left="0" w:leftChars="0" w:firstLine="0" w:firstLineChars="0"/>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结果的同时，采购人与代理机构应通过淅川县公共资源交易平台在线签订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3.1招标人和中标人应当自中标通知书发出之日起</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天内，根据招标文件和中标人的投标文件通过淅川县公共资源交易平台</w:t>
      </w:r>
      <w:bookmarkStart w:id="12" w:name="_GoBack"/>
      <w:bookmarkEnd w:id="12"/>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20B1759A">
      <w:pPr>
        <w:wordWrap w:val="0"/>
        <w:spacing w:line="360" w:lineRule="auto"/>
        <w:jc w:val="center"/>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F341D26">
      <w:pPr>
        <w:pStyle w:val="5"/>
        <w:wordWrap w:val="0"/>
        <w:jc w:val="both"/>
        <w:rPr>
          <w:color w:val="auto"/>
          <w:highlight w:val="none"/>
        </w:rPr>
        <w:sectPr>
          <w:footerReference r:id="rId8" w:type="default"/>
          <w:pgSz w:w="11907" w:h="16840"/>
          <w:pgMar w:top="1440" w:right="1800" w:bottom="1440" w:left="1800" w:header="878" w:footer="886" w:gutter="0"/>
          <w:pgNumType w:start="1"/>
          <w:cols w:space="720" w:num="1"/>
        </w:sectPr>
      </w:pPr>
    </w:p>
    <w:p w14:paraId="6E04AC31">
      <w:pPr>
        <w:pStyle w:val="4"/>
        <w:ind w:firstLine="1846" w:firstLineChars="500"/>
        <w:rPr>
          <w:color w:val="auto"/>
          <w:highlight w:val="none"/>
        </w:rPr>
      </w:pPr>
      <w:r>
        <w:rPr>
          <w:rFonts w:hint="eastAsia"/>
          <w:color w:val="auto"/>
          <w:highlight w:val="none"/>
        </w:rPr>
        <w:t>第五章政府采购合同（草案）</w:t>
      </w:r>
    </w:p>
    <w:p w14:paraId="72C62804">
      <w:pPr>
        <w:pStyle w:val="5"/>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highlight w:val="none"/>
        </w:rPr>
      </w:pPr>
      <w:r>
        <w:rPr>
          <w:rFonts w:ascii="宋体" w:hAnsi="宋体" w:eastAsia="宋体" w:cs="宋体"/>
          <w:color w:val="auto"/>
          <w:spacing w:val="-4"/>
          <w:sz w:val="36"/>
          <w:szCs w:val="36"/>
          <w:highlight w:val="none"/>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2"/>
          <w:w w:val="94"/>
          <w:sz w:val="24"/>
          <w:szCs w:val="24"/>
          <w:highlight w:val="none"/>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9"/>
          <w:position w:val="14"/>
          <w:sz w:val="24"/>
          <w:szCs w:val="24"/>
          <w:highlight w:val="none"/>
        </w:rPr>
        <w:t>供方（中标人全称</w:t>
      </w:r>
      <w:r>
        <w:rPr>
          <w:rFonts w:ascii="宋体" w:hAnsi="宋体" w:eastAsia="宋体" w:cs="宋体"/>
          <w:color w:val="auto"/>
          <w:spacing w:val="-17"/>
          <w:position w:val="14"/>
          <w:sz w:val="24"/>
          <w:szCs w:val="24"/>
          <w:highlight w:val="none"/>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0"/>
          <w:sz w:val="24"/>
          <w:szCs w:val="24"/>
          <w:highlight w:val="none"/>
        </w:rPr>
        <w:t>需方（采购人全称</w:t>
      </w:r>
      <w:r>
        <w:rPr>
          <w:rFonts w:ascii="宋体" w:hAnsi="宋体" w:eastAsia="宋体" w:cs="宋体"/>
          <w:color w:val="auto"/>
          <w:spacing w:val="-18"/>
          <w:sz w:val="24"/>
          <w:szCs w:val="24"/>
          <w:highlight w:val="none"/>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供方持签发的中标/成交通知书，根据招标文件、供方的投标/报价等文件[项目编</w:t>
      </w:r>
      <w:r>
        <w:rPr>
          <w:rFonts w:ascii="宋体" w:hAnsi="宋体" w:eastAsia="宋体" w:cs="宋体"/>
          <w:color w:val="auto"/>
          <w:spacing w:val="-6"/>
          <w:sz w:val="24"/>
          <w:szCs w:val="24"/>
          <w:highlight w:val="none"/>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一、本合同名称：。</w:t>
      </w:r>
      <w:r>
        <w:rPr>
          <w:rFonts w:ascii="宋体" w:hAnsi="宋体" w:eastAsia="宋体" w:cs="宋体"/>
          <w:color w:val="auto"/>
          <w:spacing w:val="-12"/>
          <w:sz w:val="24"/>
          <w:szCs w:val="24"/>
          <w:highlight w:val="none"/>
        </w:rPr>
        <w:t>二、本合同总价为人民币元（大写</w:t>
      </w:r>
      <w:r>
        <w:rPr>
          <w:rFonts w:ascii="宋体" w:hAnsi="宋体" w:eastAsia="宋体" w:cs="宋体"/>
          <w:color w:val="auto"/>
          <w:spacing w:val="-32"/>
          <w:sz w:val="24"/>
          <w:szCs w:val="24"/>
          <w:highlight w:val="none"/>
        </w:rPr>
        <w:t>：）</w:t>
      </w:r>
      <w:r>
        <w:rPr>
          <w:rFonts w:ascii="宋体" w:hAnsi="宋体" w:eastAsia="宋体" w:cs="宋体"/>
          <w:color w:val="auto"/>
          <w:spacing w:val="-12"/>
          <w:sz w:val="24"/>
          <w:szCs w:val="24"/>
          <w:highlight w:val="none"/>
        </w:rPr>
        <w:t>。</w:t>
      </w:r>
      <w:r>
        <w:rPr>
          <w:rFonts w:ascii="宋体" w:hAnsi="宋体" w:eastAsia="宋体" w:cs="宋体"/>
          <w:color w:val="auto"/>
          <w:spacing w:val="-4"/>
          <w:sz w:val="24"/>
          <w:szCs w:val="24"/>
          <w:highlight w:val="none"/>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6BC7CCEE">
      <w:pPr>
        <w:pageBreakBefore w:val="0"/>
        <w:kinsoku/>
        <w:overflowPunct/>
        <w:bidi w:val="0"/>
        <w:adjustRightInd w:val="0"/>
        <w:snapToGrid w:val="0"/>
        <w:spacing w:after="0" w:line="360" w:lineRule="auto"/>
        <w:textAlignment w:val="auto"/>
        <w:outlineLvl w:val="9"/>
        <w:rPr>
          <w:color w:val="auto"/>
          <w:highlight w:val="none"/>
        </w:rPr>
      </w:pPr>
    </w:p>
    <w:tbl>
      <w:tblPr>
        <w:tblStyle w:val="21"/>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477E5F5">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B3853AD">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69C9F3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33063E8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3EB653F3">
            <w:pPr>
              <w:pageBreakBefore w:val="0"/>
              <w:kinsoku/>
              <w:overflowPunct/>
              <w:bidi w:val="0"/>
              <w:adjustRightInd w:val="0"/>
              <w:snapToGrid w:val="0"/>
              <w:spacing w:after="0" w:line="360" w:lineRule="auto"/>
              <w:ind w:firstLine="355"/>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名称</w:t>
            </w:r>
          </w:p>
        </w:tc>
        <w:tc>
          <w:tcPr>
            <w:tcW w:w="1261" w:type="dxa"/>
            <w:vAlign w:val="top"/>
          </w:tcPr>
          <w:p w14:paraId="725E097A">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E2D075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C7392D0">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FDB5F74">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867CB7F">
            <w:pPr>
              <w:pageBreakBefore w:val="0"/>
              <w:kinsoku/>
              <w:overflowPunct/>
              <w:bidi w:val="0"/>
              <w:adjustRightInd w:val="0"/>
              <w:snapToGrid w:val="0"/>
              <w:spacing w:after="0" w:line="360" w:lineRule="auto"/>
              <w:ind w:left="175" w:right="175" w:firstLine="19"/>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品牌/规</w:t>
            </w:r>
            <w:r>
              <w:rPr>
                <w:rFonts w:ascii="宋体" w:hAnsi="宋体" w:eastAsia="宋体" w:cs="宋体"/>
                <w:color w:val="auto"/>
                <w:spacing w:val="-3"/>
                <w:sz w:val="24"/>
                <w:szCs w:val="24"/>
                <w:highlight w:val="none"/>
              </w:rPr>
              <w:t>格/型号</w:t>
            </w:r>
          </w:p>
        </w:tc>
        <w:tc>
          <w:tcPr>
            <w:tcW w:w="2356" w:type="dxa"/>
            <w:vAlign w:val="top"/>
          </w:tcPr>
          <w:p w14:paraId="588EC99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709F0B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2D6A2E1">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5193C4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FC7601A">
            <w:pPr>
              <w:pageBreakBefore w:val="0"/>
              <w:kinsoku/>
              <w:overflowPunct/>
              <w:bidi w:val="0"/>
              <w:adjustRightInd w:val="0"/>
              <w:snapToGrid w:val="0"/>
              <w:spacing w:after="0" w:line="360" w:lineRule="auto"/>
              <w:ind w:firstLine="636"/>
              <w:textAlignment w:val="auto"/>
              <w:outlineLvl w:val="9"/>
              <w:rPr>
                <w:rFonts w:ascii="宋体" w:hAnsi="宋体" w:eastAsia="宋体" w:cs="宋体"/>
                <w:color w:val="auto"/>
                <w:sz w:val="24"/>
                <w:szCs w:val="24"/>
                <w:highlight w:val="none"/>
              </w:rPr>
            </w:pPr>
            <w:r>
              <w:rPr>
                <w:rFonts w:ascii="宋体" w:hAnsi="宋体" w:eastAsia="宋体" w:cs="宋体"/>
                <w:color w:val="auto"/>
                <w:spacing w:val="-2"/>
                <w:position w:val="14"/>
                <w:sz w:val="24"/>
                <w:szCs w:val="24"/>
                <w:highlight w:val="none"/>
              </w:rPr>
              <w:t>技术参数</w:t>
            </w:r>
          </w:p>
          <w:p w14:paraId="63CF5754">
            <w:pPr>
              <w:pageBreakBefore w:val="0"/>
              <w:kinsoku/>
              <w:overflowPunct/>
              <w:bidi w:val="0"/>
              <w:adjustRightInd w:val="0"/>
              <w:snapToGrid w:val="0"/>
              <w:spacing w:after="0" w:line="360" w:lineRule="auto"/>
              <w:ind w:firstLine="557"/>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62" w:type="dxa"/>
            <w:vAlign w:val="top"/>
          </w:tcPr>
          <w:p w14:paraId="64F0089E">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E24021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4F1F76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FD7836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7A088D9">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590632D">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17FFBE51">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CEA8868">
            <w:pPr>
              <w:pageBreakBefore w:val="0"/>
              <w:kinsoku/>
              <w:overflowPunct/>
              <w:bidi w:val="0"/>
              <w:adjustRightInd w:val="0"/>
              <w:snapToGrid w:val="0"/>
              <w:spacing w:after="0" w:line="360" w:lineRule="auto"/>
              <w:ind w:firstLine="129"/>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免费</w:t>
            </w:r>
          </w:p>
          <w:p w14:paraId="32D53151">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质保</w:t>
            </w:r>
          </w:p>
          <w:p w14:paraId="7A80EF69">
            <w:pPr>
              <w:pageBreakBefore w:val="0"/>
              <w:kinsoku/>
              <w:overflowPunct/>
              <w:bidi w:val="0"/>
              <w:adjustRightInd w:val="0"/>
              <w:snapToGrid w:val="0"/>
              <w:spacing w:after="0" w:line="360" w:lineRule="auto"/>
              <w:ind w:firstLine="246"/>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38D190F7">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A392DE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2B8FFC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01E75A6C">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BB3E114">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7F6561B">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1D88275">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1744E372">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C51B810">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DFD421B">
            <w:pPr>
              <w:pageBreakBefore w:val="0"/>
              <w:kinsoku/>
              <w:overflowPunct/>
              <w:bidi w:val="0"/>
              <w:adjustRightInd w:val="0"/>
              <w:snapToGrid w:val="0"/>
              <w:spacing w:after="0" w:line="360" w:lineRule="auto"/>
              <w:ind w:firstLine="132"/>
              <w:textAlignment w:val="auto"/>
              <w:outlineLvl w:val="9"/>
              <w:rPr>
                <w:rFonts w:ascii="宋体" w:hAnsi="宋体" w:eastAsia="宋体" w:cs="宋体"/>
                <w:color w:val="auto"/>
                <w:sz w:val="24"/>
                <w:szCs w:val="24"/>
                <w:highlight w:val="none"/>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highlight w:val="none"/>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highlight w:val="none"/>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textAlignment w:val="auto"/>
              <w:outlineLvl w:val="9"/>
              <w:rPr>
                <w:rFonts w:ascii="宋体" w:hAnsi="宋体" w:eastAsia="宋体" w:cs="宋体"/>
                <w:color w:val="auto"/>
                <w:spacing w:val="-4"/>
                <w:position w:val="14"/>
                <w:sz w:val="22"/>
                <w:szCs w:val="22"/>
                <w:highlight w:val="none"/>
              </w:rPr>
            </w:pPr>
            <w:r>
              <w:rPr>
                <w:rFonts w:ascii="宋体" w:hAnsi="宋体" w:eastAsia="宋体" w:cs="宋体"/>
                <w:color w:val="auto"/>
                <w:spacing w:val="-4"/>
                <w:position w:val="14"/>
                <w:sz w:val="22"/>
                <w:szCs w:val="22"/>
                <w:highlight w:val="none"/>
              </w:rPr>
              <w:t>总价（人民</w:t>
            </w:r>
          </w:p>
          <w:p w14:paraId="7C9F411B">
            <w:pPr>
              <w:pageBreakBefore w:val="0"/>
              <w:kinsoku/>
              <w:overflowPunct/>
              <w:bidi w:val="0"/>
              <w:adjustRightInd w:val="0"/>
              <w:snapToGrid w:val="0"/>
              <w:spacing w:after="0" w:line="360" w:lineRule="auto"/>
              <w:textAlignment w:val="auto"/>
              <w:outlineLvl w:val="9"/>
              <w:rPr>
                <w:rFonts w:ascii="宋体"/>
                <w:color w:val="auto"/>
                <w:sz w:val="21"/>
                <w:highlight w:val="none"/>
              </w:rPr>
            </w:pPr>
            <w:r>
              <w:rPr>
                <w:rFonts w:ascii="宋体" w:hAnsi="宋体" w:eastAsia="宋体" w:cs="宋体"/>
                <w:color w:val="auto"/>
                <w:spacing w:val="-4"/>
                <w:position w:val="14"/>
                <w:sz w:val="22"/>
                <w:szCs w:val="22"/>
                <w:highlight w:val="none"/>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highlight w:val="none"/>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要求及供方对</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要求。供方应提供全新未拆封产品（包括零部件、附件、备品备件</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highlight w:val="none"/>
        </w:rPr>
        <w:t>方对货物规格、型号、</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有异议的应在收到货物后15日内以书面形式向供方提出，需安</w:t>
      </w:r>
      <w:r>
        <w:rPr>
          <w:rFonts w:ascii="宋体" w:hAnsi="宋体" w:eastAsia="宋体" w:cs="宋体"/>
          <w:color w:val="auto"/>
          <w:spacing w:val="-3"/>
          <w:sz w:val="24"/>
          <w:szCs w:val="24"/>
          <w:highlight w:val="none"/>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2、按需方要求在</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highlight w:val="none"/>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六、供方在交付货物时应向需方提供货物的使用说明、合格证书及其它相关资料，否</w:t>
      </w:r>
      <w:r>
        <w:rPr>
          <w:rFonts w:ascii="宋体" w:hAnsi="宋体" w:eastAsia="宋体" w:cs="宋体"/>
          <w:color w:val="auto"/>
          <w:spacing w:val="-5"/>
          <w:sz w:val="24"/>
          <w:szCs w:val="24"/>
          <w:highlight w:val="none"/>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七、人员培训：供方免费对需方人员进行技术培训，直到需方人员熟练操作或掌握为</w:t>
      </w:r>
      <w:r>
        <w:rPr>
          <w:rFonts w:ascii="宋体" w:hAnsi="宋体" w:eastAsia="宋体" w:cs="宋体"/>
          <w:color w:val="auto"/>
          <w:spacing w:val="-12"/>
          <w:sz w:val="24"/>
          <w:szCs w:val="24"/>
          <w:highlight w:val="none"/>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培训地点</w:t>
      </w:r>
      <w:r>
        <w:rPr>
          <w:rFonts w:ascii="宋体" w:hAnsi="宋体" w:eastAsia="宋体" w:cs="宋体"/>
          <w:color w:val="auto"/>
          <w:spacing w:val="-24"/>
          <w:sz w:val="24"/>
          <w:szCs w:val="24"/>
          <w:highlight w:val="none"/>
        </w:rPr>
        <w:t>：；</w:t>
      </w:r>
      <w:r>
        <w:rPr>
          <w:rFonts w:ascii="宋体" w:hAnsi="宋体" w:eastAsia="宋体" w:cs="宋体"/>
          <w:color w:val="auto"/>
          <w:spacing w:val="-23"/>
          <w:sz w:val="24"/>
          <w:szCs w:val="24"/>
          <w:highlight w:val="none"/>
        </w:rPr>
        <w:t>培训时间</w:t>
      </w:r>
      <w:r>
        <w:rPr>
          <w:rFonts w:ascii="宋体" w:hAnsi="宋体" w:eastAsia="宋体" w:cs="宋体"/>
          <w:color w:val="auto"/>
          <w:spacing w:val="-50"/>
          <w:sz w:val="24"/>
          <w:szCs w:val="24"/>
          <w:highlight w:val="none"/>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培训方式</w:t>
      </w:r>
      <w:r>
        <w:rPr>
          <w:rFonts w:ascii="宋体" w:hAnsi="宋体" w:eastAsia="宋体" w:cs="宋体"/>
          <w:color w:val="auto"/>
          <w:spacing w:val="-47"/>
          <w:sz w:val="24"/>
          <w:szCs w:val="24"/>
          <w:highlight w:val="none"/>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检测机构参加验收工作。如本项目属国家规定的强制性</w:t>
      </w:r>
      <w:r>
        <w:rPr>
          <w:rFonts w:ascii="宋体" w:hAnsi="宋体" w:eastAsia="宋体" w:cs="宋体"/>
          <w:color w:val="auto"/>
          <w:spacing w:val="-2"/>
          <w:sz w:val="24"/>
          <w:szCs w:val="24"/>
          <w:highlight w:val="none"/>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供方所交付的货物品种、型号、规格、</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highlight w:val="none"/>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highlight w:val="none"/>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十一、供需双方应严格遵守招标文件要求，如有违反，按招标文件的规定处理。十二、因货物的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问题发生争议，由法定的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检测机构进行</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十三、项目招标文件及其修改和澄清、及供方投标文件、供方在投标中的有关承诺及</w:t>
      </w:r>
      <w:r>
        <w:rPr>
          <w:rFonts w:ascii="宋体" w:hAnsi="宋体" w:eastAsia="宋体" w:cs="宋体"/>
          <w:color w:val="auto"/>
          <w:spacing w:val="-4"/>
          <w:sz w:val="24"/>
          <w:szCs w:val="24"/>
          <w:highlight w:val="none"/>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十四、本合同签订和履行适用中华人民共和国法律，因履行合同发生的争议，由供需</w:t>
      </w:r>
      <w:r>
        <w:rPr>
          <w:rFonts w:ascii="宋体" w:hAnsi="宋体" w:eastAsia="宋体" w:cs="宋体"/>
          <w:color w:val="auto"/>
          <w:spacing w:val="-2"/>
          <w:sz w:val="24"/>
          <w:szCs w:val="24"/>
          <w:highlight w:val="none"/>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十五、本合同未尽事宜，供需双方可签订补充协议，与本合同具有同等法律效力，但</w:t>
      </w:r>
      <w:r>
        <w:rPr>
          <w:rFonts w:ascii="宋体" w:hAnsi="宋体" w:eastAsia="宋体" w:cs="宋体"/>
          <w:color w:val="auto"/>
          <w:spacing w:val="-2"/>
          <w:sz w:val="24"/>
          <w:szCs w:val="24"/>
          <w:highlight w:val="none"/>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highlight w:val="none"/>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1"/>
          <w:position w:val="14"/>
          <w:sz w:val="24"/>
          <w:szCs w:val="24"/>
          <w:highlight w:val="none"/>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1．本合同经双方代表签字并加盖公章后生效。</w:t>
      </w:r>
    </w:p>
    <w:p w14:paraId="3F23E639">
      <w:pPr>
        <w:pStyle w:val="4"/>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2．本合同一式份，供需双方各持份。</w:t>
      </w:r>
    </w:p>
    <w:p w14:paraId="4694D064">
      <w:pPr>
        <w:pStyle w:val="4"/>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乙方（公章）：</w:t>
      </w:r>
    </w:p>
    <w:p w14:paraId="03CD77BF">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单位地址：</w:t>
      </w:r>
    </w:p>
    <w:p w14:paraId="7E3A53FB">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法人或被授权人：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法人或被授权人：</w:t>
      </w:r>
    </w:p>
    <w:p w14:paraId="4F21186E">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w:t>
      </w:r>
    </w:p>
    <w:p w14:paraId="180A3429">
      <w:pPr>
        <w:pStyle w:val="4"/>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C2A13F0">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numberInDash"/>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4"/>
        <w:ind w:firstLine="0" w:firstLineChars="0"/>
        <w:rPr>
          <w:b w:val="0"/>
          <w:color w:val="auto"/>
          <w:spacing w:val="2"/>
          <w:position w:val="17"/>
          <w:sz w:val="24"/>
          <w:szCs w:val="24"/>
          <w:highlight w:val="none"/>
        </w:rPr>
      </w:pPr>
    </w:p>
    <w:bookmarkEnd w:id="8"/>
    <w:bookmarkEnd w:id="9"/>
    <w:p w14:paraId="132AC9E6">
      <w:pPr>
        <w:rPr>
          <w:rStyle w:val="22"/>
          <w:rFonts w:hint="eastAsia"/>
          <w:color w:val="auto"/>
          <w:sz w:val="36"/>
          <w:szCs w:val="36"/>
          <w:highlight w:val="none"/>
        </w:rPr>
      </w:pPr>
      <w:bookmarkStart w:id="10" w:name="_Toc33217864"/>
      <w:bookmarkEnd w:id="10"/>
      <w:bookmarkStart w:id="11" w:name="_Toc12036"/>
      <w:bookmarkEnd w:id="11"/>
      <w:r>
        <w:rPr>
          <w:rStyle w:val="22"/>
          <w:rFonts w:hint="eastAsia"/>
          <w:color w:val="auto"/>
          <w:sz w:val="36"/>
          <w:szCs w:val="36"/>
          <w:highlight w:val="none"/>
        </w:rPr>
        <w:br w:type="page"/>
      </w:r>
    </w:p>
    <w:p w14:paraId="5F9D4E06">
      <w:pPr>
        <w:pStyle w:val="4"/>
        <w:ind w:firstLine="2456" w:firstLineChars="600"/>
        <w:rPr>
          <w:rStyle w:val="22"/>
          <w:color w:val="auto"/>
          <w:highlight w:val="none"/>
        </w:rPr>
      </w:pPr>
      <w:r>
        <w:rPr>
          <w:rStyle w:val="22"/>
          <w:rFonts w:hint="eastAsia"/>
          <w:color w:val="auto"/>
          <w:sz w:val="36"/>
          <w:szCs w:val="36"/>
          <w:highlight w:val="none"/>
        </w:rPr>
        <w:t>第六章投标文件格式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rFonts w:hint="eastAsia" w:eastAsia="宋体"/>
          <w:b/>
          <w:color w:val="auto"/>
          <w:sz w:val="28"/>
          <w:highlight w:val="none"/>
          <w:lang w:eastAsia="zh-CN"/>
        </w:rPr>
      </w:pP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投标</w:t>
      </w:r>
      <w:r>
        <w:rPr>
          <w:rFonts w:hint="eastAsia" w:ascii="宋体" w:hAnsi="宋体" w:eastAsia="宋体" w:cs="宋体"/>
          <w:b/>
          <w:color w:val="auto"/>
          <w:sz w:val="52"/>
          <w:szCs w:val="52"/>
          <w:highlight w:val="none"/>
        </w:rPr>
        <w:t>文件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投标人：</w:t>
      </w:r>
      <w:r>
        <w:rPr>
          <w:rFonts w:hint="eastAsia" w:ascii="宋体" w:hAnsi="宋体" w:eastAsia="宋体" w:cs="宋体"/>
          <w:b/>
          <w:color w:val="auto"/>
          <w:sz w:val="28"/>
          <w:highlight w:val="none"/>
          <w:u w:val="single"/>
        </w:rPr>
        <w:t>（电子签章）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法人代表或授权代表人：</w:t>
      </w:r>
      <w:r>
        <w:rPr>
          <w:rFonts w:hint="eastAsia" w:ascii="宋体" w:hAnsi="宋体" w:eastAsia="宋体" w:cs="宋体"/>
          <w:b/>
          <w:color w:val="auto"/>
          <w:sz w:val="28"/>
          <w:highlight w:val="none"/>
          <w:u w:val="single"/>
        </w:rPr>
        <w:t>(签字或盖章)</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highlight w:val="none"/>
          <w:u w:val="single"/>
        </w:rPr>
      </w:pPr>
      <w:r>
        <w:rPr>
          <w:rFonts w:hint="eastAsia" w:ascii="宋体" w:hAnsi="宋体" w:eastAsia="宋体" w:cs="宋体"/>
          <w:b/>
          <w:color w:val="auto"/>
          <w:sz w:val="28"/>
          <w:highlight w:val="none"/>
        </w:rPr>
        <w:t>日期：________________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E00C812">
      <w:pPr>
        <w:pageBreakBefore w:val="0"/>
        <w:kinsoku/>
        <w:overflowPunct/>
        <w:bidi w:val="0"/>
        <w:adjustRightInd w:val="0"/>
        <w:snapToGrid w:val="0"/>
        <w:spacing w:after="0" w:line="360" w:lineRule="auto"/>
        <w:textAlignment w:val="auto"/>
        <w:rPr>
          <w:color w:val="auto"/>
          <w:highlight w:val="none"/>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16B0CF3">
      <w:pPr>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br w:type="page"/>
      </w:r>
    </w:p>
    <w:p w14:paraId="580D0DCD">
      <w:pPr>
        <w:pStyle w:val="4"/>
        <w:kinsoku/>
        <w:wordWrap w:val="0"/>
        <w:spacing w:before="78" w:line="360" w:lineRule="auto"/>
        <w:ind w:left="13"/>
        <w:jc w:val="both"/>
        <w:outlineLvl w:val="2"/>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开标一览表</w:t>
      </w:r>
    </w:p>
    <w:tbl>
      <w:tblPr>
        <w:tblStyle w:val="1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年</w:t>
            </w: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bl>
    <w:p w14:paraId="5A36C59A">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注：“开标一览表”报总价。</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日期：年月日</w:t>
      </w:r>
    </w:p>
    <w:p w14:paraId="4DF9E8A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sectPr>
          <w:pgSz w:w="11907" w:h="16840"/>
          <w:pgMar w:top="1440" w:right="1800" w:bottom="1440" w:left="1800" w:header="851" w:footer="992" w:gutter="0"/>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67472A86">
      <w:pPr>
        <w:pStyle w:val="11"/>
        <w:kinsoku/>
        <w:wordWrap w:val="0"/>
        <w:ind w:firstLine="480"/>
        <w:jc w:val="both"/>
        <w:rPr>
          <w:rFonts w:asciiTheme="minorEastAsia" w:hAnsiTheme="minorEastAsia" w:eastAsiaTheme="minorEastAsia" w:cstheme="minorEastAsia"/>
          <w:color w:val="auto"/>
          <w:sz w:val="24"/>
          <w:szCs w:val="24"/>
          <w:highlight w:val="none"/>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5EE9BF45">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14:paraId="3400B558">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A156BE5">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75DC629C">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056A7C7C">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6015F67">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BBBC0F5">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2、法定代表人授权书。</w:t>
      </w:r>
    </w:p>
    <w:p w14:paraId="1846D5D3">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3、法定代表人或授权代表身份证。</w:t>
      </w:r>
    </w:p>
    <w:p w14:paraId="3812630D">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4D8AF2A5">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5、法定代表人或授权代表的联系电话。</w:t>
      </w:r>
    </w:p>
    <w:p w14:paraId="6581EB31">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0A160CE4">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6FBC9C18">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663D85EF">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144556E8">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2D9571CE">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295F5B53">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1B27E2F">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rPr>
      </w:pPr>
    </w:p>
    <w:p w14:paraId="22206946">
      <w:pPr>
        <w:pStyle w:val="4"/>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14:paraId="0FE38361">
      <w:pPr>
        <w:kinsoku/>
        <w:wordWrap w:val="0"/>
        <w:spacing w:line="256" w:lineRule="auto"/>
        <w:jc w:val="both"/>
        <w:rPr>
          <w:rFonts w:asciiTheme="minorEastAsia" w:hAnsiTheme="minorEastAsia" w:eastAsiaTheme="minorEastAsia" w:cstheme="minorEastAsia"/>
          <w:color w:val="auto"/>
          <w:highlight w:val="none"/>
        </w:rPr>
      </w:pPr>
    </w:p>
    <w:p w14:paraId="64C9E6E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14:paraId="625B0E18">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473F5A46">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6D8FAFCC">
      <w:pPr>
        <w:kinsoku/>
        <w:wordWrap w:val="0"/>
        <w:spacing w:line="256" w:lineRule="auto"/>
        <w:jc w:val="both"/>
        <w:rPr>
          <w:rFonts w:asciiTheme="minorEastAsia" w:hAnsiTheme="minorEastAsia" w:eastAsiaTheme="minorEastAsia" w:cstheme="minorEastAsia"/>
          <w:color w:val="auto"/>
          <w:highlight w:val="none"/>
        </w:rPr>
      </w:pPr>
    </w:p>
    <w:p w14:paraId="0C4214B5">
      <w:pPr>
        <w:kinsoku/>
        <w:wordWrap w:val="0"/>
        <w:spacing w:line="256" w:lineRule="auto"/>
        <w:jc w:val="both"/>
        <w:rPr>
          <w:rFonts w:asciiTheme="minorEastAsia" w:hAnsiTheme="minorEastAsia" w:eastAsiaTheme="minorEastAsia" w:cstheme="minorEastAsia"/>
          <w:color w:val="auto"/>
          <w:highlight w:val="none"/>
        </w:rPr>
      </w:pPr>
    </w:p>
    <w:p w14:paraId="372B8CC8">
      <w:pPr>
        <w:kinsoku/>
        <w:wordWrap w:val="0"/>
        <w:spacing w:line="256" w:lineRule="auto"/>
        <w:jc w:val="both"/>
        <w:rPr>
          <w:rFonts w:asciiTheme="minorEastAsia" w:hAnsiTheme="minorEastAsia" w:eastAsiaTheme="minorEastAsia" w:cstheme="minorEastAsia"/>
          <w:color w:val="auto"/>
          <w:highlight w:val="none"/>
        </w:rPr>
      </w:pPr>
    </w:p>
    <w:p w14:paraId="0E5745B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352E45BF">
      <w:pPr>
        <w:kinsoku/>
        <w:wordWrap w:val="0"/>
        <w:spacing w:line="360" w:lineRule="auto"/>
        <w:ind w:firstLine="482" w:firstLineChars="200"/>
        <w:jc w:val="both"/>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r>
        <w:rPr>
          <w:rFonts w:hint="eastAsia" w:asciiTheme="minorEastAsia" w:hAnsiTheme="minorEastAsia" w:eastAsiaTheme="minorEastAsia" w:cstheme="minorEastAsia"/>
          <w:color w:val="auto"/>
          <w:spacing w:val="24"/>
          <w:sz w:val="24"/>
          <w:szCs w:val="24"/>
          <w:highlight w:val="none"/>
        </w:rPr>
        <w:br w:type="page"/>
      </w:r>
    </w:p>
    <w:p w14:paraId="2C2E052C">
      <w:pPr>
        <w:pStyle w:val="4"/>
        <w:kinsoku/>
        <w:wordWrap w:val="0"/>
        <w:spacing w:line="360" w:lineRule="auto"/>
        <w:ind w:left="0" w:leftChars="0" w:firstLine="0" w:firstLineChars="0"/>
        <w:jc w:val="center"/>
        <w:rPr>
          <w:rFonts w:asciiTheme="minorEastAsia" w:hAnsiTheme="minorEastAsia" w:eastAsiaTheme="minorEastAsia" w:cstheme="minorEastAsia"/>
          <w:color w:val="auto"/>
          <w:sz w:val="32"/>
          <w:szCs w:val="32"/>
          <w:highlight w:val="none"/>
          <w:lang w:val="zh-CN" w:eastAsia="zh-CN"/>
        </w:rPr>
      </w:pPr>
      <w:r>
        <w:rPr>
          <w:rFonts w:hint="eastAsia" w:asciiTheme="minorEastAsia" w:hAnsiTheme="minorEastAsia" w:eastAsiaTheme="minorEastAsia" w:cstheme="minorEastAsia"/>
          <w:color w:val="auto"/>
          <w:sz w:val="32"/>
          <w:szCs w:val="32"/>
          <w:highlight w:val="none"/>
          <w:lang w:val="zh-CN" w:eastAsia="zh-CN"/>
        </w:rPr>
        <w:t>南阳市政府采购供应商信用承诺函（格式）</w:t>
      </w:r>
    </w:p>
    <w:p w14:paraId="7B7E850A">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707E6E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DFBF11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5CBAE4D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2839CE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BAC87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3812A75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F98A3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414DEF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4446972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11CAEB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FBF68B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08E9BD2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04F58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C6F4D8C">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p>
    <w:p w14:paraId="194CFAA8">
      <w:pPr>
        <w:widowControl w:val="0"/>
        <w:kinsoku/>
        <w:wordWrap w:val="0"/>
        <w:spacing w:line="360" w:lineRule="auto"/>
        <w:ind w:firstLine="5280" w:firstLineChars="2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5F489863">
      <w:pPr>
        <w:widowControl w:val="0"/>
        <w:kinsoku/>
        <w:wordWrap w:val="0"/>
        <w:spacing w:line="360" w:lineRule="auto"/>
        <w:ind w:firstLine="3360" w:firstLineChars="14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65B821AD">
      <w:pPr>
        <w:kinsoku/>
        <w:wordWrap w:val="0"/>
        <w:spacing w:line="360" w:lineRule="auto"/>
        <w:ind w:firstLine="5040" w:firstLineChars="21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56842D76">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14:paraId="70D2940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14:paraId="248DD80E">
      <w:pPr>
        <w:kinsoku/>
        <w:wordWrap w:val="0"/>
        <w:spacing w:line="360" w:lineRule="auto"/>
        <w:ind w:firstLine="480"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5F98BB0">
      <w:pPr>
        <w:pStyle w:val="5"/>
        <w:rPr>
          <w:rFonts w:hint="eastAsia"/>
          <w:color w:val="auto"/>
          <w:highlight w:val="none"/>
        </w:rPr>
      </w:pPr>
    </w:p>
    <w:p w14:paraId="1EF2D152">
      <w:pPr>
        <w:rPr>
          <w:rFonts w:hint="eastAsia" w:cstheme="minorEastAsia"/>
          <w:color w:val="auto"/>
          <w:spacing w:val="24"/>
          <w:sz w:val="24"/>
          <w:szCs w:val="24"/>
          <w:highlight w:val="none"/>
          <w:lang w:val="en-US" w:eastAsia="zh-CN"/>
        </w:rPr>
      </w:pPr>
    </w:p>
    <w:p w14:paraId="501B1CD0">
      <w:pPr>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pacing w:val="24"/>
          <w:sz w:val="32"/>
          <w:szCs w:val="32"/>
          <w:highlight w:val="none"/>
        </w:rPr>
        <w:t>二、商务技术文件格式</w:t>
      </w:r>
    </w:p>
    <w:p w14:paraId="54B0B79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pacing w:val="24"/>
          <w:sz w:val="24"/>
          <w:szCs w:val="24"/>
          <w:highlight w:val="none"/>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14:paraId="1EF12B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12" w:type="default"/>
          <w:footerReference r:id="rId13"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28A31F99">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2、投标分项报价一览表（适用于货物）</w:t>
      </w:r>
    </w:p>
    <w:p w14:paraId="13FC4782">
      <w:pPr>
        <w:kinsoku/>
        <w:wordWrap w:val="0"/>
        <w:jc w:val="both"/>
        <w:rPr>
          <w:rFonts w:ascii="宋体" w:hAnsi="宋体"/>
          <w:b/>
          <w:color w:val="auto"/>
          <w:sz w:val="24"/>
          <w:szCs w:val="24"/>
          <w:highlight w:val="none"/>
        </w:rPr>
      </w:pPr>
    </w:p>
    <w:p w14:paraId="00231E4D">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2"/>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法定代表人（负责人）或授权代表（签字）：日期：</w:t>
      </w:r>
      <w:r>
        <w:rPr>
          <w:rFonts w:hint="eastAsia" w:asciiTheme="minorEastAsia" w:hAnsiTheme="minorEastAsia" w:eastAsiaTheme="minorEastAsia" w:cstheme="minorEastAsia"/>
          <w:color w:val="auto"/>
          <w:spacing w:val="-8"/>
          <w:sz w:val="24"/>
          <w:szCs w:val="24"/>
          <w:highlight w:val="none"/>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14:paraId="616F5BDF">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highlight w:val="none"/>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5.技术偏差情况</w:t>
      </w:r>
    </w:p>
    <w:p w14:paraId="71574705">
      <w:pPr>
        <w:pStyle w:val="4"/>
        <w:kinsoku/>
        <w:wordWrap w:val="0"/>
        <w:jc w:val="both"/>
        <w:rPr>
          <w:rFonts w:asciiTheme="minorEastAsia" w:hAnsiTheme="minorEastAsia" w:eastAsiaTheme="minorEastAsia" w:cstheme="minorEastAsia"/>
          <w:color w:val="auto"/>
          <w:sz w:val="24"/>
          <w:szCs w:val="24"/>
          <w:highlight w:val="none"/>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highlight w:val="none"/>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highlight w:val="none"/>
          <w:lang w:eastAsia="zh-CN"/>
        </w:rPr>
      </w:pPr>
    </w:p>
    <w:p w14:paraId="2E463B48">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highlight w:val="none"/>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highlight w:val="none"/>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highlight w:val="none"/>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highlight w:val="none"/>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highlight w:val="none"/>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highlight w:val="none"/>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highlight w:val="none"/>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highlight w:val="none"/>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highlight w:val="none"/>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highlight w:val="none"/>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highlight w:val="none"/>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256A985D">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7.售后服务计划</w:t>
      </w:r>
      <w:r>
        <w:rPr>
          <w:rFonts w:hint="eastAsia" w:ascii="宋体" w:hAnsi="宋体"/>
          <w:b/>
          <w:color w:val="auto"/>
          <w:sz w:val="24"/>
          <w:szCs w:val="24"/>
          <w:highlight w:val="none"/>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BE323E0">
      <w:pPr>
        <w:rPr>
          <w:rFonts w:hint="eastAsia" w:eastAsia="Arial" w:cs="Arial"/>
          <w:b/>
          <w:color w:val="auto"/>
          <w:sz w:val="24"/>
          <w:szCs w:val="24"/>
          <w:highlight w:val="none"/>
          <w:lang w:val="en-US" w:eastAsia="zh-CN"/>
        </w:rPr>
      </w:pPr>
    </w:p>
    <w:p w14:paraId="3D437390">
      <w:pPr>
        <w:rPr>
          <w:rFonts w:hint="eastAsia" w:eastAsia="Arial" w:cs="Arial"/>
          <w:b/>
          <w:color w:val="auto"/>
          <w:sz w:val="24"/>
          <w:szCs w:val="24"/>
          <w:highlight w:val="none"/>
          <w:lang w:val="en-US" w:eastAsia="zh-CN"/>
        </w:rPr>
      </w:pPr>
    </w:p>
    <w:p w14:paraId="17FF369C">
      <w:pPr>
        <w:rPr>
          <w:rFonts w:hint="eastAsia" w:eastAsia="Arial" w:cs="Arial"/>
          <w:b/>
          <w:color w:val="auto"/>
          <w:sz w:val="24"/>
          <w:szCs w:val="24"/>
          <w:highlight w:val="none"/>
          <w:lang w:val="en-US" w:eastAsia="zh-CN"/>
        </w:rPr>
      </w:pPr>
    </w:p>
    <w:p w14:paraId="78EFE499">
      <w:pPr>
        <w:rPr>
          <w:rFonts w:hint="eastAsia" w:eastAsia="Arial" w:cs="Arial"/>
          <w:b/>
          <w:color w:val="auto"/>
          <w:sz w:val="24"/>
          <w:szCs w:val="24"/>
          <w:highlight w:val="none"/>
          <w:lang w:val="en-US" w:eastAsia="zh-CN"/>
        </w:rPr>
      </w:pPr>
    </w:p>
    <w:p w14:paraId="05554925">
      <w:pPr>
        <w:numPr>
          <w:ilvl w:val="0"/>
          <w:numId w:val="5"/>
        </w:numPr>
        <w:rPr>
          <w:rFonts w:hint="eastAsia" w:eastAsia="Arial" w:cs="Arial"/>
          <w:b/>
          <w:color w:val="auto"/>
          <w:sz w:val="24"/>
          <w:szCs w:val="24"/>
          <w:highlight w:val="none"/>
          <w:lang w:eastAsia="zh-CN"/>
        </w:rPr>
      </w:pPr>
      <w:r>
        <w:rPr>
          <w:rFonts w:hint="eastAsia" w:eastAsia="Arial" w:cs="Arial"/>
          <w:b/>
          <w:color w:val="auto"/>
          <w:sz w:val="24"/>
          <w:szCs w:val="24"/>
          <w:highlight w:val="none"/>
          <w:lang w:eastAsia="zh-CN"/>
        </w:rPr>
        <w:t>中小企业、监狱企业或残疾人福利性单位声明函</w:t>
      </w:r>
    </w:p>
    <w:p w14:paraId="2275258F">
      <w:pPr>
        <w:numPr>
          <w:ilvl w:val="0"/>
          <w:numId w:val="0"/>
        </w:numPr>
        <w:rPr>
          <w:rFonts w:eastAsia="Arial" w:cs="Arial"/>
          <w:b/>
          <w:color w:val="auto"/>
          <w:sz w:val="24"/>
          <w:szCs w:val="24"/>
          <w:highlight w:val="none"/>
          <w:lang w:eastAsia="zh-CN"/>
        </w:rPr>
      </w:pPr>
      <w:r>
        <w:rPr>
          <w:rFonts w:hint="eastAsia" w:eastAsia="Arial" w:cs="Arial"/>
          <w:b w:val="0"/>
          <w:bCs/>
          <w:color w:val="auto"/>
          <w:sz w:val="24"/>
          <w:szCs w:val="24"/>
          <w:highlight w:val="none"/>
          <w:lang w:eastAsia="zh-CN"/>
        </w:rPr>
        <w:t>（对于专门面向中小企业采购的项目必须提供，不专门面向的项目可选择提供）</w:t>
      </w:r>
    </w:p>
    <w:p w14:paraId="54237359">
      <w:pPr>
        <w:pStyle w:val="4"/>
        <w:kinsoku/>
        <w:wordWrap w:val="0"/>
        <w:spacing w:line="360" w:lineRule="auto"/>
        <w:ind w:left="0" w:leftChars="0" w:firstLine="0" w:firstLineChars="0"/>
        <w:jc w:val="center"/>
        <w:rPr>
          <w:rFonts w:hint="eastAsia" w:asciiTheme="minorEastAsia" w:hAnsiTheme="minorEastAsia" w:eastAsiaTheme="minorEastAsia" w:cstheme="minorEastAsia"/>
          <w:color w:val="auto"/>
          <w:spacing w:val="-3"/>
          <w:sz w:val="36"/>
          <w:szCs w:val="36"/>
          <w:highlight w:val="none"/>
        </w:rPr>
      </w:pPr>
    </w:p>
    <w:p w14:paraId="2F9C7A4E">
      <w:pPr>
        <w:pStyle w:val="4"/>
        <w:kinsoku/>
        <w:wordWrap w:val="0"/>
        <w:spacing w:line="360" w:lineRule="auto"/>
        <w:ind w:left="0" w:leftChars="0" w:firstLine="0" w:firstLine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6"/>
          <w:szCs w:val="36"/>
          <w:highlight w:val="none"/>
        </w:rPr>
        <w:t>中小企业声明函（货物）格式</w:t>
      </w:r>
    </w:p>
    <w:p w14:paraId="66FBCD19">
      <w:pPr>
        <w:pStyle w:val="4"/>
        <w:kinsoku/>
        <w:wordWrap w:val="0"/>
        <w:spacing w:line="360" w:lineRule="auto"/>
        <w:ind w:left="0" w:leftChars="0" w:firstLine="49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51DACA26">
      <w:pPr>
        <w:pStyle w:val="4"/>
        <w:kinsoku/>
        <w:wordWrap w:val="0"/>
        <w:spacing w:line="360" w:lineRule="auto"/>
        <w:ind w:left="0" w:leftChars="0" w:firstLine="51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1"/>
          <w:sz w:val="24"/>
          <w:szCs w:val="24"/>
          <w:highlight w:val="none"/>
          <w:u w:val="single"/>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3"/>
          <w:sz w:val="24"/>
          <w:szCs w:val="24"/>
          <w:highlight w:val="none"/>
          <w:u w:val="single"/>
        </w:rPr>
        <w:t>称</w:t>
      </w:r>
      <w:r>
        <w:rPr>
          <w:rFonts w:hint="eastAsia" w:asciiTheme="minorEastAsia" w:hAnsiTheme="minorEastAsia" w:eastAsiaTheme="minorEastAsia" w:cstheme="minorEastAsia"/>
          <w:color w:val="auto"/>
          <w:spacing w:val="-40"/>
          <w:sz w:val="24"/>
          <w:szCs w:val="24"/>
          <w:highlight w:val="none"/>
          <w:u w:val="single"/>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从业人员人，</w:t>
      </w:r>
      <w:r>
        <w:rPr>
          <w:rFonts w:hint="eastAsia" w:asciiTheme="minorEastAsia" w:hAnsiTheme="minorEastAsia" w:eastAsiaTheme="minorEastAsia" w:cstheme="minorEastAsia"/>
          <w:color w:val="auto"/>
          <w:spacing w:val="7"/>
          <w:sz w:val="24"/>
          <w:szCs w:val="24"/>
          <w:highlight w:val="none"/>
        </w:rPr>
        <w:t>营业收入为万元，资产总额为</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rPr>
        <w:t>（中型企业、小型企业、微型企业</w:t>
      </w:r>
      <w:r>
        <w:rPr>
          <w:rFonts w:hint="eastAsia" w:asciiTheme="minorEastAsia" w:hAnsiTheme="minorEastAsia" w:eastAsiaTheme="minorEastAsia" w:cstheme="minorEastAsia"/>
          <w:color w:val="auto"/>
          <w:spacing w:val="-51"/>
          <w:sz w:val="24"/>
          <w:szCs w:val="24"/>
          <w:highlight w:val="none"/>
          <w:u w:val="single"/>
        </w:rPr>
        <w:t>）</w:t>
      </w:r>
      <w:r>
        <w:rPr>
          <w:rFonts w:hint="eastAsia" w:asciiTheme="minorEastAsia" w:hAnsiTheme="minorEastAsia" w:eastAsiaTheme="minorEastAsia" w:cstheme="minorEastAsia"/>
          <w:color w:val="auto"/>
          <w:spacing w:val="-51"/>
          <w:sz w:val="24"/>
          <w:szCs w:val="24"/>
          <w:highlight w:val="none"/>
        </w:rPr>
        <w:t>；</w:t>
      </w:r>
    </w:p>
    <w:p w14:paraId="473D5167">
      <w:pPr>
        <w:pStyle w:val="4"/>
        <w:kinsoku/>
        <w:wordWrap w:val="0"/>
        <w:spacing w:line="360" w:lineRule="auto"/>
        <w:ind w:left="0" w:leftChars="0" w:firstLine="51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3"/>
          <w:sz w:val="24"/>
          <w:szCs w:val="24"/>
          <w:highlight w:val="none"/>
          <w:u w:val="single"/>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5"/>
          <w:sz w:val="24"/>
          <w:szCs w:val="24"/>
          <w:highlight w:val="none"/>
          <w:u w:val="single"/>
        </w:rPr>
        <w:t>称</w:t>
      </w:r>
      <w:r>
        <w:rPr>
          <w:rFonts w:hint="eastAsia" w:asciiTheme="minorEastAsia" w:hAnsiTheme="minorEastAsia" w:eastAsiaTheme="minorEastAsia" w:cstheme="minorEastAsia"/>
          <w:color w:val="auto"/>
          <w:spacing w:val="-59"/>
          <w:w w:val="94"/>
          <w:sz w:val="24"/>
          <w:szCs w:val="24"/>
          <w:highlight w:val="none"/>
          <w:u w:val="single"/>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从业人员人，营业收入为万元，资产总额为万元，属于</w:t>
      </w:r>
      <w:r>
        <w:rPr>
          <w:rFonts w:hint="eastAsia" w:asciiTheme="minorEastAsia" w:hAnsiTheme="minorEastAsia" w:eastAsiaTheme="minorEastAsia" w:cstheme="minorEastAsia"/>
          <w:color w:val="auto"/>
          <w:spacing w:val="-5"/>
          <w:sz w:val="24"/>
          <w:szCs w:val="24"/>
          <w:highlight w:val="none"/>
          <w:u w:val="single"/>
        </w:rPr>
        <w:t>（中</w:t>
      </w:r>
      <w:r>
        <w:rPr>
          <w:rFonts w:hint="eastAsia" w:asciiTheme="minorEastAsia" w:hAnsiTheme="minorEastAsia" w:eastAsiaTheme="minorEastAsia" w:cstheme="minorEastAsia"/>
          <w:color w:val="auto"/>
          <w:spacing w:val="9"/>
          <w:sz w:val="24"/>
          <w:szCs w:val="24"/>
          <w:highlight w:val="none"/>
          <w:u w:val="single"/>
        </w:rPr>
        <w:t>型企业、小型企业、微型企业</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p>
    <w:p w14:paraId="10D45F06">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6A394A3">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0538F3DA">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002E3A8">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p>
    <w:p w14:paraId="3073E485">
      <w:pPr>
        <w:kinsoku/>
        <w:wordWrap w:val="0"/>
        <w:spacing w:line="360" w:lineRule="auto"/>
        <w:jc w:val="both"/>
        <w:rPr>
          <w:rFonts w:asciiTheme="minorEastAsia" w:hAnsiTheme="minorEastAsia" w:eastAsiaTheme="minorEastAsia" w:cstheme="minorEastAsia"/>
          <w:color w:val="auto"/>
          <w:highlight w:val="none"/>
        </w:rPr>
      </w:pPr>
    </w:p>
    <w:p w14:paraId="6DB3BFDF">
      <w:pPr>
        <w:pStyle w:val="4"/>
        <w:kinsoku/>
        <w:wordWrap w:val="0"/>
        <w:spacing w:line="360" w:lineRule="auto"/>
        <w:ind w:firstLine="3856" w:firstLineChars="19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02DC388">
      <w:pPr>
        <w:pStyle w:val="4"/>
        <w:kinsoku/>
        <w:wordWrap w:val="0"/>
        <w:spacing w:line="360" w:lineRule="auto"/>
        <w:ind w:firstLine="12135" w:firstLineChars="4200"/>
        <w:jc w:val="both"/>
        <w:rPr>
          <w:rFonts w:asciiTheme="minorEastAsia" w:hAnsiTheme="minorEastAsia" w:eastAsiaTheme="minorEastAsia" w:cstheme="minorEastAsia"/>
          <w:color w:val="auto"/>
          <w:sz w:val="24"/>
          <w:szCs w:val="24"/>
          <w:highlight w:val="none"/>
        </w:rPr>
      </w:pPr>
    </w:p>
    <w:p w14:paraId="525F4F1B">
      <w:pPr>
        <w:kinsoku/>
        <w:wordWrap w:val="0"/>
        <w:spacing w:line="360" w:lineRule="auto"/>
        <w:jc w:val="both"/>
        <w:rPr>
          <w:rFonts w:asciiTheme="minorEastAsia" w:hAnsiTheme="minorEastAsia" w:eastAsiaTheme="minorEastAsia" w:cstheme="minorEastAsia"/>
          <w:color w:val="auto"/>
          <w:highlight w:val="none"/>
        </w:rPr>
      </w:pPr>
    </w:p>
    <w:p w14:paraId="0D5692FC">
      <w:pPr>
        <w:pStyle w:val="4"/>
        <w:kinsoku/>
        <w:wordWrap w:val="0"/>
        <w:spacing w:line="360" w:lineRule="auto"/>
        <w:ind w:left="0" w:leftChars="0" w:firstLine="0" w:firstLineChars="0"/>
        <w:jc w:val="both"/>
        <w:rPr>
          <w:rFonts w:asciiTheme="minorEastAsia" w:hAnsiTheme="minorEastAsia" w:eastAsiaTheme="minorEastAsia" w:cstheme="minorEastAsia"/>
          <w:color w:val="auto"/>
          <w:spacing w:val="9"/>
          <w:highlight w:val="none"/>
        </w:rPr>
        <w:sectPr>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pacing w:val="9"/>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129A4DD7">
      <w:pPr>
        <w:pStyle w:val="4"/>
        <w:kinsoku/>
        <w:wordWrap w:val="0"/>
        <w:spacing w:line="360" w:lineRule="auto"/>
        <w:jc w:val="both"/>
        <w:rPr>
          <w:rFonts w:asciiTheme="minorEastAsia" w:hAnsiTheme="minorEastAsia" w:eastAsiaTheme="minorEastAsia" w:cstheme="minorEastAsia"/>
          <w:color w:val="auto"/>
          <w:sz w:val="32"/>
          <w:szCs w:val="32"/>
          <w:highlight w:val="none"/>
        </w:rPr>
      </w:pPr>
    </w:p>
    <w:p w14:paraId="09A85684">
      <w:pPr>
        <w:kinsoku/>
        <w:wordWrap w:val="0"/>
        <w:spacing w:line="360" w:lineRule="auto"/>
        <w:jc w:val="center"/>
        <w:rPr>
          <w:rFonts w:hint="eastAsia" w:asciiTheme="minorEastAsia" w:hAnsiTheme="minorEastAsia" w:eastAsiaTheme="minorEastAsia" w:cstheme="minorEastAsia"/>
          <w:b/>
          <w:color w:val="auto"/>
          <w:spacing w:val="4"/>
          <w:sz w:val="36"/>
          <w:szCs w:val="36"/>
          <w:highlight w:val="none"/>
          <w:lang w:val="zh-CN" w:eastAsia="zh-CN" w:bidi="zh-CN"/>
        </w:rPr>
      </w:pPr>
      <w:r>
        <w:rPr>
          <w:rFonts w:hint="eastAsia" w:asciiTheme="minorEastAsia" w:hAnsiTheme="minorEastAsia" w:eastAsiaTheme="minorEastAsia" w:cstheme="minorEastAsia"/>
          <w:b/>
          <w:color w:val="auto"/>
          <w:spacing w:val="4"/>
          <w:sz w:val="36"/>
          <w:szCs w:val="36"/>
          <w:highlight w:val="none"/>
          <w:lang w:val="zh-CN" w:eastAsia="zh-CN" w:bidi="zh-CN"/>
        </w:rPr>
        <w:t>残疾人福利性单位声明函格式</w:t>
      </w:r>
    </w:p>
    <w:p w14:paraId="698E0E40">
      <w:pPr>
        <w:kinsoku/>
        <w:wordWrap w:val="0"/>
        <w:spacing w:line="360" w:lineRule="auto"/>
        <w:jc w:val="center"/>
        <w:rPr>
          <w:rFonts w:hint="eastAsia" w:asciiTheme="minorEastAsia" w:hAnsiTheme="minorEastAsia" w:eastAsiaTheme="minorEastAsia" w:cstheme="minorEastAsia"/>
          <w:b/>
          <w:color w:val="auto"/>
          <w:spacing w:val="4"/>
          <w:sz w:val="24"/>
          <w:szCs w:val="24"/>
          <w:highlight w:val="none"/>
          <w:lang w:val="zh-CN" w:eastAsia="zh-CN" w:bidi="zh-CN"/>
        </w:rPr>
      </w:pPr>
    </w:p>
    <w:p w14:paraId="532B6278">
      <w:pPr>
        <w:kinsoku/>
        <w:wordWrap w:val="0"/>
        <w:spacing w:line="360" w:lineRule="auto"/>
        <w:jc w:val="left"/>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en-US" w:eastAsia="zh-CN" w:bidi="zh-CN"/>
        </w:rPr>
        <w:t xml:space="preserve">    </w:t>
      </w:r>
      <w:r>
        <w:rPr>
          <w:rFonts w:hint="eastAsia" w:asciiTheme="minorEastAsia" w:hAnsiTheme="minorEastAsia" w:eastAsiaTheme="minorEastAsia" w:cstheme="minorEastAsia"/>
          <w:b/>
          <w:color w:val="auto"/>
          <w:spacing w:val="4"/>
          <w:sz w:val="24"/>
          <w:szCs w:val="24"/>
          <w:highlight w:val="none"/>
          <w:lang w:val="zh-CN" w:eastAsia="zh-CN" w:bidi="zh-CN"/>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B43D23">
      <w:pPr>
        <w:kinsoku/>
        <w:wordWrap w:val="0"/>
        <w:spacing w:line="360" w:lineRule="auto"/>
        <w:ind w:firstLine="498" w:firstLineChars="200"/>
        <w:jc w:val="both"/>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zh-CN" w:eastAsia="zh-CN" w:bidi="zh-CN"/>
        </w:rPr>
        <w:t>本单位对上述声明的真实性负责。如有虚假，将依法承担相应责任。</w:t>
      </w:r>
    </w:p>
    <w:p w14:paraId="36B84FAC">
      <w:pPr>
        <w:kinsoku/>
        <w:wordWrap w:val="0"/>
        <w:spacing w:line="360" w:lineRule="auto"/>
        <w:jc w:val="both"/>
        <w:rPr>
          <w:rFonts w:asciiTheme="minorEastAsia" w:hAnsiTheme="minorEastAsia" w:eastAsiaTheme="minorEastAsia" w:cstheme="minorEastAsia"/>
          <w:color w:val="auto"/>
          <w:highlight w:val="none"/>
        </w:rPr>
      </w:pPr>
    </w:p>
    <w:p w14:paraId="1A836F17">
      <w:pPr>
        <w:kinsoku/>
        <w:wordWrap w:val="0"/>
        <w:spacing w:line="360" w:lineRule="auto"/>
        <w:jc w:val="both"/>
        <w:rPr>
          <w:rFonts w:asciiTheme="minorEastAsia" w:hAnsiTheme="minorEastAsia" w:eastAsiaTheme="minorEastAsia" w:cstheme="minorEastAsia"/>
          <w:color w:val="auto"/>
          <w:highlight w:val="none"/>
        </w:rPr>
      </w:pPr>
    </w:p>
    <w:p w14:paraId="4D0BA3A4">
      <w:pPr>
        <w:pStyle w:val="4"/>
        <w:kinsoku/>
        <w:wordWrap w:val="0"/>
        <w:spacing w:line="360" w:lineRule="auto"/>
        <w:ind w:firstLine="5139"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58BF559E">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企业名称（盖章）：</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highlight w:val="none"/>
        </w:rPr>
      </w:pPr>
      <w:r>
        <w:rPr>
          <w:rFonts w:hint="eastAsia" w:asciiTheme="minorEastAsia" w:hAnsiTheme="minorEastAsia" w:eastAsiaTheme="minorEastAsia" w:cstheme="minorEastAsia"/>
          <w:b/>
          <w:bCs/>
          <w:color w:val="auto"/>
          <w:spacing w:val="8"/>
          <w:position w:val="26"/>
          <w:sz w:val="24"/>
          <w:szCs w:val="24"/>
          <w:highlight w:val="none"/>
          <w:lang w:eastAsia="zh-CN"/>
        </w:rPr>
        <w:t>1</w:t>
      </w:r>
      <w:r>
        <w:rPr>
          <w:rFonts w:hint="eastAsia" w:asciiTheme="minorEastAsia" w:hAnsiTheme="minorEastAsia" w:cstheme="minorEastAsia"/>
          <w:b/>
          <w:bCs/>
          <w:color w:val="auto"/>
          <w:spacing w:val="8"/>
          <w:position w:val="26"/>
          <w:sz w:val="24"/>
          <w:szCs w:val="24"/>
          <w:highlight w:val="none"/>
          <w:lang w:val="en-US" w:eastAsia="zh-CN"/>
        </w:rPr>
        <w:t>0</w:t>
      </w: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14:paraId="3D50328C">
      <w:pPr>
        <w:rPr>
          <w:color w:val="auto"/>
          <w:highlight w:val="none"/>
        </w:rPr>
      </w:pPr>
    </w:p>
    <w:p w14:paraId="0C90F8FB">
      <w:pPr>
        <w:rPr>
          <w:color w:val="auto"/>
          <w:highlight w:val="none"/>
        </w:rPr>
      </w:pPr>
    </w:p>
    <w:sectPr>
      <w:headerReference r:id="rId14" w:type="default"/>
      <w:footerReference r:id="rId15"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8"/>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3C7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53C7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21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3E7">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617832">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D617832">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3965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3965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61E43">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5BD61E43">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CBD60F">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1CBD60F">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4"/>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rFonts w:hint="eastAsia" w:eastAsia="宋体"/>
                              <w:sz w:val="21"/>
                              <w:lang w:eastAsia="zh-CN"/>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rFonts w:hint="eastAsia" w:eastAsia="宋体"/>
                        <w:sz w:val="21"/>
                        <w:lang w:eastAsia="zh-CN"/>
                      </w:rPr>
                    </w:pP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4"/>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rFonts w:hint="eastAsia" w:eastAsia="宋体"/>
                        <w:sz w:val="20"/>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4"/>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rFonts w:hint="eastAsia" w:eastAsia="宋体"/>
                        <w:sz w:val="20"/>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F610D259"/>
    <w:multiLevelType w:val="singleLevel"/>
    <w:tmpl w:val="F610D259"/>
    <w:lvl w:ilvl="0" w:tentative="0">
      <w:start w:val="1"/>
      <w:numFmt w:val="decimal"/>
      <w:suff w:val="nothing"/>
      <w:lvlText w:val="%1、"/>
      <w:lvlJc w:val="left"/>
    </w:lvl>
  </w:abstractNum>
  <w:abstractNum w:abstractNumId="2">
    <w:nsid w:val="12215689"/>
    <w:multiLevelType w:val="singleLevel"/>
    <w:tmpl w:val="12215689"/>
    <w:lvl w:ilvl="0" w:tentative="0">
      <w:start w:val="9"/>
      <w:numFmt w:val="decimal"/>
      <w:lvlText w:val="%1."/>
      <w:lvlJc w:val="left"/>
      <w:pPr>
        <w:tabs>
          <w:tab w:val="left" w:pos="312"/>
        </w:tabs>
      </w:pPr>
    </w:lvl>
  </w:abstractNum>
  <w:abstractNum w:abstractNumId="3">
    <w:nsid w:val="32BE5CA8"/>
    <w:multiLevelType w:val="singleLevel"/>
    <w:tmpl w:val="32BE5CA8"/>
    <w:lvl w:ilvl="0" w:tentative="0">
      <w:start w:val="1"/>
      <w:numFmt w:val="chineseCounting"/>
      <w:suff w:val="nothing"/>
      <w:lvlText w:val="%1、"/>
      <w:lvlJc w:val="left"/>
      <w:rPr>
        <w:rFonts w:hint="eastAsia"/>
      </w:rPr>
    </w:lvl>
  </w:abstractNum>
  <w:abstractNum w:abstractNumId="4">
    <w:nsid w:val="5D7BE5FA"/>
    <w:multiLevelType w:val="singleLevel"/>
    <w:tmpl w:val="5D7BE5FA"/>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037D28CB"/>
    <w:rsid w:val="053A3FFD"/>
    <w:rsid w:val="05CA5219"/>
    <w:rsid w:val="06E63EE1"/>
    <w:rsid w:val="0B1C57E6"/>
    <w:rsid w:val="11BD7372"/>
    <w:rsid w:val="12211934"/>
    <w:rsid w:val="17681898"/>
    <w:rsid w:val="1BE51C24"/>
    <w:rsid w:val="1C6C01E8"/>
    <w:rsid w:val="1F687C6B"/>
    <w:rsid w:val="21F15758"/>
    <w:rsid w:val="27080182"/>
    <w:rsid w:val="2A8E3400"/>
    <w:rsid w:val="2B6A5CA2"/>
    <w:rsid w:val="2CFA3055"/>
    <w:rsid w:val="2FDE0C56"/>
    <w:rsid w:val="31671525"/>
    <w:rsid w:val="317063B9"/>
    <w:rsid w:val="33BD2089"/>
    <w:rsid w:val="38173A64"/>
    <w:rsid w:val="3D001FC2"/>
    <w:rsid w:val="45616C2B"/>
    <w:rsid w:val="4C310EB0"/>
    <w:rsid w:val="4F96024A"/>
    <w:rsid w:val="5BBC4120"/>
    <w:rsid w:val="6AA85252"/>
    <w:rsid w:val="70082160"/>
    <w:rsid w:val="70176FD3"/>
    <w:rsid w:val="77F953AA"/>
    <w:rsid w:val="7B7E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20"/>
      <w:outlineLvl w:val="0"/>
    </w:pPr>
    <w:rPr>
      <w:b/>
      <w:bCs/>
      <w:sz w:val="44"/>
      <w:szCs w:val="44"/>
    </w:rPr>
  </w:style>
  <w:style w:type="paragraph" w:styleId="3">
    <w:name w:val="heading 2"/>
    <w:basedOn w:val="1"/>
    <w:next w:val="1"/>
    <w:qFormat/>
    <w:uiPriority w:val="0"/>
    <w:pPr>
      <w:ind w:left="2266"/>
      <w:outlineLvl w:val="1"/>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6">
    <w:name w:val="Body Text Indent"/>
    <w:basedOn w:val="1"/>
    <w:next w:val="7"/>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7">
    <w:name w:val="envelope return"/>
    <w:basedOn w:val="1"/>
    <w:qFormat/>
    <w:uiPriority w:val="0"/>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next w:val="11"/>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1">
    <w:name w:val="Body Text First Indent 2"/>
    <w:basedOn w:val="6"/>
    <w:next w:val="1"/>
    <w:qFormat/>
    <w:uiPriority w:val="0"/>
    <w:pPr>
      <w:ind w:firstLine="420" w:firstLineChars="200"/>
    </w:pPr>
  </w:style>
  <w:style w:type="character" w:styleId="14">
    <w:name w:val="Emphasis"/>
    <w:basedOn w:val="13"/>
    <w:qFormat/>
    <w:uiPriority w:val="0"/>
    <w:rPr>
      <w:i/>
    </w:rPr>
  </w:style>
  <w:style w:type="paragraph" w:customStyle="1" w:styleId="15">
    <w:name w:val="正文格式"/>
    <w:basedOn w:val="1"/>
    <w:autoRedefine/>
    <w:qFormat/>
    <w:uiPriority w:val="0"/>
    <w:pPr>
      <w:spacing w:line="400" w:lineRule="atLeast"/>
      <w:ind w:firstLine="482"/>
    </w:pPr>
    <w:rPr>
      <w:sz w:val="24"/>
    </w:rPr>
  </w:style>
  <w:style w:type="paragraph" w:customStyle="1" w:styleId="16">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7">
    <w:name w:val="Table Paragraph"/>
    <w:basedOn w:val="1"/>
    <w:autoRedefine/>
    <w:qFormat/>
    <w:uiPriority w:val="1"/>
  </w:style>
  <w:style w:type="paragraph" w:customStyle="1" w:styleId="1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19">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20">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 w:type="character" w:customStyle="1" w:styleId="22">
    <w:name w:val="down"/>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7037</Words>
  <Characters>7866</Characters>
  <Lines>0</Lines>
  <Paragraphs>0</Paragraphs>
  <TotalTime>266</TotalTime>
  <ScaleCrop>false</ScaleCrop>
  <LinksUpToDate>false</LinksUpToDate>
  <CharactersWithSpaces>7870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若，只如初见</cp:lastModifiedBy>
  <dcterms:modified xsi:type="dcterms:W3CDTF">2025-05-28T03:11:11Z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5A2D5AC7297F4AE3AAFDAF16FD561A37_12</vt:lpwstr>
  </property>
  <property fmtid="{D5CDD505-2E9C-101B-9397-08002B2CF9AE}" pid="4" name="KSOTemplateDocerSaveRecord">
    <vt:lpwstr>eyJoZGlkIjoiMWRjY2JhODkzZmIzZjdmODExNTMxZjVlMTI0NDMzZTUiLCJ1c2VySWQiOiIyNzQxMjM5OTcifQ==</vt:lpwstr>
  </property>
</Properties>
</file>