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7921E">
      <w:pPr>
        <w:spacing w:line="360" w:lineRule="auto"/>
        <w:jc w:val="both"/>
        <w:rPr>
          <w:rFonts w:ascii="黑体" w:hAnsi="黑体" w:eastAsia="黑体"/>
          <w:b/>
          <w:bCs/>
          <w:color w:val="000000"/>
          <w:sz w:val="48"/>
          <w:szCs w:val="48"/>
          <w:highlight w:val="none"/>
        </w:rPr>
      </w:pPr>
      <w:bookmarkStart w:id="0" w:name="_Toc436386192"/>
      <w:bookmarkStart w:id="1" w:name="_Toc278"/>
    </w:p>
    <w:p w14:paraId="0D063EEE">
      <w:pPr>
        <w:spacing w:line="781" w:lineRule="exact"/>
        <w:ind w:right="323"/>
        <w:jc w:val="center"/>
        <w:rPr>
          <w:rFonts w:hint="eastAsia" w:ascii="宋体" w:hAnsi="宋体" w:eastAsia="宋体"/>
          <w:b/>
          <w:w w:val="95"/>
          <w:sz w:val="36"/>
          <w:szCs w:val="36"/>
          <w:highlight w:val="none"/>
          <w:lang w:eastAsia="zh-CN"/>
        </w:rPr>
      </w:pPr>
      <w:r>
        <w:rPr>
          <w:rFonts w:hint="eastAsia" w:ascii="宋体" w:hAnsi="宋体" w:cs="宋体"/>
          <w:b/>
          <w:w w:val="95"/>
          <w:sz w:val="36"/>
          <w:szCs w:val="36"/>
          <w:highlight w:val="none"/>
          <w:lang w:eastAsia="zh-CN"/>
        </w:rPr>
        <w:t>灵宝市司法局智慧矫正中心软硬件设备采购项目</w:t>
      </w:r>
    </w:p>
    <w:p w14:paraId="62F3E3A4">
      <w:pPr>
        <w:spacing w:line="360" w:lineRule="auto"/>
        <w:rPr>
          <w:rFonts w:ascii="宋体" w:hAnsi="宋体"/>
          <w:b/>
          <w:color w:val="000000"/>
          <w:sz w:val="36"/>
          <w:szCs w:val="36"/>
          <w:highlight w:val="none"/>
        </w:rPr>
      </w:pPr>
    </w:p>
    <w:p w14:paraId="16CC54FD">
      <w:pPr>
        <w:spacing w:line="360" w:lineRule="auto"/>
        <w:rPr>
          <w:rFonts w:ascii="宋体" w:hAnsi="宋体"/>
          <w:b/>
          <w:color w:val="000000"/>
          <w:kern w:val="0"/>
          <w:sz w:val="44"/>
          <w:szCs w:val="44"/>
          <w:highlight w:val="none"/>
        </w:rPr>
      </w:pPr>
    </w:p>
    <w:p w14:paraId="65014E34">
      <w:pPr>
        <w:spacing w:line="360" w:lineRule="auto"/>
        <w:rPr>
          <w:rFonts w:ascii="宋体" w:hAnsi="宋体"/>
          <w:b/>
          <w:color w:val="000000"/>
          <w:kern w:val="0"/>
          <w:sz w:val="44"/>
          <w:szCs w:val="44"/>
          <w:highlight w:val="none"/>
        </w:rPr>
      </w:pPr>
    </w:p>
    <w:p w14:paraId="42620202">
      <w:pPr>
        <w:pStyle w:val="2"/>
        <w:rPr>
          <w:rFonts w:ascii="宋体" w:hAnsi="宋体"/>
          <w:b/>
          <w:color w:val="000000"/>
          <w:kern w:val="0"/>
          <w:sz w:val="44"/>
          <w:szCs w:val="44"/>
          <w:highlight w:val="none"/>
        </w:rPr>
      </w:pPr>
    </w:p>
    <w:p w14:paraId="4D9B7FFA">
      <w:pPr>
        <w:pStyle w:val="4"/>
        <w:rPr>
          <w:rFonts w:ascii="宋体" w:hAnsi="宋体"/>
          <w:b/>
          <w:color w:val="000000"/>
          <w:kern w:val="0"/>
          <w:sz w:val="44"/>
          <w:szCs w:val="44"/>
          <w:highlight w:val="none"/>
        </w:rPr>
      </w:pPr>
    </w:p>
    <w:p w14:paraId="1D45910D">
      <w:pPr>
        <w:rPr>
          <w:highlight w:val="none"/>
        </w:rPr>
      </w:pPr>
    </w:p>
    <w:p w14:paraId="39817438">
      <w:pPr>
        <w:spacing w:line="360" w:lineRule="auto"/>
        <w:jc w:val="center"/>
        <w:rPr>
          <w:rFonts w:ascii="宋体" w:hAnsi="宋体"/>
          <w:b/>
          <w:color w:val="000000"/>
          <w:sz w:val="30"/>
          <w:szCs w:val="30"/>
          <w:highlight w:val="none"/>
        </w:rPr>
      </w:pPr>
      <w:r>
        <w:rPr>
          <w:rFonts w:hint="eastAsia" w:ascii="宋体" w:hAnsi="宋体"/>
          <w:b/>
          <w:color w:val="000000"/>
          <w:kern w:val="0"/>
          <w:sz w:val="52"/>
          <w:szCs w:val="52"/>
          <w:highlight w:val="none"/>
        </w:rPr>
        <w:t>竞争性磋商文件</w:t>
      </w:r>
    </w:p>
    <w:p w14:paraId="744147D3">
      <w:pPr>
        <w:spacing w:line="360" w:lineRule="auto"/>
        <w:jc w:val="center"/>
        <w:rPr>
          <w:rFonts w:hint="default" w:ascii="宋体" w:hAnsi="宋体" w:eastAsia="宋体"/>
          <w:b/>
          <w:color w:val="000000"/>
          <w:sz w:val="30"/>
          <w:szCs w:val="30"/>
          <w:highlight w:val="none"/>
          <w:lang w:val="en-US" w:eastAsia="zh-CN"/>
        </w:rPr>
      </w:pPr>
      <w:r>
        <w:rPr>
          <w:rFonts w:hint="eastAsia" w:ascii="宋体" w:hAnsi="宋体"/>
          <w:b/>
          <w:color w:val="000000"/>
          <w:sz w:val="30"/>
          <w:szCs w:val="30"/>
          <w:highlight w:val="none"/>
        </w:rPr>
        <w:t>项目编号：</w:t>
      </w:r>
      <w:r>
        <w:rPr>
          <w:rFonts w:hint="eastAsia" w:ascii="宋体" w:hAnsi="宋体" w:eastAsia="宋体"/>
          <w:b/>
          <w:color w:val="000000"/>
          <w:sz w:val="30"/>
          <w:szCs w:val="30"/>
          <w:highlight w:val="none"/>
          <w:lang w:val="en-US" w:eastAsia="zh-CN"/>
        </w:rPr>
        <w:t>LBGZ[2024]</w:t>
      </w:r>
      <w:r>
        <w:rPr>
          <w:rFonts w:hint="eastAsia" w:ascii="宋体" w:hAnsi="宋体"/>
          <w:b/>
          <w:color w:val="000000"/>
          <w:sz w:val="30"/>
          <w:szCs w:val="30"/>
          <w:highlight w:val="none"/>
          <w:lang w:val="en-US" w:eastAsia="zh-CN"/>
        </w:rPr>
        <w:t>228</w:t>
      </w:r>
      <w:r>
        <w:rPr>
          <w:rFonts w:hint="eastAsia" w:ascii="宋体" w:hAnsi="宋体" w:eastAsia="宋体"/>
          <w:b/>
          <w:color w:val="000000"/>
          <w:sz w:val="30"/>
          <w:szCs w:val="30"/>
          <w:highlight w:val="none"/>
          <w:lang w:val="en-US" w:eastAsia="zh-CN"/>
        </w:rPr>
        <w:t>-ZC</w:t>
      </w:r>
      <w:r>
        <w:rPr>
          <w:rFonts w:hint="eastAsia" w:ascii="宋体" w:hAnsi="宋体"/>
          <w:b/>
          <w:color w:val="000000"/>
          <w:sz w:val="30"/>
          <w:szCs w:val="30"/>
          <w:highlight w:val="none"/>
          <w:lang w:val="en-US" w:eastAsia="zh-CN"/>
        </w:rPr>
        <w:t>159</w:t>
      </w:r>
      <w:r>
        <w:rPr>
          <w:rFonts w:hint="eastAsia" w:ascii="宋体" w:hAnsi="宋体" w:eastAsia="宋体"/>
          <w:b/>
          <w:color w:val="000000"/>
          <w:sz w:val="30"/>
          <w:szCs w:val="30"/>
          <w:highlight w:val="none"/>
          <w:lang w:val="en-US" w:eastAsia="zh-CN"/>
        </w:rPr>
        <w:t>；灵宝竞磋采购</w:t>
      </w:r>
      <w:r>
        <w:rPr>
          <w:rFonts w:hint="eastAsia" w:ascii="宋体" w:hAnsi="宋体"/>
          <w:b/>
          <w:color w:val="000000"/>
          <w:sz w:val="30"/>
          <w:szCs w:val="30"/>
          <w:highlight w:val="none"/>
          <w:lang w:val="en-US" w:eastAsia="zh-CN"/>
        </w:rPr>
        <w:t>-</w:t>
      </w:r>
      <w:r>
        <w:rPr>
          <w:rFonts w:hint="eastAsia" w:ascii="宋体" w:hAnsi="宋体" w:eastAsia="宋体"/>
          <w:b/>
          <w:color w:val="000000"/>
          <w:sz w:val="30"/>
          <w:szCs w:val="30"/>
          <w:highlight w:val="none"/>
          <w:lang w:val="en-US" w:eastAsia="zh-CN"/>
        </w:rPr>
        <w:t>2024-</w:t>
      </w:r>
      <w:r>
        <w:rPr>
          <w:rFonts w:hint="eastAsia" w:ascii="宋体" w:hAnsi="宋体"/>
          <w:b/>
          <w:color w:val="000000"/>
          <w:sz w:val="30"/>
          <w:szCs w:val="30"/>
          <w:highlight w:val="none"/>
          <w:lang w:val="en-US" w:eastAsia="zh-CN"/>
        </w:rPr>
        <w:t>94</w:t>
      </w:r>
    </w:p>
    <w:p w14:paraId="44B72ED3">
      <w:pPr>
        <w:spacing w:line="360" w:lineRule="auto"/>
        <w:rPr>
          <w:rFonts w:hint="eastAsia" w:ascii="宋体" w:hAnsi="宋体"/>
          <w:b/>
          <w:color w:val="000000"/>
          <w:sz w:val="30"/>
          <w:szCs w:val="30"/>
          <w:highlight w:val="none"/>
        </w:rPr>
      </w:pPr>
    </w:p>
    <w:p w14:paraId="365C0FF7">
      <w:pPr>
        <w:spacing w:line="360" w:lineRule="auto"/>
        <w:ind w:firstLine="2400" w:firstLineChars="800"/>
        <w:rPr>
          <w:rFonts w:ascii="宋体" w:hAnsi="宋体"/>
          <w:b/>
          <w:color w:val="000000"/>
          <w:sz w:val="30"/>
          <w:szCs w:val="30"/>
          <w:highlight w:val="none"/>
        </w:rPr>
      </w:pPr>
    </w:p>
    <w:p w14:paraId="5022D285">
      <w:pPr>
        <w:spacing w:line="360" w:lineRule="auto"/>
        <w:jc w:val="center"/>
        <w:rPr>
          <w:rFonts w:ascii="宋体" w:hAnsi="宋体"/>
          <w:b/>
          <w:color w:val="000000"/>
          <w:sz w:val="30"/>
          <w:szCs w:val="30"/>
          <w:highlight w:val="none"/>
        </w:rPr>
      </w:pPr>
    </w:p>
    <w:p w14:paraId="0C7FA4EC">
      <w:pPr>
        <w:spacing w:line="360" w:lineRule="auto"/>
        <w:jc w:val="center"/>
        <w:rPr>
          <w:rFonts w:ascii="宋体" w:hAnsi="宋体"/>
          <w:b/>
          <w:color w:val="000000"/>
          <w:sz w:val="30"/>
          <w:szCs w:val="30"/>
          <w:highlight w:val="none"/>
        </w:rPr>
      </w:pPr>
      <w:r>
        <w:rPr>
          <w:rFonts w:ascii="宋体" w:hAnsi="宋体"/>
          <w:b/>
          <w:color w:val="000000"/>
          <w:sz w:val="30"/>
          <w:szCs w:val="30"/>
          <w:highlight w:val="none"/>
        </w:rPr>
        <w:t xml:space="preserve">        </w:t>
      </w:r>
    </w:p>
    <w:p w14:paraId="5301B48E">
      <w:pPr>
        <w:spacing w:line="360" w:lineRule="auto"/>
        <w:rPr>
          <w:rFonts w:ascii="宋体" w:hAnsi="宋体"/>
          <w:b/>
          <w:color w:val="000000"/>
          <w:sz w:val="32"/>
          <w:szCs w:val="32"/>
          <w:highlight w:val="none"/>
        </w:rPr>
      </w:pPr>
    </w:p>
    <w:p w14:paraId="3F298C72">
      <w:pPr>
        <w:spacing w:line="360" w:lineRule="auto"/>
        <w:rPr>
          <w:rFonts w:ascii="宋体" w:hAnsi="宋体"/>
          <w:b/>
          <w:color w:val="000000"/>
          <w:sz w:val="32"/>
          <w:szCs w:val="32"/>
          <w:highlight w:val="none"/>
        </w:rPr>
      </w:pPr>
    </w:p>
    <w:p w14:paraId="18745DC9">
      <w:pPr>
        <w:spacing w:line="360" w:lineRule="auto"/>
        <w:ind w:firstLine="1280" w:firstLineChars="400"/>
        <w:jc w:val="both"/>
        <w:rPr>
          <w:rFonts w:hint="eastAsia" w:ascii="宋体" w:hAnsi="宋体" w:eastAsia="宋体"/>
          <w:b/>
          <w:bCs/>
          <w:color w:val="000000"/>
          <w:sz w:val="32"/>
          <w:szCs w:val="32"/>
          <w:highlight w:val="none"/>
          <w:lang w:eastAsia="zh-CN"/>
        </w:rPr>
      </w:pPr>
      <w:r>
        <w:rPr>
          <w:rFonts w:hint="eastAsia" w:ascii="宋体" w:hAnsi="宋体"/>
          <w:b/>
          <w:color w:val="000000"/>
          <w:sz w:val="32"/>
          <w:szCs w:val="32"/>
          <w:highlight w:val="none"/>
        </w:rPr>
        <w:t>采  购  人  ：</w:t>
      </w:r>
      <w:r>
        <w:rPr>
          <w:rFonts w:hint="eastAsia" w:ascii="宋体" w:hAnsi="宋体"/>
          <w:b/>
          <w:color w:val="000000"/>
          <w:sz w:val="32"/>
          <w:szCs w:val="32"/>
          <w:highlight w:val="none"/>
          <w:lang w:eastAsia="zh-CN"/>
        </w:rPr>
        <w:t>灵宝市司法局</w:t>
      </w:r>
    </w:p>
    <w:p w14:paraId="1847A68D">
      <w:pPr>
        <w:spacing w:line="360" w:lineRule="auto"/>
        <w:ind w:firstLine="1280" w:firstLineChars="400"/>
        <w:jc w:val="both"/>
        <w:rPr>
          <w:rFonts w:hint="eastAsia" w:ascii="宋体" w:hAnsi="宋体" w:eastAsia="宋体"/>
          <w:b/>
          <w:color w:val="000000"/>
          <w:spacing w:val="-2"/>
          <w:sz w:val="32"/>
          <w:szCs w:val="32"/>
          <w:highlight w:val="none"/>
          <w:lang w:eastAsia="zh-CN"/>
        </w:rPr>
      </w:pPr>
      <w:r>
        <w:rPr>
          <w:rFonts w:hint="eastAsia" w:ascii="宋体" w:hAnsi="宋体"/>
          <w:b/>
          <w:bCs/>
          <w:color w:val="000000"/>
          <w:sz w:val="32"/>
          <w:szCs w:val="32"/>
          <w:highlight w:val="none"/>
        </w:rPr>
        <w:t>采购代理机构：</w:t>
      </w:r>
      <w:r>
        <w:rPr>
          <w:rFonts w:hint="eastAsia" w:ascii="宋体" w:hAnsi="宋体"/>
          <w:b/>
          <w:bCs/>
          <w:color w:val="000000"/>
          <w:sz w:val="32"/>
          <w:szCs w:val="32"/>
          <w:highlight w:val="none"/>
          <w:lang w:eastAsia="zh-CN"/>
        </w:rPr>
        <w:t>河南坤源工程咨询管理有限公司</w:t>
      </w:r>
    </w:p>
    <w:p w14:paraId="176DDC31">
      <w:pPr>
        <w:spacing w:line="360" w:lineRule="auto"/>
        <w:ind w:firstLine="1264" w:firstLineChars="400"/>
        <w:rPr>
          <w:rFonts w:ascii="黑体" w:hAnsi="黑体" w:eastAsia="黑体"/>
          <w:b/>
          <w:color w:val="000000"/>
          <w:spacing w:val="-2"/>
          <w:sz w:val="32"/>
          <w:szCs w:val="32"/>
          <w:highlight w:val="none"/>
        </w:rPr>
      </w:pPr>
      <w:r>
        <w:rPr>
          <w:rFonts w:hint="eastAsia" w:ascii="宋体" w:hAnsi="宋体"/>
          <w:b/>
          <w:color w:val="000000"/>
          <w:spacing w:val="-2"/>
          <w:sz w:val="32"/>
          <w:szCs w:val="32"/>
          <w:highlight w:val="none"/>
          <w:lang w:eastAsia="zh-CN"/>
        </w:rPr>
        <w:t>日期：</w:t>
      </w:r>
      <w:r>
        <w:rPr>
          <w:rFonts w:hint="eastAsia" w:ascii="宋体" w:hAnsi="宋体"/>
          <w:b/>
          <w:color w:val="000000"/>
          <w:spacing w:val="-2"/>
          <w:sz w:val="32"/>
          <w:szCs w:val="32"/>
          <w:highlight w:val="none"/>
        </w:rPr>
        <w:t>二〇二</w:t>
      </w:r>
      <w:r>
        <w:rPr>
          <w:rFonts w:hint="eastAsia" w:ascii="宋体" w:hAnsi="宋体"/>
          <w:b/>
          <w:color w:val="000000"/>
          <w:spacing w:val="-2"/>
          <w:sz w:val="32"/>
          <w:szCs w:val="32"/>
          <w:highlight w:val="none"/>
          <w:lang w:eastAsia="zh-CN"/>
        </w:rPr>
        <w:t>四</w:t>
      </w:r>
      <w:r>
        <w:rPr>
          <w:rFonts w:hint="eastAsia" w:ascii="宋体" w:hAnsi="宋体"/>
          <w:b/>
          <w:color w:val="000000"/>
          <w:spacing w:val="-2"/>
          <w:sz w:val="32"/>
          <w:szCs w:val="32"/>
          <w:highlight w:val="none"/>
        </w:rPr>
        <w:t>年</w:t>
      </w:r>
      <w:r>
        <w:rPr>
          <w:rFonts w:hint="eastAsia" w:ascii="宋体" w:hAnsi="宋体"/>
          <w:b/>
          <w:color w:val="000000"/>
          <w:spacing w:val="-2"/>
          <w:sz w:val="32"/>
          <w:szCs w:val="32"/>
          <w:highlight w:val="none"/>
          <w:lang w:eastAsia="zh-CN"/>
        </w:rPr>
        <w:t>八</w:t>
      </w:r>
      <w:r>
        <w:rPr>
          <w:rFonts w:hint="eastAsia" w:ascii="宋体" w:hAnsi="宋体"/>
          <w:b/>
          <w:color w:val="000000"/>
          <w:spacing w:val="-2"/>
          <w:sz w:val="32"/>
          <w:szCs w:val="32"/>
          <w:highlight w:val="none"/>
        </w:rPr>
        <w:t>月</w:t>
      </w:r>
    </w:p>
    <w:p w14:paraId="31B87627">
      <w:pPr>
        <w:spacing w:line="360" w:lineRule="auto"/>
        <w:jc w:val="both"/>
        <w:rPr>
          <w:rFonts w:ascii="黑体" w:hAnsi="黑体" w:eastAsia="黑体" w:cs="黑体"/>
          <w:b/>
          <w:color w:val="000000"/>
          <w:sz w:val="32"/>
          <w:szCs w:val="32"/>
          <w:highlight w:val="none"/>
        </w:rPr>
        <w:sectPr>
          <w:footerReference r:id="rId3" w:type="default"/>
          <w:pgSz w:w="11906" w:h="16838"/>
          <w:pgMar w:top="1440" w:right="1418" w:bottom="1440" w:left="1418" w:header="851" w:footer="851" w:gutter="0"/>
          <w:cols w:space="720" w:num="1"/>
          <w:docGrid w:type="linesAndChars" w:linePitch="312" w:charSpace="0"/>
        </w:sectPr>
      </w:pPr>
    </w:p>
    <w:p w14:paraId="26CFC581">
      <w:pPr>
        <w:spacing w:line="360" w:lineRule="auto"/>
        <w:jc w:val="center"/>
        <w:rPr>
          <w:rFonts w:ascii="黑体" w:hAnsi="黑体" w:eastAsia="黑体" w:cs="黑体"/>
          <w:b/>
          <w:color w:val="000000"/>
          <w:sz w:val="32"/>
          <w:szCs w:val="32"/>
          <w:highlight w:val="none"/>
        </w:rPr>
      </w:pPr>
      <w:r>
        <w:rPr>
          <w:rFonts w:hint="eastAsia" w:ascii="黑体" w:hAnsi="黑体" w:eastAsia="黑体" w:cs="黑体"/>
          <w:b/>
          <w:color w:val="000000"/>
          <w:sz w:val="32"/>
          <w:szCs w:val="32"/>
          <w:highlight w:val="none"/>
        </w:rPr>
        <w:t>目    录</w:t>
      </w:r>
      <w:bookmarkEnd w:id="0"/>
    </w:p>
    <w:p w14:paraId="51A853E0">
      <w:pPr>
        <w:pStyle w:val="12"/>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_Toc13945 </w:instrText>
      </w:r>
      <w:r>
        <w:rPr>
          <w:rFonts w:hint="eastAsia" w:ascii="宋体" w:hAnsi="宋体" w:eastAsia="宋体" w:cs="宋体"/>
          <w:sz w:val="24"/>
          <w:szCs w:val="24"/>
          <w:highlight w:val="none"/>
        </w:rPr>
        <w:fldChar w:fldCharType="separate"/>
      </w:r>
      <w:r>
        <w:rPr>
          <w:rFonts w:hint="eastAsia" w:ascii="宋体" w:hAnsi="宋体" w:eastAsia="宋体" w:cs="宋体"/>
          <w:kern w:val="10"/>
          <w:sz w:val="24"/>
          <w:szCs w:val="24"/>
          <w:highlight w:val="none"/>
        </w:rPr>
        <w:t>第一章  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_Toc13945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0E49B9">
      <w:pPr>
        <w:pStyle w:val="12"/>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96B4997">
      <w:pPr>
        <w:pStyle w:val="12"/>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_Toc6871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_Toc6871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5170B8C">
      <w:pPr>
        <w:pStyle w:val="12"/>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_Toc17150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评标办法（综合评估法）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_Toc17150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1157758">
      <w:pPr>
        <w:pStyle w:val="12"/>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_Toc3245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w:t>
      </w:r>
      <w:r>
        <w:rPr>
          <w:rFonts w:hint="eastAsia" w:ascii="宋体" w:hAnsi="宋体" w:eastAsia="宋体" w:cs="宋体"/>
          <w:sz w:val="24"/>
          <w:szCs w:val="24"/>
          <w:highlight w:val="none"/>
        </w:rPr>
        <w:t>五章 合同文本格式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37A8F9">
      <w:pPr>
        <w:pStyle w:val="12"/>
        <w:keepNext w:val="0"/>
        <w:keepLines w:val="0"/>
        <w:pageBreakBefore w:val="0"/>
        <w:widowControl w:val="0"/>
        <w:tabs>
          <w:tab w:val="right" w:leader="dot" w:pos="907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_Toc30109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响应性文件格式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_Toc30109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D3900C">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_Toc7366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一、投标函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_Toc7366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613CF89">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_Toc9610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二、法定代表人身份证明及授权委托书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_Toc9610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6BC05C5">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_Toc25589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三、投标承诺函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_Toc25589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50A46C2">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_Toc25666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四、报价一览表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_Toc25666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E4CDE3F">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_Toc8094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五、实施方案及技术方案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_Toc8094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36DB0F">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_Toc11250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六、质保及售后服务承诺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_Toc11250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2CB4123">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_Toc12847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七、中小微企业声明函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_Toc12847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A2AF019">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_Toc10871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八、监狱企业证明材料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_Toc10871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25E02D8">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_Toc14999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九、资格审查资料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_Toc14999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36C2011">
      <w:pPr>
        <w:pStyle w:val="13"/>
        <w:keepNext w:val="0"/>
        <w:keepLines w:val="0"/>
        <w:pageBreakBefore w:val="0"/>
        <w:widowControl w:val="0"/>
        <w:tabs>
          <w:tab w:val="right" w:leader="dot" w:pos="9070"/>
        </w:tabs>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_Toc4481 </w:instrText>
      </w:r>
      <w:r>
        <w:rPr>
          <w:rFonts w:hint="eastAsia" w:ascii="宋体" w:hAnsi="宋体" w:eastAsia="宋体" w:cs="宋体"/>
          <w:sz w:val="24"/>
          <w:szCs w:val="24"/>
          <w:highlight w:val="none"/>
        </w:rPr>
        <w:fldChar w:fldCharType="separate"/>
      </w:r>
      <w:r>
        <w:rPr>
          <w:rFonts w:hint="eastAsia" w:ascii="宋体" w:hAnsi="宋体" w:eastAsia="宋体" w:cs="宋体"/>
          <w:bCs/>
          <w:kern w:val="10"/>
          <w:sz w:val="24"/>
          <w:szCs w:val="24"/>
          <w:highlight w:val="none"/>
        </w:rPr>
        <w:t>十、其他材料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_Toc4481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5A64771">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z w:val="24"/>
          <w:highlight w:val="none"/>
        </w:rPr>
      </w:pPr>
      <w:r>
        <w:rPr>
          <w:rFonts w:hint="eastAsia" w:ascii="宋体" w:hAnsi="宋体" w:eastAsia="宋体" w:cs="宋体"/>
          <w:sz w:val="24"/>
          <w:szCs w:val="24"/>
          <w:highlight w:val="none"/>
        </w:rPr>
        <w:fldChar w:fldCharType="end"/>
      </w:r>
    </w:p>
    <w:p w14:paraId="00C7A6B3">
      <w:pPr>
        <w:pStyle w:val="4"/>
        <w:rPr>
          <w:highlight w:val="none"/>
        </w:rPr>
      </w:pPr>
    </w:p>
    <w:p w14:paraId="0B7BDB83">
      <w:pPr>
        <w:pStyle w:val="2"/>
        <w:ind w:firstLine="210"/>
        <w:rPr>
          <w:highlight w:val="none"/>
        </w:rPr>
      </w:pPr>
    </w:p>
    <w:p w14:paraId="648D352F">
      <w:pPr>
        <w:pStyle w:val="2"/>
        <w:ind w:firstLine="210"/>
        <w:rPr>
          <w:highlight w:val="none"/>
        </w:rPr>
      </w:pPr>
    </w:p>
    <w:p w14:paraId="235EABE1">
      <w:pPr>
        <w:pStyle w:val="2"/>
        <w:ind w:firstLine="210"/>
        <w:rPr>
          <w:highlight w:val="none"/>
        </w:rPr>
      </w:pPr>
    </w:p>
    <w:p w14:paraId="68FF96AD">
      <w:pPr>
        <w:pStyle w:val="2"/>
        <w:ind w:firstLine="210"/>
        <w:rPr>
          <w:highlight w:val="none"/>
        </w:rPr>
      </w:pPr>
    </w:p>
    <w:p w14:paraId="667CFD73">
      <w:pPr>
        <w:pStyle w:val="2"/>
        <w:ind w:firstLine="210"/>
        <w:rPr>
          <w:highlight w:val="none"/>
        </w:rPr>
      </w:pPr>
    </w:p>
    <w:p w14:paraId="74E22C2B">
      <w:pPr>
        <w:spacing w:line="360" w:lineRule="auto"/>
        <w:outlineLvl w:val="0"/>
        <w:rPr>
          <w:rFonts w:ascii="黑体" w:hAnsi="黑体" w:eastAsia="黑体" w:cs="宋体"/>
          <w:b/>
          <w:color w:val="000000"/>
          <w:kern w:val="10"/>
          <w:sz w:val="36"/>
          <w:szCs w:val="36"/>
          <w:highlight w:val="none"/>
        </w:rPr>
      </w:pPr>
      <w:bookmarkStart w:id="2" w:name="_Toc516499642"/>
      <w:bookmarkStart w:id="3" w:name="_Toc57277876"/>
      <w:bookmarkStart w:id="4" w:name="_Toc99007039"/>
      <w:bookmarkStart w:id="5" w:name="_Toc13992"/>
      <w:bookmarkStart w:id="6" w:name="_Toc16504"/>
      <w:bookmarkStart w:id="7" w:name="_Toc29843"/>
      <w:bookmarkStart w:id="8" w:name="_Toc16973"/>
      <w:bookmarkStart w:id="9" w:name="_Toc20852"/>
    </w:p>
    <w:p w14:paraId="3CEFF58B">
      <w:pPr>
        <w:spacing w:line="360" w:lineRule="auto"/>
        <w:jc w:val="center"/>
        <w:outlineLvl w:val="0"/>
        <w:rPr>
          <w:rFonts w:ascii="黑体" w:hAnsi="黑体" w:eastAsia="黑体" w:cs="宋体"/>
          <w:b/>
          <w:color w:val="000000"/>
          <w:kern w:val="10"/>
          <w:sz w:val="36"/>
          <w:szCs w:val="36"/>
          <w:highlight w:val="none"/>
        </w:rPr>
      </w:pPr>
      <w:bookmarkStart w:id="10" w:name="_Toc13945"/>
      <w:r>
        <w:rPr>
          <w:rFonts w:hint="eastAsia" w:ascii="黑体" w:hAnsi="黑体" w:eastAsia="黑体" w:cs="宋体"/>
          <w:b/>
          <w:color w:val="000000"/>
          <w:kern w:val="10"/>
          <w:sz w:val="36"/>
          <w:szCs w:val="36"/>
          <w:highlight w:val="none"/>
        </w:rPr>
        <w:t>第一章  招标公告</w:t>
      </w:r>
      <w:bookmarkEnd w:id="1"/>
      <w:bookmarkEnd w:id="2"/>
      <w:bookmarkEnd w:id="3"/>
      <w:bookmarkEnd w:id="4"/>
      <w:bookmarkEnd w:id="5"/>
      <w:bookmarkEnd w:id="6"/>
      <w:bookmarkEnd w:id="7"/>
      <w:bookmarkEnd w:id="8"/>
      <w:bookmarkEnd w:id="9"/>
      <w:bookmarkEnd w:id="10"/>
      <w:bookmarkStart w:id="11" w:name="_Toc478929098"/>
    </w:p>
    <w:bookmarkEnd w:id="11"/>
    <w:p w14:paraId="175E2182">
      <w:pPr>
        <w:jc w:val="center"/>
        <w:rPr>
          <w:rFonts w:hint="eastAsia" w:eastAsia="宋体"/>
          <w:b/>
          <w:bCs/>
          <w:sz w:val="32"/>
          <w:szCs w:val="32"/>
          <w:highlight w:val="none"/>
          <w:lang w:eastAsia="zh-CN"/>
        </w:rPr>
      </w:pPr>
      <w:bookmarkStart w:id="12" w:name="_Toc16309"/>
      <w:bookmarkStart w:id="13" w:name="_Toc10294"/>
      <w:bookmarkStart w:id="14" w:name="_Toc1996"/>
      <w:bookmarkStart w:id="15" w:name="_Toc28510"/>
      <w:bookmarkStart w:id="16" w:name="_Toc19492"/>
      <w:bookmarkStart w:id="17" w:name="_Toc516499644"/>
      <w:r>
        <w:rPr>
          <w:rFonts w:hint="eastAsia"/>
          <w:b/>
          <w:bCs/>
          <w:sz w:val="32"/>
          <w:szCs w:val="32"/>
          <w:highlight w:val="none"/>
          <w:lang w:eastAsia="zh-CN"/>
        </w:rPr>
        <w:t>灵宝市司法局智慧矫正中心软硬件设备采购项目</w:t>
      </w:r>
    </w:p>
    <w:p w14:paraId="289E5688">
      <w:pPr>
        <w:jc w:val="center"/>
        <w:rPr>
          <w:highlight w:val="none"/>
        </w:rPr>
      </w:pPr>
      <w:r>
        <w:rPr>
          <w:rFonts w:hint="eastAsia"/>
          <w:b/>
          <w:bCs/>
          <w:sz w:val="32"/>
          <w:szCs w:val="32"/>
          <w:highlight w:val="none"/>
        </w:rPr>
        <w:t>竞争性磋商公告</w:t>
      </w:r>
      <w:bookmarkEnd w:id="12"/>
    </w:p>
    <w:p w14:paraId="1C0710CD">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河南坤源工程咨询管理有限公司</w:t>
      </w:r>
      <w:r>
        <w:rPr>
          <w:rFonts w:hint="eastAsia" w:ascii="宋体" w:hAnsi="宋体" w:cs="宋体"/>
          <w:sz w:val="24"/>
          <w:highlight w:val="none"/>
        </w:rPr>
        <w:t>受</w:t>
      </w:r>
      <w:r>
        <w:rPr>
          <w:rFonts w:hint="eastAsia" w:ascii="宋体" w:hAnsi="宋体" w:cs="宋体"/>
          <w:sz w:val="24"/>
          <w:highlight w:val="none"/>
          <w:lang w:eastAsia="zh-CN"/>
        </w:rPr>
        <w:t>灵宝市司法局</w:t>
      </w:r>
      <w:r>
        <w:rPr>
          <w:rFonts w:hint="eastAsia" w:ascii="宋体" w:hAnsi="宋体" w:cs="宋体"/>
          <w:sz w:val="24"/>
          <w:highlight w:val="none"/>
        </w:rPr>
        <w:t>的委托，就</w:t>
      </w:r>
      <w:r>
        <w:rPr>
          <w:rFonts w:hint="eastAsia" w:ascii="宋体" w:hAnsi="宋体" w:cs="宋体"/>
          <w:sz w:val="24"/>
          <w:highlight w:val="none"/>
          <w:lang w:eastAsia="zh-CN"/>
        </w:rPr>
        <w:t>灵宝市司法局智慧矫正中心软硬件设备采购项目</w:t>
      </w:r>
      <w:r>
        <w:rPr>
          <w:rFonts w:hint="eastAsia" w:ascii="宋体" w:hAnsi="宋体" w:cs="宋体"/>
          <w:sz w:val="24"/>
          <w:highlight w:val="none"/>
        </w:rPr>
        <w:t>进行竞争性磋商，项目已由相关部门批准，资金来源为财政资金，资金已到位，欢迎符合资格条件的供应商参加磋商。</w:t>
      </w:r>
    </w:p>
    <w:p w14:paraId="5437C18C">
      <w:pPr>
        <w:spacing w:line="360" w:lineRule="auto"/>
        <w:ind w:firstLine="480" w:firstLineChars="200"/>
        <w:rPr>
          <w:rFonts w:ascii="宋体" w:hAnsi="宋体" w:cs="宋体"/>
          <w:sz w:val="24"/>
          <w:highlight w:val="none"/>
        </w:rPr>
      </w:pPr>
      <w:r>
        <w:rPr>
          <w:rFonts w:hint="eastAsia" w:ascii="宋体" w:hAnsi="宋体" w:cs="宋体"/>
          <w:sz w:val="24"/>
          <w:highlight w:val="none"/>
        </w:rPr>
        <w:t>一、项目基本情况</w:t>
      </w:r>
    </w:p>
    <w:p w14:paraId="5EFD908C">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eastAsia="zh-CN"/>
        </w:rPr>
        <w:t>采购</w:t>
      </w:r>
      <w:r>
        <w:rPr>
          <w:rFonts w:hint="eastAsia" w:ascii="宋体" w:hAnsi="宋体" w:cs="宋体"/>
          <w:sz w:val="24"/>
          <w:highlight w:val="none"/>
        </w:rPr>
        <w:t>项目名称：</w:t>
      </w:r>
      <w:r>
        <w:rPr>
          <w:rFonts w:hint="eastAsia" w:ascii="宋体" w:hAnsi="宋体" w:cs="宋体"/>
          <w:sz w:val="24"/>
          <w:highlight w:val="none"/>
          <w:lang w:eastAsia="zh-CN"/>
        </w:rPr>
        <w:t>灵宝市司法局智慧矫正中心软硬件设备采购项目</w:t>
      </w:r>
    </w:p>
    <w:p w14:paraId="3511C31B">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2、</w:t>
      </w:r>
      <w:r>
        <w:rPr>
          <w:rFonts w:hint="eastAsia" w:ascii="宋体" w:hAnsi="宋体" w:cs="宋体"/>
          <w:sz w:val="24"/>
          <w:highlight w:val="none"/>
          <w:lang w:eastAsia="zh-CN"/>
        </w:rPr>
        <w:t>采购</w:t>
      </w:r>
      <w:r>
        <w:rPr>
          <w:rFonts w:hint="eastAsia" w:ascii="宋体" w:hAnsi="宋体" w:cs="宋体"/>
          <w:sz w:val="24"/>
          <w:highlight w:val="none"/>
        </w:rPr>
        <w:t>项目编号：</w:t>
      </w:r>
      <w:r>
        <w:rPr>
          <w:rFonts w:hint="eastAsia" w:ascii="宋体" w:hAnsi="宋体" w:cs="宋体"/>
          <w:sz w:val="24"/>
          <w:highlight w:val="none"/>
          <w:lang w:val="en-US" w:eastAsia="zh-CN"/>
        </w:rPr>
        <w:t>LBGZ[2024]228-ZC159；灵宝竞磋采购-2024-94</w:t>
      </w:r>
    </w:p>
    <w:p w14:paraId="3BCB5B11">
      <w:pPr>
        <w:spacing w:line="360" w:lineRule="auto"/>
        <w:ind w:firstLine="480" w:firstLineChars="200"/>
        <w:rPr>
          <w:rFonts w:ascii="宋体" w:hAnsi="宋体" w:cs="宋体"/>
          <w:sz w:val="24"/>
          <w:highlight w:val="none"/>
        </w:rPr>
      </w:pPr>
      <w:r>
        <w:rPr>
          <w:rFonts w:hint="eastAsia" w:ascii="宋体" w:hAnsi="宋体" w:cs="宋体"/>
          <w:sz w:val="24"/>
          <w:highlight w:val="none"/>
        </w:rPr>
        <w:t>3、采购方式：竞争性磋商</w:t>
      </w:r>
    </w:p>
    <w:p w14:paraId="42854320">
      <w:pPr>
        <w:spacing w:line="360" w:lineRule="auto"/>
        <w:ind w:firstLine="480" w:firstLineChars="200"/>
        <w:rPr>
          <w:rFonts w:ascii="宋体" w:hAnsi="宋体" w:cs="宋体"/>
          <w:sz w:val="24"/>
          <w:highlight w:val="none"/>
        </w:rPr>
      </w:pPr>
      <w:r>
        <w:rPr>
          <w:rFonts w:hint="eastAsia" w:ascii="宋体" w:hAnsi="宋体" w:cs="宋体"/>
          <w:sz w:val="24"/>
          <w:highlight w:val="none"/>
        </w:rPr>
        <w:t>4、预算金额：</w:t>
      </w:r>
      <w:r>
        <w:rPr>
          <w:rFonts w:hint="eastAsia" w:ascii="宋体" w:hAnsi="宋体" w:cs="宋体"/>
          <w:sz w:val="24"/>
          <w:highlight w:val="none"/>
          <w:lang w:eastAsia="zh-CN"/>
        </w:rPr>
        <w:t>847770.00</w:t>
      </w:r>
      <w:r>
        <w:rPr>
          <w:rFonts w:hint="eastAsia" w:ascii="宋体" w:hAnsi="宋体" w:cs="宋体"/>
          <w:sz w:val="24"/>
          <w:highlight w:val="none"/>
        </w:rPr>
        <w:t>元</w:t>
      </w:r>
    </w:p>
    <w:p w14:paraId="5B7BC88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5、采购需求（包括但不限于标的的名称、数量、简要技术需求或服务要求等）</w:t>
      </w:r>
    </w:p>
    <w:p w14:paraId="34CB873A">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5.1</w:t>
      </w:r>
      <w:r>
        <w:rPr>
          <w:rFonts w:hint="eastAsia" w:ascii="宋体" w:hAnsi="宋体" w:cs="宋体"/>
          <w:sz w:val="24"/>
          <w:highlight w:val="none"/>
        </w:rPr>
        <w:t>采购内容</w:t>
      </w:r>
      <w:r>
        <w:rPr>
          <w:rFonts w:hint="eastAsia" w:ascii="宋体" w:hAnsi="宋体" w:cs="宋体"/>
          <w:sz w:val="24"/>
          <w:highlight w:val="none"/>
          <w:lang w:eastAsia="zh-CN"/>
        </w:rPr>
        <w:t>：</w:t>
      </w:r>
      <w:r>
        <w:rPr>
          <w:rFonts w:hint="eastAsia" w:ascii="宋体" w:hAnsi="宋体" w:cs="宋体"/>
          <w:sz w:val="24"/>
          <w:highlight w:val="none"/>
          <w:lang w:val="en-US" w:eastAsia="zh-CN"/>
        </w:rPr>
        <w:t>本项目为灵宝市司法局智慧矫正中心软硬件设备采购项目，主要包含报到登记室、宣告室、谈话训诫室、办公室、监控指挥室、教育培训室、心理矫正室、档案室、机房、大门及走廊室设备系统建设及相关的集成调试（具体内容详见磋商文件）</w:t>
      </w:r>
      <w:r>
        <w:rPr>
          <w:rFonts w:hint="eastAsia" w:ascii="宋体" w:hAnsi="宋体" w:cs="宋体"/>
          <w:sz w:val="24"/>
          <w:highlight w:val="none"/>
        </w:rPr>
        <w:t>；</w:t>
      </w:r>
    </w:p>
    <w:p w14:paraId="6D33BDFB">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5.2</w:t>
      </w:r>
      <w:r>
        <w:rPr>
          <w:rFonts w:hint="eastAsia" w:ascii="宋体" w:hAnsi="宋体" w:cs="宋体"/>
          <w:sz w:val="24"/>
          <w:highlight w:val="none"/>
        </w:rPr>
        <w:t>交货地点：采购人指定地点；</w:t>
      </w:r>
    </w:p>
    <w:p w14:paraId="1D31EAF7">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5.3</w:t>
      </w:r>
      <w:r>
        <w:rPr>
          <w:rFonts w:hint="eastAsia" w:ascii="宋体" w:hAnsi="宋体" w:cs="宋体"/>
          <w:sz w:val="24"/>
          <w:highlight w:val="none"/>
        </w:rPr>
        <w:t>质保期：</w:t>
      </w:r>
      <w:r>
        <w:rPr>
          <w:rFonts w:hint="eastAsia" w:ascii="宋体" w:hAnsi="宋体" w:cs="宋体"/>
          <w:sz w:val="24"/>
          <w:highlight w:val="none"/>
          <w:lang w:val="en-US" w:eastAsia="zh-CN"/>
        </w:rPr>
        <w:t>软件3年，硬件1年</w:t>
      </w:r>
      <w:r>
        <w:rPr>
          <w:rFonts w:hint="eastAsia" w:ascii="宋体" w:hAnsi="宋体" w:cs="宋体"/>
          <w:sz w:val="24"/>
          <w:highlight w:val="none"/>
          <w:lang w:eastAsia="zh-CN"/>
        </w:rPr>
        <w:t>；</w:t>
      </w:r>
    </w:p>
    <w:p w14:paraId="5325D9CA">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5.4</w:t>
      </w:r>
      <w:r>
        <w:rPr>
          <w:rFonts w:hint="eastAsia" w:ascii="宋体" w:hAnsi="宋体" w:cs="宋体"/>
          <w:sz w:val="24"/>
          <w:highlight w:val="none"/>
        </w:rPr>
        <w:t>质量要求：符合国家及行业标准需求并满足采购人要求。</w:t>
      </w:r>
    </w:p>
    <w:p w14:paraId="4991C629">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6、</w:t>
      </w:r>
      <w:r>
        <w:rPr>
          <w:rFonts w:hint="eastAsia" w:ascii="宋体" w:hAnsi="宋体" w:cs="宋体"/>
          <w:sz w:val="24"/>
          <w:highlight w:val="none"/>
          <w:lang w:eastAsia="zh-CN"/>
        </w:rPr>
        <w:t>交</w:t>
      </w:r>
      <w:r>
        <w:rPr>
          <w:rFonts w:hint="eastAsia" w:ascii="宋体" w:hAnsi="宋体" w:cs="宋体"/>
          <w:sz w:val="24"/>
          <w:highlight w:val="none"/>
        </w:rPr>
        <w:t>货期：</w:t>
      </w:r>
      <w:r>
        <w:rPr>
          <w:rFonts w:hint="eastAsia" w:ascii="宋体" w:hAnsi="宋体" w:cs="宋体"/>
          <w:sz w:val="24"/>
          <w:highlight w:val="none"/>
          <w:lang w:eastAsia="zh-CN"/>
        </w:rPr>
        <w:t>合同签订后30天内完成</w:t>
      </w:r>
    </w:p>
    <w:p w14:paraId="0482B30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7、本项目是否接受联合体投标：否</w:t>
      </w:r>
    </w:p>
    <w:p w14:paraId="225EB85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8、是否接受进口产品：否</w:t>
      </w:r>
    </w:p>
    <w:p w14:paraId="1C0B64A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9、是否专门面向中小企业：否</w:t>
      </w:r>
    </w:p>
    <w:p w14:paraId="35B61F9D">
      <w:pPr>
        <w:spacing w:line="360" w:lineRule="auto"/>
        <w:ind w:firstLine="480" w:firstLineChars="200"/>
        <w:rPr>
          <w:rFonts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val="en-US" w:eastAsia="zh-CN"/>
        </w:rPr>
        <w:t>供应商</w:t>
      </w:r>
      <w:r>
        <w:rPr>
          <w:rFonts w:hint="eastAsia" w:ascii="宋体" w:hAnsi="宋体" w:cs="宋体"/>
          <w:sz w:val="24"/>
          <w:highlight w:val="none"/>
        </w:rPr>
        <w:t>资格要求：</w:t>
      </w:r>
    </w:p>
    <w:p w14:paraId="1FA671D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43AFBD8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2、落实政府采购政策满足的资格要求：</w:t>
      </w:r>
      <w:r>
        <w:rPr>
          <w:rFonts w:hint="eastAsia" w:ascii="宋体" w:hAnsi="宋体" w:cs="宋体"/>
          <w:sz w:val="24"/>
          <w:highlight w:val="none"/>
          <w:lang w:val="en-US" w:eastAsia="zh-CN"/>
        </w:rPr>
        <w:t>本项目支持中小型企业发展政策（残疾人福利性企业、监狱企业视同小微企业）、优先采购节能环保产品等政府采购政策。</w:t>
      </w:r>
    </w:p>
    <w:p w14:paraId="6C11067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41C8BC14">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供应商须具有有效的营业执照；</w:t>
      </w:r>
    </w:p>
    <w:p w14:paraId="667285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3.2具有良好的商业信誉和健全的财务会计制度，供应商须提供</w:t>
      </w:r>
      <w:r>
        <w:rPr>
          <w:rFonts w:hint="eastAsia" w:ascii="宋体" w:hAnsi="宋体" w:cs="宋体"/>
          <w:sz w:val="24"/>
          <w:highlight w:val="none"/>
        </w:rPr>
        <w:t>近三年财务审计报告</w:t>
      </w:r>
      <w:r>
        <w:rPr>
          <w:rFonts w:hint="eastAsia" w:ascii="宋体" w:hAnsi="宋体" w:cs="宋体"/>
          <w:sz w:val="24"/>
          <w:highlight w:val="none"/>
          <w:lang w:eastAsia="zh-CN"/>
        </w:rPr>
        <w:t>（</w:t>
      </w:r>
      <w:r>
        <w:rPr>
          <w:rFonts w:hint="eastAsia" w:ascii="宋体" w:hAnsi="宋体" w:cs="宋体"/>
          <w:sz w:val="24"/>
          <w:highlight w:val="none"/>
        </w:rPr>
        <w:t>新成立公司不足一年的以公司成立时间为准</w:t>
      </w:r>
      <w:r>
        <w:rPr>
          <w:rFonts w:hint="eastAsia" w:ascii="宋体" w:hAnsi="宋体" w:cs="宋体"/>
          <w:sz w:val="24"/>
          <w:highlight w:val="none"/>
          <w:lang w:eastAsia="zh-CN"/>
        </w:rPr>
        <w:t>）</w:t>
      </w:r>
      <w:r>
        <w:rPr>
          <w:rFonts w:hint="eastAsia" w:ascii="宋体" w:hAnsi="宋体" w:cs="宋体"/>
          <w:sz w:val="24"/>
          <w:highlight w:val="none"/>
          <w:lang w:val="en-US" w:eastAsia="zh-CN"/>
        </w:rPr>
        <w:t>或基本户银行出具的资信证明等证明文件；</w:t>
      </w:r>
    </w:p>
    <w:p w14:paraId="60EE53E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3.3具有履行合同所必需的设备和专业技术能力（自行作出承诺，格式自拟）； </w:t>
      </w:r>
    </w:p>
    <w:p w14:paraId="3D4E513F">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3.4具有依法缴纳税收和社会保障资金的良好记录（提供2024年01月01日以来任意三个月依法缴纳税收和社会保障金的证明材料；</w:t>
      </w:r>
    </w:p>
    <w:p w14:paraId="5F1AC736">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3.5出具本单位无商业贿赂及无不正当竞争行为的承诺书（自行作出承诺，格式自拟）</w:t>
      </w:r>
    </w:p>
    <w:p w14:paraId="37970F49">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3.6</w:t>
      </w:r>
      <w:r>
        <w:rPr>
          <w:rFonts w:hint="eastAsia" w:ascii="宋体" w:hAnsi="宋体" w:cs="宋体"/>
          <w:sz w:val="24"/>
          <w:highlight w:val="none"/>
        </w:rPr>
        <w:t>参加政府采购活动前3年内在经营活动中没有重大违法记录的书面声明；</w:t>
      </w:r>
    </w:p>
    <w:p w14:paraId="5BF79C85">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3.7</w:t>
      </w:r>
      <w:r>
        <w:rPr>
          <w:rFonts w:hint="eastAsia" w:ascii="宋体" w:hAnsi="宋体" w:cs="宋体"/>
          <w:sz w:val="24"/>
          <w:highlight w:val="none"/>
        </w:rPr>
        <w:t>根据《关于在政府采购活动中查询及使用信用记录有关问题的通知》 (财库[2016]125 号)和豫财购【2016】15 号的规定，企业没有被列入“ 中国执行信息公开网 ”网站的“失信被执行人”、“信用中国”网站的“重大税收违法失信主体 ”“失信被执行人”及“ 中国政府采购网 ”网站的“政府采购严重违法失信行为记录名单 ”（查询渠道：“ 中国执行信息公开网 ” 网 站 （http://zxgk.court.gov.cn/shixin ） “ 信 用 中 国 ” 网 站（www.creditchina.gov.cn）、中国政府采购网（www.ccgp.gov.cn）；提供网站的查询信息截图（查询时间自公告发布之日起）。</w:t>
      </w:r>
    </w:p>
    <w:p w14:paraId="0736BFC0">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、本项目不接受联合体投标。</w:t>
      </w:r>
    </w:p>
    <w:p w14:paraId="18DB33B6">
      <w:pPr>
        <w:spacing w:line="360" w:lineRule="auto"/>
        <w:ind w:firstLine="480" w:firstLineChars="200"/>
        <w:rPr>
          <w:highlight w:val="none"/>
        </w:rPr>
      </w:pPr>
      <w:r>
        <w:rPr>
          <w:rFonts w:hint="eastAsia" w:ascii="宋体" w:hAnsi="宋体" w:cs="宋体"/>
          <w:sz w:val="24"/>
          <w:highlight w:val="none"/>
          <w:lang w:val="en-US" w:eastAsia="zh-CN"/>
        </w:rPr>
        <w:t>5</w:t>
      </w:r>
      <w:r>
        <w:rPr>
          <w:rFonts w:hint="eastAsia" w:ascii="宋体" w:hAnsi="宋体" w:cs="宋体"/>
          <w:sz w:val="24"/>
          <w:highlight w:val="none"/>
        </w:rPr>
        <w:t>、本次磋商实行资格后审，资格审查的具体要求见磋商文件。</w:t>
      </w:r>
    </w:p>
    <w:p w14:paraId="4C514A8A">
      <w:pPr>
        <w:spacing w:line="360" w:lineRule="auto"/>
        <w:ind w:firstLine="480" w:firstLineChars="200"/>
        <w:rPr>
          <w:rFonts w:ascii="宋体" w:hAnsi="宋体" w:cs="宋体"/>
          <w:sz w:val="24"/>
          <w:highlight w:val="none"/>
        </w:rPr>
      </w:pPr>
      <w:r>
        <w:rPr>
          <w:rFonts w:hint="eastAsia" w:ascii="宋体" w:hAnsi="宋体" w:cs="宋体"/>
          <w:sz w:val="24"/>
          <w:highlight w:val="none"/>
        </w:rPr>
        <w:t>三、投标报名及文件的获取方式:</w:t>
      </w:r>
    </w:p>
    <w:p w14:paraId="0E8AF36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1、竞争性磋商文件获取方式：本项目没有报名环节，供应商凭 CA 数字证书通过三门峡市公共资源交易中心网（网址：http://gzjy.smx.gov.cn/），点击交易平台选择“市场主体登录 ”，在所参与项目右侧点击参与投标，即可直接下载本项目竞争性磋商文件（竞争性磋商文件中包含投标所需一切内容）。 </w:t>
      </w:r>
    </w:p>
    <w:p w14:paraId="5B05A0D8">
      <w:pPr>
        <w:spacing w:line="360" w:lineRule="auto"/>
        <w:ind w:firstLine="480" w:firstLineChars="200"/>
        <w:rPr>
          <w:rFonts w:hint="eastAsia" w:ascii="宋体" w:hAnsi="宋体" w:eastAsia="宋体" w:cs="宋体"/>
          <w:color w:val="0000FF"/>
          <w:sz w:val="24"/>
          <w:highlight w:val="none"/>
          <w:lang w:eastAsia="zh-CN"/>
        </w:rPr>
      </w:pPr>
      <w:r>
        <w:rPr>
          <w:rFonts w:hint="eastAsia" w:ascii="宋体" w:hAnsi="宋体" w:cs="宋体"/>
          <w:sz w:val="24"/>
          <w:highlight w:val="none"/>
        </w:rPr>
        <w:t>2、竞争性磋商文件下载时间：</w:t>
      </w:r>
      <w:r>
        <w:rPr>
          <w:rFonts w:hint="eastAsia" w:ascii="宋体" w:hAnsi="宋体" w:cs="宋体"/>
          <w:color w:val="000000"/>
          <w:sz w:val="24"/>
          <w:highlight w:val="none"/>
        </w:rPr>
        <w:t>2024年</w:t>
      </w:r>
      <w:r>
        <w:rPr>
          <w:rFonts w:hint="eastAsia" w:ascii="宋体" w:hAnsi="宋体" w:cs="宋体"/>
          <w:color w:val="000000"/>
          <w:sz w:val="24"/>
          <w:highlight w:val="none"/>
          <w:lang w:val="en-US" w:eastAsia="zh-CN"/>
        </w:rPr>
        <w:t>08</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17</w:t>
      </w:r>
      <w:r>
        <w:rPr>
          <w:rFonts w:hint="eastAsia" w:ascii="宋体" w:hAnsi="宋体" w:cs="宋体"/>
          <w:color w:val="000000"/>
          <w:sz w:val="24"/>
          <w:highlight w:val="none"/>
        </w:rPr>
        <w:t>日至2024年</w:t>
      </w:r>
      <w:r>
        <w:rPr>
          <w:rFonts w:hint="eastAsia" w:ascii="宋体" w:hAnsi="宋体" w:cs="宋体"/>
          <w:color w:val="000000"/>
          <w:sz w:val="24"/>
          <w:highlight w:val="none"/>
          <w:lang w:val="en-US" w:eastAsia="zh-CN"/>
        </w:rPr>
        <w:t>08</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29</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cs="宋体"/>
          <w:color w:val="000000"/>
          <w:sz w:val="24"/>
          <w:highlight w:val="none"/>
        </w:rPr>
        <w:t>时</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0分</w:t>
      </w:r>
      <w:r>
        <w:rPr>
          <w:rFonts w:hint="eastAsia" w:ascii="宋体" w:hAnsi="宋体" w:cs="宋体"/>
          <w:color w:val="000000"/>
          <w:sz w:val="24"/>
          <w:highlight w:val="none"/>
          <w:lang w:eastAsia="zh-CN"/>
        </w:rPr>
        <w:t>。</w:t>
      </w:r>
    </w:p>
    <w:p w14:paraId="277DA08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3、本项目采用全电子化招标，不再收取竞争性磋商文件费。</w:t>
      </w:r>
    </w:p>
    <w:p w14:paraId="5092AEB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本项目为不见面开标项目，开标当日，供应商无需到开标现场参加开标会议，供应商应当在投标截止时间前，登陆不见面开标大厅选择登陆三门峡市公共资源电子招投标系统进行登陆（网址为http://gzjy.smx.gov.cn/）。在线准时参加开标活动并进行投标文件解密等。每位供应商的解 密时间为开标时间起 30 分钟内完成。因供应商原因未能解密、解密失败或解密超时的将被拒绝。</w:t>
      </w:r>
    </w:p>
    <w:p w14:paraId="610C5AB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四、响应文件提交</w:t>
      </w:r>
    </w:p>
    <w:p w14:paraId="602B924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1、截止时间</w:t>
      </w:r>
      <w:r>
        <w:rPr>
          <w:rFonts w:hint="eastAsia" w:ascii="宋体" w:hAnsi="宋体" w:cs="宋体"/>
          <w:color w:val="000000"/>
          <w:sz w:val="24"/>
          <w:highlight w:val="none"/>
        </w:rPr>
        <w:t>：2024年</w:t>
      </w:r>
      <w:r>
        <w:rPr>
          <w:rFonts w:hint="eastAsia" w:ascii="宋体" w:hAnsi="宋体" w:cs="宋体"/>
          <w:color w:val="000000"/>
          <w:sz w:val="24"/>
          <w:highlight w:val="none"/>
          <w:lang w:val="en-US" w:eastAsia="zh-CN"/>
        </w:rPr>
        <w:t>08</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29</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cs="宋体"/>
          <w:color w:val="000000"/>
          <w:sz w:val="24"/>
          <w:highlight w:val="none"/>
        </w:rPr>
        <w:t>时</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0分</w:t>
      </w:r>
      <w:r>
        <w:rPr>
          <w:rFonts w:hint="eastAsia" w:ascii="宋体" w:hAnsi="宋体" w:cs="宋体"/>
          <w:sz w:val="24"/>
          <w:highlight w:val="none"/>
        </w:rPr>
        <w:t>（北京时间）</w:t>
      </w:r>
    </w:p>
    <w:p w14:paraId="69338C8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2、地点：三门峡市公共资源交易中心网（网址：http://gzjy.smx.gov.cn/）</w:t>
      </w:r>
    </w:p>
    <w:p w14:paraId="1DF81AA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五、磋商时间和地点</w:t>
      </w:r>
    </w:p>
    <w:p w14:paraId="15DB80E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1.响应文件递交截止时间及磋商时间：</w:t>
      </w:r>
      <w:r>
        <w:rPr>
          <w:rFonts w:hint="eastAsia" w:ascii="宋体" w:hAnsi="宋体" w:cs="宋体"/>
          <w:color w:val="000000"/>
          <w:sz w:val="24"/>
          <w:highlight w:val="none"/>
        </w:rPr>
        <w:t>2024年</w:t>
      </w:r>
      <w:r>
        <w:rPr>
          <w:rFonts w:hint="eastAsia" w:ascii="宋体" w:hAnsi="宋体" w:cs="宋体"/>
          <w:color w:val="000000"/>
          <w:sz w:val="24"/>
          <w:highlight w:val="none"/>
          <w:lang w:val="en-US" w:eastAsia="zh-CN"/>
        </w:rPr>
        <w:t>08</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29</w:t>
      </w:r>
      <w:r>
        <w:rPr>
          <w:rFonts w:hint="eastAsia" w:ascii="宋体" w:hAnsi="宋体" w:cs="宋体"/>
          <w:color w:val="000000"/>
          <w:sz w:val="24"/>
          <w:highlight w:val="none"/>
        </w:rPr>
        <w:t>日</w:t>
      </w:r>
      <w:r>
        <w:rPr>
          <w:rFonts w:hint="eastAsia" w:ascii="宋体" w:hAnsi="宋体" w:cs="宋体"/>
          <w:color w:val="000000"/>
          <w:sz w:val="24"/>
          <w:highlight w:val="none"/>
          <w:lang w:val="en-US" w:eastAsia="zh-CN"/>
        </w:rPr>
        <w:t>09</w:t>
      </w:r>
      <w:r>
        <w:rPr>
          <w:rFonts w:hint="eastAsia" w:ascii="宋体" w:hAnsi="宋体" w:cs="宋体"/>
          <w:color w:val="000000"/>
          <w:sz w:val="24"/>
          <w:highlight w:val="none"/>
        </w:rPr>
        <w:t>时</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0分</w:t>
      </w:r>
      <w:r>
        <w:rPr>
          <w:rFonts w:hint="eastAsia" w:ascii="宋体" w:hAnsi="宋体" w:cs="宋体"/>
          <w:sz w:val="24"/>
          <w:highlight w:val="none"/>
        </w:rPr>
        <w:t>。</w:t>
      </w:r>
    </w:p>
    <w:p w14:paraId="4A105FB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2.磋商地点：灵宝市公共资源交易中心开标</w:t>
      </w:r>
      <w:r>
        <w:rPr>
          <w:rFonts w:hint="eastAsia" w:ascii="宋体" w:hAnsi="宋体" w:cs="宋体"/>
          <w:sz w:val="24"/>
          <w:highlight w:val="none"/>
          <w:lang w:eastAsia="zh-CN"/>
        </w:rPr>
        <w:t>一</w:t>
      </w:r>
      <w:r>
        <w:rPr>
          <w:rFonts w:hint="eastAsia" w:ascii="宋体" w:hAnsi="宋体" w:cs="宋体"/>
          <w:sz w:val="24"/>
          <w:highlight w:val="none"/>
        </w:rPr>
        <w:t>室、评标</w:t>
      </w:r>
      <w:r>
        <w:rPr>
          <w:rFonts w:hint="eastAsia" w:ascii="宋体" w:hAnsi="宋体" w:cs="宋体"/>
          <w:sz w:val="24"/>
          <w:highlight w:val="none"/>
          <w:lang w:eastAsia="zh-CN"/>
        </w:rPr>
        <w:t>二</w:t>
      </w:r>
      <w:r>
        <w:rPr>
          <w:rFonts w:hint="eastAsia" w:ascii="宋体" w:hAnsi="宋体" w:cs="宋体"/>
          <w:sz w:val="24"/>
          <w:highlight w:val="none"/>
        </w:rPr>
        <w:t>室（灵宝市信用合作联社 12 楼）。</w:t>
      </w:r>
    </w:p>
    <w:p w14:paraId="25D2E7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3、开标时，供应商必须持 CA 密钥在规定时间内对本单位的加密电子响应文件进行远程解密。本次项目实行远程不见面开标。</w:t>
      </w:r>
    </w:p>
    <w:p w14:paraId="0AF9368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六、磋商保证金</w:t>
      </w:r>
    </w:p>
    <w:p w14:paraId="2AAF8F5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按照《河南省财政厅关于优化政府采购营商环境有关问题的通知》（豫财购[2019]4 号文）的要求本项目不再收取磋商保证金。</w:t>
      </w:r>
    </w:p>
    <w:p w14:paraId="476AC73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七、其他</w:t>
      </w:r>
    </w:p>
    <w:p w14:paraId="4C1F2F7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 本项目为不见面开标项目。开标当日，磋商供应商无需到开标现场参加开标会议，磋商供应商应当在投标截止时间前，登陆不见面开标大厅选择登陆三门峡市公共资源电子招投标系统进行登陆（网址http://120.194.249.36:10094/BidOpening/bidopeninghallaction/hall/login）,在线准时参加开标活动并进行响应文件解密等。每位磋商供应商的解密时间为开标时间起30分钟内完成。因供应商原因未能解密、解密失败或解密超时的将被拒绝。</w:t>
      </w:r>
    </w:p>
    <w:p w14:paraId="451392A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2.本项目为电子化、无纸化交易项目，开标时不再接受任何纸质资料，为保证您能投标成功，请需仔细阅读竞争性磋商文件和三门峡市公共资源交易中心官网业务办理指南。</w:t>
      </w:r>
    </w:p>
    <w:p w14:paraId="0BECB6C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3.根据《河南省财政厅关于优化政府采购营商环境有关问题的通知》（豫财购【2019】4号）第6条的规定，磋商保证金不再收取。</w:t>
      </w:r>
    </w:p>
    <w:p w14:paraId="3667BEC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4.本项目实行资格后审，审查内容以投标文件为准，其上传资料真实性由供应商自行承担，同时，供应商请完善主体库。</w:t>
      </w:r>
    </w:p>
    <w:p w14:paraId="50DA08C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5.评标打分部分：评标打分部分仍按照100分制原则进行，涉及到资格审查、企业荣誉、企业业绩等计分部分时，以投标单位自行上传到磋商响应文件中的相应内容为准。</w:t>
      </w:r>
    </w:p>
    <w:p w14:paraId="4DCF08C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12BBC98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7.我单位（采购人）严格按三财购【2021】9号文要求的时限发布中标结果公告，发出中标通知书，签订采购合同，上传采购合同。</w:t>
      </w:r>
    </w:p>
    <w:p w14:paraId="6DC3636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八、发布竞争性磋商公告的媒介</w:t>
      </w:r>
    </w:p>
    <w:p w14:paraId="6C68615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本次磋商公告同时在《河南省政府采购网》、《中国采购与招标网》</w:t>
      </w:r>
      <w:r>
        <w:rPr>
          <w:rFonts w:hint="eastAsia" w:ascii="宋体" w:hAnsi="宋体" w:cs="宋体"/>
          <w:sz w:val="24"/>
          <w:highlight w:val="none"/>
          <w:lang w:eastAsia="zh-CN"/>
        </w:rPr>
        <w:t>、</w:t>
      </w:r>
      <w:r>
        <w:rPr>
          <w:rFonts w:hint="eastAsia" w:ascii="宋体" w:hAnsi="宋体" w:cs="宋体"/>
          <w:sz w:val="24"/>
          <w:highlight w:val="none"/>
        </w:rPr>
        <w:t>《三门峡市公共资源交易中心网》上发布。</w:t>
      </w:r>
    </w:p>
    <w:p w14:paraId="3DB95B31">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九</w:t>
      </w:r>
      <w:r>
        <w:rPr>
          <w:rFonts w:hint="eastAsia" w:ascii="宋体" w:hAnsi="宋体" w:cs="宋体"/>
          <w:sz w:val="24"/>
          <w:highlight w:val="none"/>
        </w:rPr>
        <w:t>、联系方式：</w:t>
      </w:r>
    </w:p>
    <w:p w14:paraId="4BAEC634">
      <w:pPr>
        <w:spacing w:line="360" w:lineRule="auto"/>
        <w:ind w:firstLine="480" w:firstLineChars="200"/>
        <w:rPr>
          <w:rFonts w:ascii="宋体" w:hAnsi="宋体" w:cs="宋体"/>
          <w:sz w:val="24"/>
          <w:highlight w:val="none"/>
        </w:rPr>
      </w:pPr>
      <w:r>
        <w:rPr>
          <w:rFonts w:hint="eastAsia" w:ascii="宋体" w:hAnsi="宋体" w:cs="宋体"/>
          <w:sz w:val="24"/>
          <w:highlight w:val="none"/>
        </w:rPr>
        <w:t>监督部门：灵宝市财政局政府采购监督管理科</w:t>
      </w:r>
    </w:p>
    <w:p w14:paraId="1EADDDB6">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联系电话：0398-8852670</w:t>
      </w:r>
    </w:p>
    <w:p w14:paraId="35446146">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监督部门：</w:t>
      </w:r>
      <w:r>
        <w:rPr>
          <w:rFonts w:hint="eastAsia" w:ascii="宋体" w:hAnsi="宋体" w:cs="宋体"/>
          <w:sz w:val="24"/>
          <w:highlight w:val="none"/>
          <w:lang w:eastAsia="zh-CN"/>
        </w:rPr>
        <w:t>灵宝市司法局党组</w:t>
      </w:r>
    </w:p>
    <w:p w14:paraId="35900F36">
      <w:pPr>
        <w:spacing w:line="360" w:lineRule="auto"/>
        <w:ind w:firstLine="480" w:firstLineChars="200"/>
        <w:rPr>
          <w:rFonts w:hint="default" w:eastAsia="宋体"/>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0398-8857886</w:t>
      </w:r>
    </w:p>
    <w:p w14:paraId="207F6D88">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采购人：</w:t>
      </w:r>
      <w:r>
        <w:rPr>
          <w:rFonts w:hint="eastAsia" w:ascii="宋体" w:hAnsi="宋体" w:cs="宋体"/>
          <w:sz w:val="24"/>
          <w:highlight w:val="none"/>
          <w:lang w:eastAsia="zh-CN"/>
        </w:rPr>
        <w:t>灵宝市司法局</w:t>
      </w:r>
    </w:p>
    <w:p w14:paraId="0048BA86">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eastAsia="zh-CN"/>
        </w:rPr>
        <w:t>灵宝市北区天宝路与金水路交叉口</w:t>
      </w:r>
    </w:p>
    <w:p w14:paraId="313F1A2B">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联系人：</w:t>
      </w:r>
      <w:r>
        <w:rPr>
          <w:rFonts w:hint="eastAsia" w:ascii="宋体" w:hAnsi="宋体"/>
          <w:bCs/>
          <w:color w:val="000000"/>
          <w:sz w:val="24"/>
          <w:highlight w:val="none"/>
          <w:lang w:eastAsia="zh-CN"/>
        </w:rPr>
        <w:t>马女士</w:t>
      </w:r>
    </w:p>
    <w:p w14:paraId="619F6F19">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19903984242</w:t>
      </w:r>
    </w:p>
    <w:p w14:paraId="40B8CCD8">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代理机构：</w:t>
      </w:r>
      <w:r>
        <w:rPr>
          <w:rFonts w:hint="eastAsia" w:ascii="宋体" w:hAnsi="宋体" w:cs="宋体"/>
          <w:sz w:val="24"/>
          <w:highlight w:val="none"/>
          <w:lang w:eastAsia="zh-CN"/>
        </w:rPr>
        <w:t>河南坤源工程咨询管理有限公司</w:t>
      </w:r>
    </w:p>
    <w:p w14:paraId="3A54F835">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highlight w:val="none"/>
        </w:rPr>
        <w:t>公司地址：</w:t>
      </w:r>
      <w:r>
        <w:rPr>
          <w:rFonts w:hint="eastAsia" w:ascii="宋体" w:hAnsi="宋体" w:eastAsia="宋体" w:cs="宋体"/>
          <w:sz w:val="24"/>
          <w:szCs w:val="24"/>
          <w:highlight w:val="none"/>
        </w:rPr>
        <w:t>河南省</w:t>
      </w:r>
      <w:r>
        <w:rPr>
          <w:rFonts w:hint="eastAsia" w:ascii="宋体" w:hAnsi="宋体" w:cs="宋体"/>
          <w:sz w:val="24"/>
          <w:szCs w:val="24"/>
          <w:highlight w:val="none"/>
          <w:lang w:eastAsia="zh-CN"/>
        </w:rPr>
        <w:t>三门峡市商会大厦B座1103室</w:t>
      </w:r>
      <w:r>
        <w:rPr>
          <w:rFonts w:hint="eastAsia" w:ascii="宋体" w:hAnsi="宋体" w:eastAsia="宋体" w:cs="宋体"/>
          <w:sz w:val="24"/>
          <w:szCs w:val="24"/>
          <w:highlight w:val="none"/>
        </w:rPr>
        <w:t xml:space="preserve">        </w:t>
      </w:r>
    </w:p>
    <w:p w14:paraId="24B5290E">
      <w:pPr>
        <w:spacing w:line="440" w:lineRule="exact"/>
        <w:ind w:firstLine="480" w:firstLineChars="200"/>
        <w:rPr>
          <w:rFonts w:hint="eastAsia" w:ascii="宋体" w:hAnsi="宋体" w:eastAsia="宋体" w:cs="宋体"/>
          <w:bCs/>
          <w:sz w:val="24"/>
          <w:highlight w:val="none"/>
          <w:lang w:val="en-US" w:eastAsia="zh-CN"/>
        </w:rPr>
      </w:pPr>
      <w:r>
        <w:rPr>
          <w:rFonts w:hint="eastAsia" w:ascii="宋体" w:hAnsi="宋体" w:cs="宋体"/>
          <w:bCs/>
          <w:sz w:val="24"/>
          <w:highlight w:val="none"/>
        </w:rPr>
        <w:t>联 系 人：</w:t>
      </w:r>
      <w:r>
        <w:rPr>
          <w:rFonts w:hint="eastAsia" w:ascii="宋体" w:hAnsi="宋体" w:cs="宋体"/>
          <w:bCs/>
          <w:sz w:val="24"/>
          <w:highlight w:val="none"/>
          <w:lang w:val="en-US" w:eastAsia="zh-CN"/>
        </w:rPr>
        <w:t>李先生</w:t>
      </w:r>
    </w:p>
    <w:p w14:paraId="255F3F22">
      <w:pPr>
        <w:spacing w:line="440" w:lineRule="exact"/>
        <w:ind w:firstLine="480" w:firstLineChars="200"/>
        <w:rPr>
          <w:rFonts w:hint="default"/>
          <w:highlight w:val="none"/>
          <w:lang w:val="en-US"/>
        </w:rPr>
      </w:pPr>
      <w:r>
        <w:rPr>
          <w:rFonts w:hint="eastAsia" w:ascii="宋体" w:hAnsi="宋体" w:cs="宋体"/>
          <w:bCs/>
          <w:sz w:val="24"/>
          <w:highlight w:val="none"/>
        </w:rPr>
        <w:t>联系电话：</w:t>
      </w:r>
      <w:r>
        <w:rPr>
          <w:rFonts w:hint="eastAsia" w:ascii="宋体" w:hAnsi="宋体" w:cs="宋体"/>
          <w:bCs/>
          <w:sz w:val="24"/>
          <w:highlight w:val="none"/>
          <w:lang w:val="en-US" w:eastAsia="zh-CN"/>
        </w:rPr>
        <w:t>17639888444</w:t>
      </w:r>
    </w:p>
    <w:p w14:paraId="6F69DA05">
      <w:pPr>
        <w:spacing w:line="360" w:lineRule="auto"/>
        <w:ind w:firstLine="480" w:firstLineChars="200"/>
        <w:rPr>
          <w:rFonts w:ascii="宋体" w:hAnsi="宋体" w:cs="宋体"/>
          <w:sz w:val="24"/>
          <w:highlight w:val="none"/>
        </w:rPr>
      </w:pPr>
    </w:p>
    <w:p w14:paraId="43C5733B">
      <w:pPr>
        <w:spacing w:line="360" w:lineRule="auto"/>
        <w:jc w:val="center"/>
        <w:outlineLvl w:val="0"/>
        <w:rPr>
          <w:rFonts w:hint="eastAsia" w:ascii="黑体" w:hAnsi="黑体" w:eastAsia="黑体"/>
          <w:b/>
          <w:color w:val="000000"/>
          <w:sz w:val="36"/>
          <w:szCs w:val="36"/>
          <w:highlight w:val="none"/>
        </w:rPr>
      </w:pPr>
      <w:bookmarkStart w:id="18" w:name="_Toc24901"/>
      <w:bookmarkStart w:id="19" w:name="_Toc57277877"/>
      <w:bookmarkStart w:id="20" w:name="_Toc17501"/>
      <w:bookmarkStart w:id="21" w:name="_Toc218"/>
      <w:bookmarkStart w:id="22" w:name="_Toc99007040"/>
    </w:p>
    <w:p w14:paraId="24141094">
      <w:pPr>
        <w:spacing w:line="360" w:lineRule="auto"/>
        <w:jc w:val="center"/>
        <w:outlineLvl w:val="0"/>
        <w:rPr>
          <w:rFonts w:hint="eastAsia" w:ascii="黑体" w:hAnsi="黑体" w:eastAsia="黑体"/>
          <w:b/>
          <w:color w:val="000000"/>
          <w:sz w:val="36"/>
          <w:szCs w:val="36"/>
          <w:highlight w:val="none"/>
        </w:rPr>
      </w:pPr>
    </w:p>
    <w:p w14:paraId="4A566620">
      <w:pPr>
        <w:spacing w:line="360" w:lineRule="auto"/>
        <w:jc w:val="center"/>
        <w:outlineLvl w:val="0"/>
        <w:rPr>
          <w:rFonts w:hint="eastAsia" w:ascii="黑体" w:hAnsi="黑体" w:eastAsia="黑体"/>
          <w:b/>
          <w:color w:val="000000"/>
          <w:sz w:val="36"/>
          <w:szCs w:val="36"/>
          <w:highlight w:val="none"/>
        </w:rPr>
      </w:pPr>
    </w:p>
    <w:p w14:paraId="4A1C64FC">
      <w:pPr>
        <w:spacing w:line="360" w:lineRule="auto"/>
        <w:jc w:val="center"/>
        <w:outlineLvl w:val="0"/>
        <w:rPr>
          <w:rFonts w:hint="eastAsia" w:ascii="黑体" w:hAnsi="黑体" w:eastAsia="黑体"/>
          <w:b/>
          <w:color w:val="000000"/>
          <w:sz w:val="36"/>
          <w:szCs w:val="36"/>
          <w:highlight w:val="none"/>
        </w:rPr>
      </w:pPr>
    </w:p>
    <w:p w14:paraId="2DBB0471">
      <w:pPr>
        <w:spacing w:line="360" w:lineRule="auto"/>
        <w:jc w:val="center"/>
        <w:outlineLvl w:val="0"/>
        <w:rPr>
          <w:rFonts w:hint="eastAsia" w:ascii="黑体" w:hAnsi="黑体" w:eastAsia="黑体"/>
          <w:b/>
          <w:color w:val="000000"/>
          <w:sz w:val="36"/>
          <w:szCs w:val="36"/>
          <w:highlight w:val="none"/>
        </w:rPr>
      </w:pPr>
    </w:p>
    <w:p w14:paraId="42A6BEE2">
      <w:pPr>
        <w:spacing w:line="360" w:lineRule="auto"/>
        <w:jc w:val="center"/>
        <w:outlineLvl w:val="0"/>
        <w:rPr>
          <w:rFonts w:hint="eastAsia" w:ascii="黑体" w:hAnsi="黑体" w:eastAsia="黑体"/>
          <w:b/>
          <w:color w:val="000000"/>
          <w:sz w:val="36"/>
          <w:szCs w:val="36"/>
          <w:highlight w:val="none"/>
        </w:rPr>
      </w:pPr>
    </w:p>
    <w:p w14:paraId="56BC6210">
      <w:pPr>
        <w:spacing w:line="360" w:lineRule="auto"/>
        <w:jc w:val="center"/>
        <w:outlineLvl w:val="0"/>
        <w:rPr>
          <w:rFonts w:hint="eastAsia" w:ascii="黑体" w:hAnsi="黑体" w:eastAsia="黑体"/>
          <w:b/>
          <w:color w:val="000000"/>
          <w:sz w:val="36"/>
          <w:szCs w:val="36"/>
          <w:highlight w:val="none"/>
        </w:rPr>
      </w:pPr>
    </w:p>
    <w:p w14:paraId="76B76920">
      <w:pPr>
        <w:spacing w:line="360" w:lineRule="auto"/>
        <w:jc w:val="center"/>
        <w:outlineLvl w:val="0"/>
        <w:rPr>
          <w:rFonts w:ascii="黑体" w:hAnsi="黑体" w:eastAsia="黑体"/>
          <w:b/>
          <w:color w:val="000000"/>
          <w:sz w:val="36"/>
          <w:szCs w:val="36"/>
          <w:highlight w:val="none"/>
        </w:rPr>
      </w:pPr>
      <w:r>
        <w:rPr>
          <w:rFonts w:hint="eastAsia" w:ascii="黑体" w:hAnsi="黑体" w:eastAsia="黑体"/>
          <w:b/>
          <w:color w:val="000000"/>
          <w:sz w:val="36"/>
          <w:szCs w:val="36"/>
          <w:highlight w:val="none"/>
        </w:rPr>
        <w:t>第二章  投标须知</w:t>
      </w:r>
      <w:bookmarkEnd w:id="13"/>
      <w:bookmarkEnd w:id="14"/>
      <w:bookmarkEnd w:id="15"/>
      <w:bookmarkEnd w:id="16"/>
      <w:bookmarkEnd w:id="17"/>
      <w:bookmarkEnd w:id="18"/>
      <w:bookmarkEnd w:id="19"/>
      <w:bookmarkEnd w:id="20"/>
      <w:bookmarkEnd w:id="21"/>
      <w:bookmarkEnd w:id="22"/>
    </w:p>
    <w:p w14:paraId="5246ACE9">
      <w:pPr>
        <w:spacing w:line="360" w:lineRule="auto"/>
        <w:jc w:val="center"/>
        <w:rPr>
          <w:rFonts w:ascii="宋体" w:hAnsi="宋体" w:cs="宋体"/>
          <w:b/>
          <w:bCs/>
          <w:color w:val="000000"/>
          <w:kern w:val="10"/>
          <w:sz w:val="28"/>
          <w:szCs w:val="28"/>
          <w:highlight w:val="none"/>
        </w:rPr>
      </w:pPr>
      <w:bookmarkStart w:id="23" w:name="_Toc516499645"/>
      <w:bookmarkStart w:id="24" w:name="_Toc57277878"/>
      <w:bookmarkStart w:id="25" w:name="_Toc24144"/>
      <w:bookmarkStart w:id="26" w:name="_Toc99007041"/>
      <w:bookmarkStart w:id="27" w:name="_Toc5159"/>
      <w:r>
        <w:rPr>
          <w:rFonts w:hint="eastAsia" w:ascii="宋体" w:hAnsi="宋体" w:cs="宋体"/>
          <w:b/>
          <w:bCs/>
          <w:color w:val="000000"/>
          <w:kern w:val="10"/>
          <w:sz w:val="28"/>
          <w:szCs w:val="28"/>
          <w:highlight w:val="none"/>
        </w:rPr>
        <w:t>投标人须知前附表</w:t>
      </w:r>
      <w:bookmarkEnd w:id="23"/>
      <w:bookmarkEnd w:id="24"/>
      <w:bookmarkEnd w:id="25"/>
      <w:bookmarkEnd w:id="26"/>
      <w:bookmarkEnd w:id="27"/>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719"/>
        <w:gridCol w:w="5714"/>
      </w:tblGrid>
      <w:tr w14:paraId="435F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56CEAF3">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序号</w:t>
            </w:r>
          </w:p>
        </w:tc>
        <w:tc>
          <w:tcPr>
            <w:tcW w:w="2719" w:type="dxa"/>
            <w:noWrap w:val="0"/>
            <w:vAlign w:val="center"/>
          </w:tcPr>
          <w:p w14:paraId="60EB2960">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条 款 名 称</w:t>
            </w:r>
          </w:p>
        </w:tc>
        <w:tc>
          <w:tcPr>
            <w:tcW w:w="5714" w:type="dxa"/>
            <w:noWrap w:val="0"/>
            <w:vAlign w:val="center"/>
          </w:tcPr>
          <w:p w14:paraId="492BA036">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编  列  内  容</w:t>
            </w:r>
          </w:p>
        </w:tc>
      </w:tr>
      <w:tr w14:paraId="59CF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3535EE9">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1.1.2</w:t>
            </w:r>
          </w:p>
        </w:tc>
        <w:tc>
          <w:tcPr>
            <w:tcW w:w="2719" w:type="dxa"/>
            <w:noWrap w:val="0"/>
            <w:vAlign w:val="center"/>
          </w:tcPr>
          <w:p w14:paraId="0E0F6B6F">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采购人</w:t>
            </w:r>
          </w:p>
        </w:tc>
        <w:tc>
          <w:tcPr>
            <w:tcW w:w="5714" w:type="dxa"/>
            <w:noWrap w:val="0"/>
            <w:vAlign w:val="center"/>
          </w:tcPr>
          <w:p w14:paraId="6A4663F4">
            <w:pPr>
              <w:spacing w:line="360" w:lineRule="auto"/>
              <w:rPr>
                <w:rFonts w:hint="eastAsia" w:ascii="宋体" w:hAnsi="宋体" w:eastAsia="宋体"/>
                <w:bCs/>
                <w:color w:val="000000"/>
                <w:sz w:val="24"/>
                <w:highlight w:val="none"/>
                <w:lang w:eastAsia="zh-CN"/>
              </w:rPr>
            </w:pPr>
            <w:r>
              <w:rPr>
                <w:rFonts w:hint="eastAsia" w:ascii="宋体" w:hAnsi="宋体"/>
                <w:bCs/>
                <w:color w:val="000000"/>
                <w:sz w:val="24"/>
                <w:highlight w:val="none"/>
              </w:rPr>
              <w:t>采购人：</w:t>
            </w:r>
            <w:r>
              <w:rPr>
                <w:rFonts w:hint="eastAsia" w:ascii="宋体" w:hAnsi="宋体"/>
                <w:bCs/>
                <w:color w:val="000000"/>
                <w:sz w:val="24"/>
                <w:highlight w:val="none"/>
                <w:lang w:eastAsia="zh-CN"/>
              </w:rPr>
              <w:t>灵宝市司法局</w:t>
            </w:r>
          </w:p>
          <w:p w14:paraId="348DC88E">
            <w:pPr>
              <w:spacing w:line="360" w:lineRule="auto"/>
              <w:rPr>
                <w:rFonts w:hint="eastAsia" w:ascii="宋体" w:hAnsi="宋体" w:eastAsia="宋体"/>
                <w:bCs/>
                <w:color w:val="000000"/>
                <w:sz w:val="24"/>
                <w:highlight w:val="none"/>
                <w:lang w:eastAsia="zh-CN"/>
              </w:rPr>
            </w:pPr>
            <w:r>
              <w:rPr>
                <w:rFonts w:hint="eastAsia" w:ascii="宋体" w:hAnsi="宋体"/>
                <w:bCs/>
                <w:color w:val="000000"/>
                <w:sz w:val="24"/>
                <w:highlight w:val="none"/>
              </w:rPr>
              <w:t>地址：</w:t>
            </w:r>
            <w:r>
              <w:rPr>
                <w:rFonts w:hint="eastAsia" w:ascii="宋体" w:hAnsi="宋体"/>
                <w:bCs/>
                <w:color w:val="000000"/>
                <w:sz w:val="24"/>
                <w:highlight w:val="none"/>
                <w:lang w:eastAsia="zh-CN"/>
              </w:rPr>
              <w:t>灵宝市北区天宝路与金水路交叉口</w:t>
            </w:r>
          </w:p>
          <w:p w14:paraId="6BC20F53">
            <w:pPr>
              <w:spacing w:line="360" w:lineRule="auto"/>
              <w:rPr>
                <w:rFonts w:hint="eastAsia" w:ascii="宋体" w:hAnsi="宋体" w:eastAsia="宋体"/>
                <w:bCs/>
                <w:color w:val="000000"/>
                <w:sz w:val="24"/>
                <w:highlight w:val="none"/>
                <w:lang w:eastAsia="zh-CN"/>
              </w:rPr>
            </w:pPr>
            <w:r>
              <w:rPr>
                <w:rFonts w:hint="eastAsia" w:ascii="宋体" w:hAnsi="宋体"/>
                <w:bCs/>
                <w:color w:val="000000"/>
                <w:sz w:val="24"/>
                <w:highlight w:val="none"/>
              </w:rPr>
              <w:t>联系人：</w:t>
            </w:r>
            <w:r>
              <w:rPr>
                <w:rFonts w:hint="eastAsia" w:ascii="宋体" w:hAnsi="宋体"/>
                <w:bCs/>
                <w:color w:val="000000"/>
                <w:sz w:val="24"/>
                <w:highlight w:val="none"/>
                <w:lang w:eastAsia="zh-CN"/>
              </w:rPr>
              <w:t>马女士</w:t>
            </w:r>
          </w:p>
          <w:p w14:paraId="7C142B7F">
            <w:pPr>
              <w:spacing w:line="360" w:lineRule="auto"/>
              <w:rPr>
                <w:rFonts w:ascii="宋体" w:hAnsi="宋体"/>
                <w:bCs/>
                <w:color w:val="000000"/>
                <w:sz w:val="24"/>
                <w:highlight w:val="none"/>
              </w:rPr>
            </w:pPr>
            <w:r>
              <w:rPr>
                <w:rFonts w:hint="eastAsia" w:ascii="宋体" w:hAnsi="宋体"/>
                <w:bCs/>
                <w:color w:val="000000"/>
                <w:sz w:val="24"/>
                <w:highlight w:val="none"/>
              </w:rPr>
              <w:t>联系电话：</w:t>
            </w:r>
            <w:r>
              <w:rPr>
                <w:rFonts w:hint="eastAsia" w:ascii="宋体" w:hAnsi="宋体"/>
                <w:bCs/>
                <w:color w:val="000000"/>
                <w:sz w:val="24"/>
                <w:highlight w:val="none"/>
                <w:lang w:val="en-US" w:eastAsia="zh-CN"/>
              </w:rPr>
              <w:t>19903984242</w:t>
            </w:r>
          </w:p>
        </w:tc>
      </w:tr>
      <w:tr w14:paraId="346E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9A7C70E">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1.1.3</w:t>
            </w:r>
          </w:p>
        </w:tc>
        <w:tc>
          <w:tcPr>
            <w:tcW w:w="2719" w:type="dxa"/>
            <w:noWrap w:val="0"/>
            <w:vAlign w:val="center"/>
          </w:tcPr>
          <w:p w14:paraId="07E95AE5">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代理机构</w:t>
            </w:r>
          </w:p>
        </w:tc>
        <w:tc>
          <w:tcPr>
            <w:tcW w:w="5714" w:type="dxa"/>
            <w:noWrap w:val="0"/>
            <w:vAlign w:val="center"/>
          </w:tcPr>
          <w:p w14:paraId="095A6C6B">
            <w:pPr>
              <w:spacing w:line="360" w:lineRule="auto"/>
              <w:rPr>
                <w:rFonts w:hint="eastAsia" w:eastAsia="宋体" w:cs="楷体"/>
                <w:sz w:val="24"/>
                <w:highlight w:val="none"/>
                <w:lang w:eastAsia="zh-CN"/>
              </w:rPr>
            </w:pPr>
            <w:r>
              <w:rPr>
                <w:rFonts w:hint="eastAsia" w:cs="楷体"/>
                <w:sz w:val="24"/>
                <w:highlight w:val="none"/>
              </w:rPr>
              <w:t>代理机构：</w:t>
            </w:r>
            <w:r>
              <w:rPr>
                <w:rFonts w:hint="eastAsia" w:cs="楷体"/>
                <w:sz w:val="24"/>
                <w:highlight w:val="none"/>
                <w:lang w:eastAsia="zh-CN"/>
              </w:rPr>
              <w:t>河南坤源工程咨询管理有限公司</w:t>
            </w:r>
          </w:p>
          <w:p w14:paraId="6781F536">
            <w:pPr>
              <w:spacing w:line="360" w:lineRule="auto"/>
              <w:rPr>
                <w:rFonts w:hint="eastAsia" w:ascii="宋体" w:hAnsi="宋体"/>
                <w:color w:val="000000"/>
                <w:sz w:val="24"/>
                <w:highlight w:val="none"/>
                <w:u w:val="none"/>
                <w:lang w:val="en-US" w:eastAsia="zh-CN"/>
              </w:rPr>
            </w:pPr>
            <w:r>
              <w:rPr>
                <w:rFonts w:hint="eastAsia" w:ascii="宋体" w:hAnsi="宋体"/>
                <w:color w:val="000000"/>
                <w:sz w:val="24"/>
                <w:highlight w:val="none"/>
                <w:u w:val="none"/>
              </w:rPr>
              <w:t>联 系 人：</w:t>
            </w:r>
            <w:r>
              <w:rPr>
                <w:rFonts w:hint="eastAsia" w:ascii="宋体" w:hAnsi="宋体"/>
                <w:color w:val="000000"/>
                <w:sz w:val="24"/>
                <w:highlight w:val="none"/>
                <w:u w:val="none"/>
                <w:lang w:val="en-US" w:eastAsia="zh-CN"/>
              </w:rPr>
              <w:t>李先生</w:t>
            </w:r>
          </w:p>
          <w:p w14:paraId="18118960">
            <w:pPr>
              <w:spacing w:line="360" w:lineRule="auto"/>
              <w:rPr>
                <w:rFonts w:ascii="宋体" w:hAnsi="宋体"/>
                <w:color w:val="000000"/>
                <w:sz w:val="24"/>
                <w:highlight w:val="none"/>
                <w:u w:val="single"/>
              </w:rPr>
            </w:pPr>
            <w:r>
              <w:rPr>
                <w:rFonts w:hint="eastAsia" w:ascii="宋体" w:hAnsi="宋体"/>
                <w:color w:val="000000"/>
                <w:sz w:val="24"/>
                <w:highlight w:val="none"/>
                <w:u w:val="none"/>
              </w:rPr>
              <w:t>联系电话：</w:t>
            </w:r>
            <w:r>
              <w:rPr>
                <w:rFonts w:hint="eastAsia" w:ascii="宋体" w:hAnsi="宋体"/>
                <w:color w:val="000000"/>
                <w:sz w:val="24"/>
                <w:highlight w:val="none"/>
                <w:u w:val="none"/>
                <w:lang w:val="en-US" w:eastAsia="zh-CN"/>
              </w:rPr>
              <w:t>17639888444</w:t>
            </w:r>
          </w:p>
        </w:tc>
      </w:tr>
      <w:tr w14:paraId="3147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C401178">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1.1.4</w:t>
            </w:r>
          </w:p>
        </w:tc>
        <w:tc>
          <w:tcPr>
            <w:tcW w:w="2719" w:type="dxa"/>
            <w:noWrap w:val="0"/>
            <w:vAlign w:val="center"/>
          </w:tcPr>
          <w:p w14:paraId="57BE0240">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项目名称</w:t>
            </w:r>
          </w:p>
        </w:tc>
        <w:tc>
          <w:tcPr>
            <w:tcW w:w="5714" w:type="dxa"/>
            <w:noWrap w:val="0"/>
            <w:vAlign w:val="center"/>
          </w:tcPr>
          <w:p w14:paraId="22ED7E65">
            <w:pPr>
              <w:spacing w:line="360" w:lineRule="auto"/>
              <w:rPr>
                <w:rFonts w:hint="eastAsia" w:ascii="宋体" w:hAnsi="宋体" w:eastAsia="宋体" w:cs="宋体"/>
                <w:color w:val="000000"/>
                <w:kern w:val="10"/>
                <w:sz w:val="24"/>
                <w:highlight w:val="none"/>
                <w:lang w:eastAsia="zh-CN"/>
              </w:rPr>
            </w:pPr>
            <w:r>
              <w:rPr>
                <w:rFonts w:hint="eastAsia" w:ascii="宋体" w:hAnsi="宋体" w:cs="宋体"/>
                <w:sz w:val="24"/>
                <w:highlight w:val="none"/>
                <w:lang w:eastAsia="zh-CN"/>
              </w:rPr>
              <w:t>灵宝市司法局智慧矫正中心软硬件设备采购项目</w:t>
            </w:r>
          </w:p>
        </w:tc>
      </w:tr>
      <w:tr w14:paraId="66B8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0"/>
            <w:vAlign w:val="center"/>
          </w:tcPr>
          <w:p w14:paraId="78836D9A">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1.2.1</w:t>
            </w:r>
          </w:p>
        </w:tc>
        <w:tc>
          <w:tcPr>
            <w:tcW w:w="2719" w:type="dxa"/>
            <w:noWrap w:val="0"/>
            <w:vAlign w:val="center"/>
          </w:tcPr>
          <w:p w14:paraId="34E9A2E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资金来源</w:t>
            </w:r>
          </w:p>
        </w:tc>
        <w:tc>
          <w:tcPr>
            <w:tcW w:w="5714" w:type="dxa"/>
            <w:noWrap w:val="0"/>
            <w:vAlign w:val="center"/>
          </w:tcPr>
          <w:p w14:paraId="288E34FD">
            <w:pPr>
              <w:spacing w:line="360" w:lineRule="auto"/>
              <w:rPr>
                <w:rFonts w:ascii="宋体" w:hAnsi="宋体" w:cs="宋体"/>
                <w:color w:val="000000"/>
                <w:kern w:val="10"/>
                <w:sz w:val="24"/>
                <w:highlight w:val="none"/>
              </w:rPr>
            </w:pPr>
            <w:r>
              <w:rPr>
                <w:rFonts w:hint="eastAsia" w:cs="楷体"/>
                <w:sz w:val="24"/>
                <w:highlight w:val="none"/>
              </w:rPr>
              <w:t>财政资金</w:t>
            </w:r>
          </w:p>
        </w:tc>
      </w:tr>
      <w:tr w14:paraId="243F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52ABE8C">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1.2.2</w:t>
            </w:r>
          </w:p>
        </w:tc>
        <w:tc>
          <w:tcPr>
            <w:tcW w:w="2719" w:type="dxa"/>
            <w:noWrap w:val="0"/>
            <w:vAlign w:val="center"/>
          </w:tcPr>
          <w:p w14:paraId="65A82399">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出资比例</w:t>
            </w:r>
          </w:p>
        </w:tc>
        <w:tc>
          <w:tcPr>
            <w:tcW w:w="5714" w:type="dxa"/>
            <w:noWrap w:val="0"/>
            <w:vAlign w:val="center"/>
          </w:tcPr>
          <w:p w14:paraId="2A9882C1">
            <w:pPr>
              <w:spacing w:line="360" w:lineRule="auto"/>
              <w:rPr>
                <w:rFonts w:cs="楷体"/>
                <w:sz w:val="24"/>
                <w:highlight w:val="none"/>
              </w:rPr>
            </w:pPr>
            <w:r>
              <w:rPr>
                <w:rFonts w:hint="eastAsia" w:cs="楷体"/>
                <w:sz w:val="24"/>
                <w:highlight w:val="none"/>
              </w:rPr>
              <w:t>100%</w:t>
            </w:r>
          </w:p>
        </w:tc>
      </w:tr>
      <w:tr w14:paraId="056E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0353E73">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1.2.3</w:t>
            </w:r>
          </w:p>
        </w:tc>
        <w:tc>
          <w:tcPr>
            <w:tcW w:w="2719" w:type="dxa"/>
            <w:noWrap w:val="0"/>
            <w:vAlign w:val="center"/>
          </w:tcPr>
          <w:p w14:paraId="4F3F074B">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资金落实情况</w:t>
            </w:r>
          </w:p>
        </w:tc>
        <w:tc>
          <w:tcPr>
            <w:tcW w:w="5714" w:type="dxa"/>
            <w:noWrap w:val="0"/>
            <w:vAlign w:val="center"/>
          </w:tcPr>
          <w:p w14:paraId="19BB0989">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已落实</w:t>
            </w:r>
          </w:p>
        </w:tc>
      </w:tr>
      <w:tr w14:paraId="0C4B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1CE4257">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1.3.1</w:t>
            </w:r>
          </w:p>
        </w:tc>
        <w:tc>
          <w:tcPr>
            <w:tcW w:w="2719" w:type="dxa"/>
            <w:noWrap w:val="0"/>
            <w:vAlign w:val="center"/>
          </w:tcPr>
          <w:p w14:paraId="69EA40EA">
            <w:pPr>
              <w:spacing w:line="360" w:lineRule="auto"/>
              <w:jc w:val="center"/>
              <w:rPr>
                <w:rFonts w:ascii="宋体" w:hAnsi="宋体" w:cs="宋体"/>
                <w:color w:val="000000"/>
                <w:kern w:val="10"/>
                <w:sz w:val="24"/>
                <w:highlight w:val="none"/>
              </w:rPr>
            </w:pPr>
            <w:r>
              <w:rPr>
                <w:rFonts w:hint="eastAsia" w:ascii="宋体" w:hAnsi="宋体" w:cs="宋体"/>
                <w:sz w:val="24"/>
                <w:highlight w:val="none"/>
              </w:rPr>
              <w:t>采购内容</w:t>
            </w:r>
          </w:p>
        </w:tc>
        <w:tc>
          <w:tcPr>
            <w:tcW w:w="5714" w:type="dxa"/>
            <w:noWrap w:val="0"/>
            <w:vAlign w:val="center"/>
          </w:tcPr>
          <w:p w14:paraId="50683C57">
            <w:pPr>
              <w:spacing w:line="360" w:lineRule="auto"/>
              <w:rPr>
                <w:rFonts w:ascii="宋体" w:hAnsi="宋体"/>
                <w:color w:val="000000"/>
                <w:sz w:val="24"/>
                <w:szCs w:val="20"/>
                <w:highlight w:val="none"/>
              </w:rPr>
            </w:pPr>
            <w:r>
              <w:rPr>
                <w:rFonts w:hint="eastAsia" w:ascii="宋体" w:hAnsi="宋体" w:cs="宋体"/>
                <w:sz w:val="24"/>
                <w:highlight w:val="none"/>
                <w:lang w:val="en-US" w:eastAsia="zh-CN"/>
              </w:rPr>
              <w:t>本项目为灵宝市司法局智慧矫正项目，主要包含报到登记室、宣告室、谈话训诫室、办公室、监控指挥室、教育培训室、心理矫正室、档案室、机房、大门及走廊室设备系统建设及相关的集成调试（具体内容详见磋商文件）。</w:t>
            </w:r>
          </w:p>
        </w:tc>
      </w:tr>
      <w:tr w14:paraId="15D2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E5CCDF1">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1.3.2</w:t>
            </w:r>
          </w:p>
        </w:tc>
        <w:tc>
          <w:tcPr>
            <w:tcW w:w="2719" w:type="dxa"/>
            <w:noWrap w:val="0"/>
            <w:vAlign w:val="center"/>
          </w:tcPr>
          <w:p w14:paraId="6A5FEE24">
            <w:pPr>
              <w:spacing w:line="360" w:lineRule="auto"/>
              <w:jc w:val="center"/>
              <w:rPr>
                <w:rFonts w:ascii="宋体" w:hAnsi="宋体" w:cs="宋体"/>
                <w:color w:val="000000"/>
                <w:kern w:val="10"/>
                <w:sz w:val="24"/>
                <w:highlight w:val="none"/>
              </w:rPr>
            </w:pPr>
            <w:r>
              <w:rPr>
                <w:rFonts w:hint="eastAsia" w:cs="楷体"/>
                <w:sz w:val="24"/>
                <w:highlight w:val="none"/>
              </w:rPr>
              <w:t>交货期</w:t>
            </w:r>
          </w:p>
        </w:tc>
        <w:tc>
          <w:tcPr>
            <w:tcW w:w="5714" w:type="dxa"/>
            <w:noWrap w:val="0"/>
            <w:vAlign w:val="center"/>
          </w:tcPr>
          <w:p w14:paraId="11AC70B9">
            <w:pPr>
              <w:spacing w:line="360" w:lineRule="auto"/>
              <w:rPr>
                <w:rFonts w:hint="eastAsia" w:ascii="宋体" w:hAnsi="宋体" w:eastAsia="宋体"/>
                <w:color w:val="000000"/>
                <w:sz w:val="24"/>
                <w:szCs w:val="20"/>
                <w:highlight w:val="none"/>
                <w:lang w:eastAsia="zh-CN"/>
              </w:rPr>
            </w:pPr>
            <w:r>
              <w:rPr>
                <w:rFonts w:hint="eastAsia" w:ascii="宋体" w:hAnsi="宋体" w:cs="宋体"/>
                <w:sz w:val="24"/>
                <w:highlight w:val="none"/>
                <w:lang w:eastAsia="zh-CN"/>
              </w:rPr>
              <w:t>合同签订后30天内完成</w:t>
            </w:r>
          </w:p>
        </w:tc>
      </w:tr>
      <w:tr w14:paraId="2D60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CAAF4A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1.3.3</w:t>
            </w:r>
          </w:p>
        </w:tc>
        <w:tc>
          <w:tcPr>
            <w:tcW w:w="2719" w:type="dxa"/>
            <w:noWrap w:val="0"/>
            <w:vAlign w:val="center"/>
          </w:tcPr>
          <w:p w14:paraId="5815FF86">
            <w:pPr>
              <w:spacing w:line="360" w:lineRule="auto"/>
              <w:jc w:val="center"/>
              <w:rPr>
                <w:rFonts w:cs="楷体"/>
                <w:sz w:val="24"/>
                <w:highlight w:val="none"/>
              </w:rPr>
            </w:pPr>
            <w:r>
              <w:rPr>
                <w:rFonts w:hint="eastAsia" w:cs="楷体"/>
                <w:sz w:val="24"/>
                <w:highlight w:val="none"/>
              </w:rPr>
              <w:t>质保期</w:t>
            </w:r>
          </w:p>
        </w:tc>
        <w:tc>
          <w:tcPr>
            <w:tcW w:w="5714" w:type="dxa"/>
            <w:noWrap w:val="0"/>
            <w:vAlign w:val="center"/>
          </w:tcPr>
          <w:p w14:paraId="086DC6E4">
            <w:pPr>
              <w:spacing w:line="360" w:lineRule="auto"/>
              <w:rPr>
                <w:rFonts w:hint="default" w:ascii="宋体" w:hAnsi="宋体" w:eastAsia="宋体"/>
                <w:color w:val="000000"/>
                <w:sz w:val="24"/>
                <w:szCs w:val="20"/>
                <w:highlight w:val="none"/>
                <w:lang w:val="en-US" w:eastAsia="zh-CN"/>
              </w:rPr>
            </w:pPr>
            <w:r>
              <w:rPr>
                <w:rFonts w:hint="eastAsia" w:ascii="宋体" w:hAnsi="宋体"/>
                <w:color w:val="000000"/>
                <w:sz w:val="24"/>
                <w:szCs w:val="20"/>
                <w:highlight w:val="none"/>
                <w:lang w:val="en-US" w:eastAsia="zh-CN"/>
              </w:rPr>
              <w:t>软件3年，硬件1年</w:t>
            </w:r>
          </w:p>
        </w:tc>
      </w:tr>
      <w:tr w14:paraId="32A9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DF9FE1B">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1.3.4</w:t>
            </w:r>
          </w:p>
        </w:tc>
        <w:tc>
          <w:tcPr>
            <w:tcW w:w="2719" w:type="dxa"/>
            <w:noWrap w:val="0"/>
            <w:vAlign w:val="center"/>
          </w:tcPr>
          <w:p w14:paraId="3D1DB994">
            <w:pPr>
              <w:spacing w:line="360" w:lineRule="auto"/>
              <w:jc w:val="center"/>
              <w:rPr>
                <w:rFonts w:cs="楷体"/>
                <w:sz w:val="24"/>
                <w:highlight w:val="none"/>
              </w:rPr>
            </w:pPr>
            <w:r>
              <w:rPr>
                <w:rFonts w:hint="eastAsia" w:ascii="宋体" w:hAnsi="宋体" w:cs="宋体"/>
                <w:sz w:val="24"/>
                <w:highlight w:val="none"/>
              </w:rPr>
              <w:t>质量要求</w:t>
            </w:r>
          </w:p>
        </w:tc>
        <w:tc>
          <w:tcPr>
            <w:tcW w:w="5714" w:type="dxa"/>
            <w:noWrap w:val="0"/>
            <w:vAlign w:val="center"/>
          </w:tcPr>
          <w:p w14:paraId="279CC8BD">
            <w:pPr>
              <w:spacing w:line="360" w:lineRule="auto"/>
              <w:rPr>
                <w:rFonts w:ascii="宋体" w:hAnsi="宋体"/>
                <w:color w:val="000000"/>
                <w:sz w:val="24"/>
                <w:szCs w:val="20"/>
                <w:highlight w:val="none"/>
              </w:rPr>
            </w:pPr>
            <w:r>
              <w:rPr>
                <w:rFonts w:hint="eastAsia" w:ascii="宋体" w:hAnsi="宋体" w:cs="宋体"/>
                <w:sz w:val="24"/>
                <w:highlight w:val="none"/>
              </w:rPr>
              <w:t>符合国家及行业标准需求并满足采购人要求</w:t>
            </w:r>
          </w:p>
        </w:tc>
      </w:tr>
      <w:tr w14:paraId="50F4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5FB0ECB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1.4.1</w:t>
            </w:r>
          </w:p>
        </w:tc>
        <w:tc>
          <w:tcPr>
            <w:tcW w:w="2719" w:type="dxa"/>
            <w:noWrap w:val="0"/>
            <w:vAlign w:val="center"/>
          </w:tcPr>
          <w:p w14:paraId="05102F98">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投标人资格要求</w:t>
            </w:r>
          </w:p>
        </w:tc>
        <w:tc>
          <w:tcPr>
            <w:tcW w:w="5714" w:type="dxa"/>
            <w:noWrap w:val="0"/>
            <w:vAlign w:val="center"/>
          </w:tcPr>
          <w:p w14:paraId="3C690012">
            <w:pPr>
              <w:spacing w:line="360" w:lineRule="auto"/>
              <w:rPr>
                <w:rFonts w:hint="eastAsia" w:ascii="宋体" w:hAnsi="宋体" w:cs="宋体"/>
                <w:color w:val="000000"/>
                <w:kern w:val="10"/>
                <w:sz w:val="24"/>
                <w:highlight w:val="none"/>
              </w:rPr>
            </w:pPr>
            <w:r>
              <w:rPr>
                <w:rFonts w:hint="eastAsia" w:ascii="宋体" w:hAnsi="宋体" w:cs="宋体"/>
                <w:color w:val="000000"/>
                <w:kern w:val="10"/>
                <w:sz w:val="24"/>
                <w:highlight w:val="none"/>
              </w:rPr>
              <w:t>1、满足《中华人民共和国政府采购法》第二十二条规定：</w:t>
            </w:r>
          </w:p>
          <w:p w14:paraId="1F9EFA89">
            <w:pPr>
              <w:spacing w:line="360" w:lineRule="auto"/>
              <w:rPr>
                <w:rFonts w:hint="eastAsia" w:ascii="宋体" w:hAnsi="宋体" w:cs="宋体"/>
                <w:color w:val="000000"/>
                <w:kern w:val="10"/>
                <w:sz w:val="24"/>
                <w:highlight w:val="none"/>
              </w:rPr>
            </w:pPr>
            <w:r>
              <w:rPr>
                <w:rFonts w:hint="eastAsia" w:ascii="宋体" w:hAnsi="宋体" w:cs="宋体"/>
                <w:color w:val="000000"/>
                <w:kern w:val="10"/>
                <w:sz w:val="24"/>
                <w:highlight w:val="none"/>
              </w:rPr>
              <w:t>2、落实政府采购政策满足的资格要求：</w:t>
            </w:r>
            <w:r>
              <w:rPr>
                <w:rFonts w:hint="eastAsia" w:ascii="宋体" w:hAnsi="宋体" w:cs="宋体"/>
                <w:color w:val="000000"/>
                <w:kern w:val="10"/>
                <w:sz w:val="24"/>
                <w:highlight w:val="none"/>
                <w:lang w:val="en-US" w:eastAsia="zh-CN"/>
              </w:rPr>
              <w:t>本项目支持中小型企业发展政策（残疾人福利性企业、监狱企业视同小微企业）、优先采购节能环保产品等政府采购政策。</w:t>
            </w:r>
          </w:p>
          <w:p w14:paraId="6DA44DDC">
            <w:pPr>
              <w:spacing w:line="360" w:lineRule="auto"/>
              <w:rPr>
                <w:rFonts w:hint="eastAsia" w:ascii="宋体" w:hAnsi="宋体" w:cs="宋体"/>
                <w:color w:val="000000"/>
                <w:kern w:val="10"/>
                <w:sz w:val="24"/>
                <w:highlight w:val="none"/>
              </w:rPr>
            </w:pPr>
            <w:r>
              <w:rPr>
                <w:rFonts w:hint="eastAsia" w:ascii="宋体" w:hAnsi="宋体" w:cs="宋体"/>
                <w:color w:val="000000"/>
                <w:kern w:val="10"/>
                <w:sz w:val="24"/>
                <w:highlight w:val="none"/>
              </w:rPr>
              <w:t>3、本项目的特定资格要求</w:t>
            </w:r>
          </w:p>
          <w:p w14:paraId="69144FA5">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lang w:val="en-US" w:eastAsia="zh-CN"/>
              </w:rPr>
              <w:t>3.1</w:t>
            </w:r>
            <w:r>
              <w:rPr>
                <w:rFonts w:hint="eastAsia" w:ascii="宋体" w:hAnsi="宋体" w:cs="宋体"/>
                <w:color w:val="000000"/>
                <w:kern w:val="10"/>
                <w:sz w:val="24"/>
                <w:highlight w:val="none"/>
              </w:rPr>
              <w:t>供应商须具有有效的营业执照；</w:t>
            </w:r>
          </w:p>
          <w:p w14:paraId="04601EBE">
            <w:pPr>
              <w:spacing w:line="360" w:lineRule="auto"/>
              <w:rPr>
                <w:rFonts w:hint="eastAsia" w:ascii="宋体" w:hAnsi="宋体" w:cs="宋体"/>
                <w:color w:val="000000"/>
                <w:kern w:val="10"/>
                <w:sz w:val="24"/>
                <w:highlight w:val="none"/>
              </w:rPr>
            </w:pPr>
            <w:r>
              <w:rPr>
                <w:rFonts w:hint="eastAsia" w:ascii="宋体" w:hAnsi="宋体" w:cs="宋体"/>
                <w:color w:val="000000"/>
                <w:kern w:val="10"/>
                <w:sz w:val="24"/>
                <w:highlight w:val="none"/>
                <w:lang w:val="en-US" w:eastAsia="zh-CN"/>
              </w:rPr>
              <w:t>3.2具有良好的商业信誉和健全的财务会计制度，供应商须提供</w:t>
            </w:r>
            <w:r>
              <w:rPr>
                <w:rFonts w:hint="eastAsia" w:ascii="宋体" w:hAnsi="宋体" w:cs="宋体"/>
                <w:color w:val="000000"/>
                <w:kern w:val="10"/>
                <w:sz w:val="24"/>
                <w:highlight w:val="none"/>
              </w:rPr>
              <w:t>近三年财务审计报告</w:t>
            </w:r>
            <w:r>
              <w:rPr>
                <w:rFonts w:hint="eastAsia" w:ascii="宋体" w:hAnsi="宋体" w:cs="宋体"/>
                <w:color w:val="000000"/>
                <w:kern w:val="10"/>
                <w:sz w:val="24"/>
                <w:highlight w:val="none"/>
                <w:lang w:eastAsia="zh-CN"/>
              </w:rPr>
              <w:t>（</w:t>
            </w:r>
            <w:r>
              <w:rPr>
                <w:rFonts w:hint="eastAsia" w:ascii="宋体" w:hAnsi="宋体" w:cs="宋体"/>
                <w:color w:val="000000"/>
                <w:kern w:val="10"/>
                <w:sz w:val="24"/>
                <w:highlight w:val="none"/>
              </w:rPr>
              <w:t>新成立公司不足一年的以公司成立时间为准</w:t>
            </w:r>
            <w:r>
              <w:rPr>
                <w:rFonts w:hint="eastAsia" w:ascii="宋体" w:hAnsi="宋体" w:cs="宋体"/>
                <w:color w:val="000000"/>
                <w:kern w:val="10"/>
                <w:sz w:val="24"/>
                <w:highlight w:val="none"/>
                <w:lang w:eastAsia="zh-CN"/>
              </w:rPr>
              <w:t>）</w:t>
            </w:r>
            <w:r>
              <w:rPr>
                <w:rFonts w:hint="eastAsia" w:ascii="宋体" w:hAnsi="宋体" w:cs="宋体"/>
                <w:color w:val="000000"/>
                <w:kern w:val="10"/>
                <w:sz w:val="24"/>
                <w:highlight w:val="none"/>
                <w:lang w:val="en-US" w:eastAsia="zh-CN"/>
              </w:rPr>
              <w:t>或基本户银行出具的资信证明等证明文件；</w:t>
            </w:r>
          </w:p>
          <w:p w14:paraId="444FD6F8">
            <w:pPr>
              <w:spacing w:line="360" w:lineRule="auto"/>
              <w:rPr>
                <w:rFonts w:hint="eastAsia" w:ascii="宋体" w:hAnsi="宋体" w:cs="宋体"/>
                <w:color w:val="000000"/>
                <w:kern w:val="10"/>
                <w:sz w:val="24"/>
                <w:highlight w:val="none"/>
              </w:rPr>
            </w:pPr>
            <w:r>
              <w:rPr>
                <w:rFonts w:hint="eastAsia" w:ascii="宋体" w:hAnsi="宋体" w:cs="宋体"/>
                <w:color w:val="000000"/>
                <w:kern w:val="10"/>
                <w:sz w:val="24"/>
                <w:highlight w:val="none"/>
                <w:lang w:val="en-US" w:eastAsia="zh-CN"/>
              </w:rPr>
              <w:t xml:space="preserve">3.3具有履行合同所必需的设备和专业技术能力（自行作出承诺，格式自拟）； </w:t>
            </w:r>
          </w:p>
          <w:p w14:paraId="2794BF01">
            <w:pPr>
              <w:spacing w:line="360" w:lineRule="auto"/>
              <w:rPr>
                <w:rFonts w:hint="eastAsia" w:ascii="宋体" w:hAnsi="宋体" w:cs="宋体"/>
                <w:color w:val="000000"/>
                <w:kern w:val="10"/>
                <w:sz w:val="24"/>
                <w:highlight w:val="none"/>
                <w:lang w:val="en-US" w:eastAsia="zh-CN"/>
              </w:rPr>
            </w:pPr>
            <w:r>
              <w:rPr>
                <w:rFonts w:hint="eastAsia" w:ascii="宋体" w:hAnsi="宋体" w:cs="宋体"/>
                <w:color w:val="000000"/>
                <w:kern w:val="10"/>
                <w:sz w:val="24"/>
                <w:highlight w:val="none"/>
                <w:lang w:val="en-US" w:eastAsia="zh-CN"/>
              </w:rPr>
              <w:t>3.4具有依法缴纳税收和社会保障资金的良好记录（提供2024年01月01日以来任意三个月依法缴纳税收和社会保障金的证明材料；</w:t>
            </w:r>
          </w:p>
          <w:p w14:paraId="452347DA">
            <w:pPr>
              <w:spacing w:line="360" w:lineRule="auto"/>
              <w:rPr>
                <w:rFonts w:hint="eastAsia" w:ascii="宋体" w:hAnsi="宋体" w:cs="宋体"/>
                <w:color w:val="000000"/>
                <w:kern w:val="10"/>
                <w:sz w:val="24"/>
                <w:highlight w:val="none"/>
                <w:lang w:val="en-US" w:eastAsia="zh-CN"/>
              </w:rPr>
            </w:pPr>
            <w:r>
              <w:rPr>
                <w:rFonts w:hint="eastAsia" w:ascii="宋体" w:hAnsi="宋体" w:cs="宋体"/>
                <w:color w:val="000000"/>
                <w:kern w:val="10"/>
                <w:sz w:val="24"/>
                <w:highlight w:val="none"/>
                <w:lang w:val="en-US" w:eastAsia="zh-CN"/>
              </w:rPr>
              <w:t>3.5出具本单位无商业贿赂及无不正当竞争行为的承诺书（自行作出承诺，格式自拟）</w:t>
            </w:r>
          </w:p>
          <w:p w14:paraId="16E5D8EE">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lang w:val="en-US" w:eastAsia="zh-CN"/>
              </w:rPr>
              <w:t>3.6</w:t>
            </w:r>
            <w:r>
              <w:rPr>
                <w:rFonts w:hint="eastAsia" w:ascii="宋体" w:hAnsi="宋体" w:cs="宋体"/>
                <w:color w:val="000000"/>
                <w:kern w:val="10"/>
                <w:sz w:val="24"/>
                <w:highlight w:val="none"/>
              </w:rPr>
              <w:t>参加政府采购活动前3年内在经营活动中没有重大违法记录的书面声明；</w:t>
            </w:r>
          </w:p>
          <w:p w14:paraId="7597CA42">
            <w:pPr>
              <w:spacing w:line="360" w:lineRule="auto"/>
              <w:rPr>
                <w:rFonts w:hint="eastAsia" w:ascii="宋体" w:hAnsi="宋体" w:cs="宋体"/>
                <w:color w:val="000000"/>
                <w:kern w:val="10"/>
                <w:sz w:val="24"/>
                <w:highlight w:val="none"/>
              </w:rPr>
            </w:pPr>
            <w:r>
              <w:rPr>
                <w:rFonts w:hint="eastAsia" w:ascii="宋体" w:hAnsi="宋体" w:cs="宋体"/>
                <w:color w:val="000000"/>
                <w:kern w:val="10"/>
                <w:sz w:val="24"/>
                <w:highlight w:val="none"/>
                <w:lang w:val="en-US" w:eastAsia="zh-CN"/>
              </w:rPr>
              <w:t>3.7</w:t>
            </w:r>
            <w:r>
              <w:rPr>
                <w:rFonts w:hint="eastAsia" w:ascii="宋体" w:hAnsi="宋体" w:cs="宋体"/>
                <w:color w:val="000000"/>
                <w:kern w:val="10"/>
                <w:sz w:val="24"/>
                <w:highlight w:val="none"/>
              </w:rPr>
              <w:t>根据《关于在政府采购活动中查询及使用信用记录有关问题的通知》 (财库[2016]125 号)和豫财购【2016】15 号的规定，企业没有被列入“ 中国执行信息公开网 ”网站的“失信被执行人 ”、“信用中国 ”网站的“重大税收违法失信主体 ”“失信被执行人 ”及“ 中国政府采购网 ”网站的“政府采购严重违法失信行为记录名单 ”（查询渠道：“ 中国执行信息公开网”网站 （http://zxgk.court.gov.cn/shixin ） “ 信 用 中 国 ” 网 站（www.creditchina.gov.cn）、中国政府采购网（www.ccgp.gov.cn）；提供网站的查询信息截图（查询时间自公告发布之日起）。</w:t>
            </w:r>
          </w:p>
          <w:p w14:paraId="79FD94C7">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lang w:val="en-US" w:eastAsia="zh-CN"/>
              </w:rPr>
              <w:t>4</w:t>
            </w:r>
            <w:r>
              <w:rPr>
                <w:rFonts w:hint="eastAsia" w:ascii="宋体" w:hAnsi="宋体" w:cs="宋体"/>
                <w:color w:val="000000"/>
                <w:kern w:val="10"/>
                <w:sz w:val="24"/>
                <w:highlight w:val="none"/>
              </w:rPr>
              <w:t>、本项目不接受联合体投标。</w:t>
            </w:r>
          </w:p>
          <w:p w14:paraId="2F18BBD2">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lang w:val="en-US" w:eastAsia="zh-CN"/>
              </w:rPr>
              <w:t>5</w:t>
            </w:r>
            <w:r>
              <w:rPr>
                <w:rFonts w:hint="eastAsia" w:ascii="宋体" w:hAnsi="宋体" w:cs="宋体"/>
                <w:color w:val="000000"/>
                <w:kern w:val="10"/>
                <w:sz w:val="24"/>
                <w:highlight w:val="none"/>
              </w:rPr>
              <w:t>、本次磋商实行资格后审，资格审查的具体要求见磋商文件。</w:t>
            </w:r>
          </w:p>
        </w:tc>
      </w:tr>
      <w:tr w14:paraId="764B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8BD546F">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1.4.2</w:t>
            </w:r>
          </w:p>
        </w:tc>
        <w:tc>
          <w:tcPr>
            <w:tcW w:w="2719" w:type="dxa"/>
            <w:noWrap w:val="0"/>
            <w:vAlign w:val="center"/>
          </w:tcPr>
          <w:p w14:paraId="2C5F6D86">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是否接受联合体投标</w:t>
            </w:r>
          </w:p>
        </w:tc>
        <w:tc>
          <w:tcPr>
            <w:tcW w:w="5714" w:type="dxa"/>
            <w:noWrap w:val="0"/>
            <w:vAlign w:val="center"/>
          </w:tcPr>
          <w:p w14:paraId="191AD810">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不接受</w:t>
            </w:r>
          </w:p>
        </w:tc>
      </w:tr>
      <w:tr w14:paraId="74A5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B700D65">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1.10.1</w:t>
            </w:r>
          </w:p>
        </w:tc>
        <w:tc>
          <w:tcPr>
            <w:tcW w:w="2719" w:type="dxa"/>
            <w:noWrap w:val="0"/>
            <w:vAlign w:val="center"/>
          </w:tcPr>
          <w:p w14:paraId="7B9965BB">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投标预备会</w:t>
            </w:r>
          </w:p>
        </w:tc>
        <w:tc>
          <w:tcPr>
            <w:tcW w:w="5714" w:type="dxa"/>
            <w:noWrap w:val="0"/>
            <w:vAlign w:val="center"/>
          </w:tcPr>
          <w:p w14:paraId="7C1A6BA4">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不召开</w:t>
            </w:r>
          </w:p>
        </w:tc>
      </w:tr>
      <w:tr w14:paraId="58C0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2E0F5A25">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1.10.2</w:t>
            </w:r>
          </w:p>
        </w:tc>
        <w:tc>
          <w:tcPr>
            <w:tcW w:w="2719" w:type="dxa"/>
            <w:noWrap w:val="0"/>
            <w:vAlign w:val="center"/>
          </w:tcPr>
          <w:p w14:paraId="51031579">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投标人提出问题的截止时间</w:t>
            </w:r>
          </w:p>
        </w:tc>
        <w:tc>
          <w:tcPr>
            <w:tcW w:w="5714" w:type="dxa"/>
            <w:noWrap w:val="0"/>
            <w:vAlign w:val="center"/>
          </w:tcPr>
          <w:p w14:paraId="6B8D6EAA">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各投标人应将质疑问题以书面形式在投标截止</w:t>
            </w:r>
            <w:r>
              <w:rPr>
                <w:rFonts w:hint="eastAsia" w:ascii="宋体" w:hAnsi="宋体" w:cs="宋体"/>
                <w:color w:val="000000"/>
                <w:kern w:val="10"/>
                <w:sz w:val="24"/>
                <w:highlight w:val="none"/>
                <w:lang w:val="en-US" w:eastAsia="zh-CN"/>
              </w:rPr>
              <w:t>5</w:t>
            </w:r>
            <w:r>
              <w:rPr>
                <w:rFonts w:hint="eastAsia" w:ascii="宋体" w:hAnsi="宋体" w:cs="宋体"/>
                <w:color w:val="000000"/>
                <w:kern w:val="10"/>
                <w:sz w:val="24"/>
                <w:highlight w:val="none"/>
              </w:rPr>
              <w:t>天前向采购代理机构提交</w:t>
            </w:r>
            <w:r>
              <w:rPr>
                <w:rFonts w:hint="eastAsia" w:ascii="宋体" w:hAnsi="宋体"/>
                <w:color w:val="000000"/>
                <w:kern w:val="0"/>
                <w:sz w:val="24"/>
                <w:highlight w:val="none"/>
              </w:rPr>
              <w:t>。采购人只对书面问题做出答复，并将答复内容以公告的形式发布</w:t>
            </w:r>
          </w:p>
        </w:tc>
      </w:tr>
      <w:tr w14:paraId="13AF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3678CB78">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1.10.3</w:t>
            </w:r>
          </w:p>
        </w:tc>
        <w:tc>
          <w:tcPr>
            <w:tcW w:w="2719" w:type="dxa"/>
            <w:noWrap w:val="0"/>
            <w:vAlign w:val="center"/>
          </w:tcPr>
          <w:p w14:paraId="0D737191">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招标人书面澄清的时间</w:t>
            </w:r>
          </w:p>
        </w:tc>
        <w:tc>
          <w:tcPr>
            <w:tcW w:w="5714" w:type="dxa"/>
            <w:noWrap w:val="0"/>
            <w:vAlign w:val="center"/>
          </w:tcPr>
          <w:p w14:paraId="366A36E8">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投标截止日</w:t>
            </w:r>
            <w:r>
              <w:rPr>
                <w:rFonts w:hint="eastAsia" w:ascii="宋体" w:hAnsi="宋体" w:cs="宋体"/>
                <w:color w:val="000000"/>
                <w:kern w:val="10"/>
                <w:sz w:val="24"/>
                <w:highlight w:val="none"/>
                <w:lang w:val="en-US" w:eastAsia="zh-CN"/>
              </w:rPr>
              <w:t>5</w:t>
            </w:r>
            <w:r>
              <w:rPr>
                <w:rFonts w:hint="eastAsia" w:ascii="宋体" w:hAnsi="宋体" w:cs="宋体"/>
                <w:color w:val="000000"/>
                <w:kern w:val="10"/>
                <w:sz w:val="24"/>
                <w:highlight w:val="none"/>
              </w:rPr>
              <w:t>天前以书面形式（澄清文件）予以答复</w:t>
            </w:r>
          </w:p>
        </w:tc>
      </w:tr>
      <w:tr w14:paraId="23F6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0"/>
            <w:vAlign w:val="center"/>
          </w:tcPr>
          <w:p w14:paraId="162203C1">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1.11</w:t>
            </w:r>
          </w:p>
        </w:tc>
        <w:tc>
          <w:tcPr>
            <w:tcW w:w="2719" w:type="dxa"/>
            <w:noWrap w:val="0"/>
            <w:vAlign w:val="center"/>
          </w:tcPr>
          <w:p w14:paraId="02221CE0">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分包</w:t>
            </w:r>
          </w:p>
        </w:tc>
        <w:tc>
          <w:tcPr>
            <w:tcW w:w="5714" w:type="dxa"/>
            <w:noWrap w:val="0"/>
            <w:vAlign w:val="center"/>
          </w:tcPr>
          <w:p w14:paraId="4486CBCD">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不允许（转包、分包均不允许）</w:t>
            </w:r>
          </w:p>
        </w:tc>
      </w:tr>
      <w:tr w14:paraId="14AE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37461D91">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1.12</w:t>
            </w:r>
          </w:p>
        </w:tc>
        <w:tc>
          <w:tcPr>
            <w:tcW w:w="2719" w:type="dxa"/>
            <w:noWrap w:val="0"/>
            <w:vAlign w:val="center"/>
          </w:tcPr>
          <w:p w14:paraId="10C21485">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偏离</w:t>
            </w:r>
          </w:p>
        </w:tc>
        <w:tc>
          <w:tcPr>
            <w:tcW w:w="5714" w:type="dxa"/>
            <w:noWrap w:val="0"/>
            <w:vAlign w:val="center"/>
          </w:tcPr>
          <w:p w14:paraId="1D99AF61">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允许</w:t>
            </w:r>
            <w:r>
              <w:rPr>
                <w:rFonts w:hint="eastAsia" w:ascii="宋体" w:hAnsi="宋体" w:cs="宋体"/>
                <w:color w:val="000000"/>
                <w:kern w:val="10"/>
                <w:sz w:val="24"/>
                <w:highlight w:val="none"/>
                <w:lang w:eastAsia="zh-CN"/>
              </w:rPr>
              <w:t>负</w:t>
            </w:r>
            <w:r>
              <w:rPr>
                <w:rFonts w:hint="eastAsia" w:ascii="宋体" w:hAnsi="宋体" w:cs="宋体"/>
                <w:color w:val="000000"/>
                <w:kern w:val="10"/>
                <w:sz w:val="24"/>
                <w:highlight w:val="none"/>
              </w:rPr>
              <w:t>偏离</w:t>
            </w:r>
          </w:p>
        </w:tc>
      </w:tr>
      <w:tr w14:paraId="1A86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9DF64D2">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2.1</w:t>
            </w:r>
          </w:p>
        </w:tc>
        <w:tc>
          <w:tcPr>
            <w:tcW w:w="2719" w:type="dxa"/>
            <w:noWrap w:val="0"/>
            <w:vAlign w:val="center"/>
          </w:tcPr>
          <w:p w14:paraId="723B273B">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构成竞争性磋商文件的其他材料</w:t>
            </w:r>
          </w:p>
        </w:tc>
        <w:tc>
          <w:tcPr>
            <w:tcW w:w="5714" w:type="dxa"/>
            <w:noWrap w:val="0"/>
            <w:vAlign w:val="center"/>
          </w:tcPr>
          <w:p w14:paraId="0AD8D50E">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采购人在招标期间发出的竞争性磋商文件修改、招标答疑纪要、澄清</w:t>
            </w:r>
          </w:p>
        </w:tc>
      </w:tr>
      <w:tr w14:paraId="11D8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992E189">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2.2.1</w:t>
            </w:r>
          </w:p>
        </w:tc>
        <w:tc>
          <w:tcPr>
            <w:tcW w:w="2719" w:type="dxa"/>
            <w:noWrap w:val="0"/>
            <w:vAlign w:val="center"/>
          </w:tcPr>
          <w:p w14:paraId="75A78F4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投标人要求澄清磋商文件的截止时间</w:t>
            </w:r>
          </w:p>
        </w:tc>
        <w:tc>
          <w:tcPr>
            <w:tcW w:w="5714" w:type="dxa"/>
            <w:noWrap w:val="0"/>
            <w:vAlign w:val="center"/>
          </w:tcPr>
          <w:p w14:paraId="7C7AF060">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递交响应性文件截止之日5天前</w:t>
            </w:r>
          </w:p>
        </w:tc>
      </w:tr>
      <w:tr w14:paraId="55CC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54FE66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2.2.2</w:t>
            </w:r>
          </w:p>
        </w:tc>
        <w:tc>
          <w:tcPr>
            <w:tcW w:w="2719" w:type="dxa"/>
            <w:noWrap w:val="0"/>
            <w:vAlign w:val="center"/>
          </w:tcPr>
          <w:p w14:paraId="26440867">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投标截止时间</w:t>
            </w:r>
          </w:p>
        </w:tc>
        <w:tc>
          <w:tcPr>
            <w:tcW w:w="5714" w:type="dxa"/>
            <w:noWrap w:val="0"/>
            <w:vAlign w:val="center"/>
          </w:tcPr>
          <w:p w14:paraId="6BB96309">
            <w:pPr>
              <w:spacing w:line="360" w:lineRule="auto"/>
              <w:rPr>
                <w:rFonts w:ascii="宋体" w:hAnsi="宋体" w:cs="宋体"/>
                <w:color w:val="000000"/>
                <w:kern w:val="10"/>
                <w:sz w:val="24"/>
                <w:highlight w:val="none"/>
              </w:rPr>
            </w:pPr>
            <w:r>
              <w:rPr>
                <w:rFonts w:hint="eastAsia" w:ascii="宋体" w:hAnsi="宋体" w:eastAsia="宋体" w:cs="宋体"/>
                <w:color w:val="000000"/>
                <w:kern w:val="10"/>
                <w:sz w:val="24"/>
                <w:highlight w:val="none"/>
              </w:rPr>
              <w:t>2024年</w:t>
            </w:r>
            <w:r>
              <w:rPr>
                <w:rFonts w:hint="eastAsia" w:ascii="宋体" w:hAnsi="宋体" w:eastAsia="宋体" w:cs="宋体"/>
                <w:color w:val="000000"/>
                <w:kern w:val="10"/>
                <w:sz w:val="24"/>
                <w:highlight w:val="none"/>
                <w:lang w:val="en-US" w:eastAsia="zh-CN"/>
              </w:rPr>
              <w:t>0</w:t>
            </w:r>
            <w:r>
              <w:rPr>
                <w:rFonts w:hint="eastAsia" w:ascii="宋体" w:hAnsi="宋体" w:cs="宋体"/>
                <w:color w:val="000000"/>
                <w:kern w:val="10"/>
                <w:sz w:val="24"/>
                <w:highlight w:val="none"/>
                <w:lang w:val="en-US" w:eastAsia="zh-CN"/>
              </w:rPr>
              <w:t>8</w:t>
            </w:r>
            <w:r>
              <w:rPr>
                <w:rFonts w:hint="eastAsia" w:ascii="宋体" w:hAnsi="宋体" w:eastAsia="宋体" w:cs="宋体"/>
                <w:color w:val="000000"/>
                <w:kern w:val="10"/>
                <w:sz w:val="24"/>
                <w:highlight w:val="none"/>
              </w:rPr>
              <w:t>月</w:t>
            </w:r>
            <w:r>
              <w:rPr>
                <w:rFonts w:hint="eastAsia" w:ascii="宋体" w:hAnsi="宋体" w:cs="宋体"/>
                <w:color w:val="000000"/>
                <w:kern w:val="10"/>
                <w:sz w:val="24"/>
                <w:highlight w:val="none"/>
                <w:lang w:val="en-US" w:eastAsia="zh-CN"/>
              </w:rPr>
              <w:t>29</w:t>
            </w:r>
            <w:r>
              <w:rPr>
                <w:rFonts w:hint="eastAsia" w:ascii="宋体" w:hAnsi="宋体" w:eastAsia="宋体" w:cs="宋体"/>
                <w:color w:val="000000"/>
                <w:kern w:val="10"/>
                <w:sz w:val="24"/>
                <w:highlight w:val="none"/>
              </w:rPr>
              <w:t>日</w:t>
            </w:r>
            <w:r>
              <w:rPr>
                <w:rFonts w:hint="eastAsia" w:ascii="宋体" w:hAnsi="宋体" w:eastAsia="宋体" w:cs="宋体"/>
                <w:color w:val="000000"/>
                <w:kern w:val="10"/>
                <w:sz w:val="24"/>
                <w:highlight w:val="none"/>
                <w:lang w:val="en-US" w:eastAsia="zh-CN"/>
              </w:rPr>
              <w:t>0</w:t>
            </w:r>
            <w:r>
              <w:rPr>
                <w:rFonts w:hint="eastAsia" w:ascii="宋体" w:hAnsi="宋体" w:cs="宋体"/>
                <w:color w:val="000000"/>
                <w:kern w:val="10"/>
                <w:sz w:val="24"/>
                <w:highlight w:val="none"/>
                <w:lang w:val="en-US" w:eastAsia="zh-CN"/>
              </w:rPr>
              <w:t>9</w:t>
            </w:r>
            <w:r>
              <w:rPr>
                <w:rFonts w:hint="eastAsia" w:ascii="宋体" w:hAnsi="宋体" w:eastAsia="宋体" w:cs="宋体"/>
                <w:color w:val="000000"/>
                <w:kern w:val="10"/>
                <w:sz w:val="24"/>
                <w:highlight w:val="none"/>
              </w:rPr>
              <w:t>时</w:t>
            </w:r>
            <w:r>
              <w:rPr>
                <w:rFonts w:hint="eastAsia" w:ascii="宋体" w:hAnsi="宋体" w:cs="宋体"/>
                <w:color w:val="000000"/>
                <w:kern w:val="10"/>
                <w:sz w:val="24"/>
                <w:highlight w:val="none"/>
                <w:lang w:val="en-US" w:eastAsia="zh-CN"/>
              </w:rPr>
              <w:t>0</w:t>
            </w:r>
            <w:r>
              <w:rPr>
                <w:rFonts w:hint="eastAsia" w:ascii="宋体" w:hAnsi="宋体" w:eastAsia="宋体" w:cs="宋体"/>
                <w:color w:val="000000"/>
                <w:kern w:val="10"/>
                <w:sz w:val="24"/>
                <w:highlight w:val="none"/>
              </w:rPr>
              <w:t>0分</w:t>
            </w:r>
          </w:p>
        </w:tc>
      </w:tr>
      <w:tr w14:paraId="44FF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59254D30">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2.2.3</w:t>
            </w:r>
          </w:p>
        </w:tc>
        <w:tc>
          <w:tcPr>
            <w:tcW w:w="2719" w:type="dxa"/>
            <w:noWrap w:val="0"/>
            <w:vAlign w:val="center"/>
          </w:tcPr>
          <w:p w14:paraId="5794FEF1">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投标人确认收到竞争性磋商文件澄清的时间</w:t>
            </w:r>
          </w:p>
        </w:tc>
        <w:tc>
          <w:tcPr>
            <w:tcW w:w="5714" w:type="dxa"/>
            <w:noWrap w:val="0"/>
            <w:vAlign w:val="center"/>
          </w:tcPr>
          <w:p w14:paraId="1F593562">
            <w:pPr>
              <w:spacing w:line="360" w:lineRule="auto"/>
              <w:rPr>
                <w:rFonts w:ascii="宋体" w:hAnsi="宋体" w:cs="宋体"/>
                <w:color w:val="000000"/>
                <w:kern w:val="10"/>
                <w:sz w:val="24"/>
                <w:highlight w:val="none"/>
              </w:rPr>
            </w:pPr>
            <w:r>
              <w:rPr>
                <w:rFonts w:hint="eastAsia" w:ascii="宋体" w:hAnsi="宋体"/>
                <w:color w:val="000000"/>
                <w:sz w:val="24"/>
                <w:highlight w:val="none"/>
              </w:rPr>
              <w:t>收到竞争性磋商文件澄清24小时内</w:t>
            </w:r>
          </w:p>
        </w:tc>
      </w:tr>
      <w:tr w14:paraId="26EF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542623A">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2.3.2</w:t>
            </w:r>
          </w:p>
        </w:tc>
        <w:tc>
          <w:tcPr>
            <w:tcW w:w="2719" w:type="dxa"/>
            <w:noWrap w:val="0"/>
            <w:vAlign w:val="center"/>
          </w:tcPr>
          <w:p w14:paraId="726EC3BF">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投标人确认收到竞争性磋商文件修改的时间</w:t>
            </w:r>
          </w:p>
        </w:tc>
        <w:tc>
          <w:tcPr>
            <w:tcW w:w="5714" w:type="dxa"/>
            <w:noWrap w:val="0"/>
            <w:vAlign w:val="center"/>
          </w:tcPr>
          <w:p w14:paraId="29935770">
            <w:pPr>
              <w:spacing w:line="360" w:lineRule="auto"/>
              <w:rPr>
                <w:rFonts w:ascii="宋体" w:hAnsi="宋体" w:cs="宋体"/>
                <w:color w:val="000000"/>
                <w:kern w:val="10"/>
                <w:sz w:val="24"/>
                <w:highlight w:val="none"/>
              </w:rPr>
            </w:pPr>
            <w:r>
              <w:rPr>
                <w:rFonts w:hint="eastAsia" w:ascii="宋体" w:hAnsi="宋体"/>
                <w:color w:val="000000"/>
                <w:sz w:val="24"/>
                <w:highlight w:val="none"/>
              </w:rPr>
              <w:t>收到竞争性磋商文件澄清24小时内</w:t>
            </w:r>
          </w:p>
        </w:tc>
      </w:tr>
      <w:tr w14:paraId="0CCB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1633B42">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3.1</w:t>
            </w:r>
          </w:p>
        </w:tc>
        <w:tc>
          <w:tcPr>
            <w:tcW w:w="2719" w:type="dxa"/>
            <w:noWrap w:val="0"/>
            <w:vAlign w:val="center"/>
          </w:tcPr>
          <w:p w14:paraId="7493E915">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构成投标文件的其他材料</w:t>
            </w:r>
          </w:p>
        </w:tc>
        <w:tc>
          <w:tcPr>
            <w:tcW w:w="5714" w:type="dxa"/>
            <w:noWrap w:val="0"/>
            <w:vAlign w:val="center"/>
          </w:tcPr>
          <w:p w14:paraId="4DA1E091">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按竞争性磋商文件的要求</w:t>
            </w:r>
          </w:p>
        </w:tc>
      </w:tr>
      <w:tr w14:paraId="11A1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5AD4752F">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3.3.1</w:t>
            </w:r>
          </w:p>
        </w:tc>
        <w:tc>
          <w:tcPr>
            <w:tcW w:w="2719" w:type="dxa"/>
            <w:noWrap w:val="0"/>
            <w:vAlign w:val="center"/>
          </w:tcPr>
          <w:p w14:paraId="19A53D30">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投标有效期</w:t>
            </w:r>
          </w:p>
        </w:tc>
        <w:tc>
          <w:tcPr>
            <w:tcW w:w="5714" w:type="dxa"/>
            <w:noWrap w:val="0"/>
            <w:vAlign w:val="center"/>
          </w:tcPr>
          <w:p w14:paraId="51E5E964">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自投标截止之日起60日历天 </w:t>
            </w:r>
          </w:p>
        </w:tc>
      </w:tr>
      <w:tr w14:paraId="778E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019D94E">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3.4.1</w:t>
            </w:r>
          </w:p>
        </w:tc>
        <w:tc>
          <w:tcPr>
            <w:tcW w:w="2719" w:type="dxa"/>
            <w:noWrap w:val="0"/>
            <w:vAlign w:val="center"/>
          </w:tcPr>
          <w:p w14:paraId="43D22EBF">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磋商保证金</w:t>
            </w:r>
          </w:p>
        </w:tc>
        <w:tc>
          <w:tcPr>
            <w:tcW w:w="5714" w:type="dxa"/>
            <w:noWrap w:val="0"/>
            <w:vAlign w:val="center"/>
          </w:tcPr>
          <w:p w14:paraId="7A8B6A7C">
            <w:pPr>
              <w:spacing w:line="360" w:lineRule="auto"/>
              <w:rPr>
                <w:rFonts w:ascii="宋体" w:hAnsi="宋体"/>
                <w:color w:val="000000"/>
                <w:sz w:val="24"/>
                <w:highlight w:val="none"/>
              </w:rPr>
            </w:pPr>
            <w:r>
              <w:rPr>
                <w:rFonts w:hint="eastAsia" w:ascii="宋体" w:hAnsi="宋体" w:cs="宋体"/>
                <w:bCs/>
                <w:color w:val="000000"/>
                <w:sz w:val="24"/>
                <w:highlight w:val="none"/>
              </w:rPr>
              <w:t>根据《河南省财政厅关于优化政府采购营商环境有关问题的通知》（豫财购【2019】4号）第6条的规定，磋商保证金不再收取。</w:t>
            </w:r>
          </w:p>
        </w:tc>
      </w:tr>
      <w:tr w14:paraId="1962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77EDBC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3.6</w:t>
            </w:r>
          </w:p>
        </w:tc>
        <w:tc>
          <w:tcPr>
            <w:tcW w:w="2719" w:type="dxa"/>
            <w:noWrap w:val="0"/>
            <w:vAlign w:val="center"/>
          </w:tcPr>
          <w:p w14:paraId="3F584742">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是否允许递交备选投标方案</w:t>
            </w:r>
          </w:p>
        </w:tc>
        <w:tc>
          <w:tcPr>
            <w:tcW w:w="5714" w:type="dxa"/>
            <w:noWrap w:val="0"/>
            <w:vAlign w:val="center"/>
          </w:tcPr>
          <w:p w14:paraId="6E7FB1B4">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不允许</w:t>
            </w:r>
          </w:p>
        </w:tc>
      </w:tr>
      <w:tr w14:paraId="5274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939BEE3">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3.7.3</w:t>
            </w:r>
          </w:p>
        </w:tc>
        <w:tc>
          <w:tcPr>
            <w:tcW w:w="2719" w:type="dxa"/>
            <w:noWrap w:val="0"/>
            <w:vAlign w:val="center"/>
          </w:tcPr>
          <w:p w14:paraId="06833BC8">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签字或盖章要求</w:t>
            </w:r>
          </w:p>
        </w:tc>
        <w:tc>
          <w:tcPr>
            <w:tcW w:w="5714" w:type="dxa"/>
            <w:noWrap w:val="0"/>
            <w:vAlign w:val="center"/>
          </w:tcPr>
          <w:p w14:paraId="7A46754E">
            <w:pPr>
              <w:spacing w:line="360" w:lineRule="auto"/>
              <w:rPr>
                <w:rFonts w:ascii="宋体" w:hAnsi="宋体" w:cs="宋体"/>
                <w:color w:val="000000"/>
                <w:sz w:val="24"/>
                <w:highlight w:val="none"/>
              </w:rPr>
            </w:pPr>
            <w:r>
              <w:rPr>
                <w:rFonts w:hint="eastAsia" w:ascii="宋体" w:hAnsi="宋体" w:cs="宋体"/>
                <w:color w:val="000000"/>
                <w:sz w:val="24"/>
                <w:highlight w:val="none"/>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5A1669D1">
            <w:pPr>
              <w:spacing w:line="360" w:lineRule="auto"/>
              <w:rPr>
                <w:rFonts w:ascii="宋体" w:hAnsi="宋体" w:cs="宋体"/>
                <w:color w:val="000000"/>
                <w:sz w:val="24"/>
                <w:highlight w:val="none"/>
              </w:rPr>
            </w:pPr>
            <w:r>
              <w:rPr>
                <w:rFonts w:hint="eastAsia" w:ascii="宋体" w:hAnsi="宋体" w:cs="宋体"/>
                <w:color w:val="000000"/>
                <w:sz w:val="24"/>
                <w:highlight w:val="none"/>
              </w:rPr>
              <w:t>2、投标人在进行电子化投标文件签章时，磋商文件中要求投标人盖章的，以签盖单位章为准；要求法定代表人或授权代理人签章的，以签盖法定代表人签章为准。</w:t>
            </w:r>
          </w:p>
          <w:p w14:paraId="0F21CA2E">
            <w:pPr>
              <w:spacing w:line="360" w:lineRule="auto"/>
              <w:rPr>
                <w:rFonts w:ascii="宋体" w:hAnsi="宋体" w:cs="宋体"/>
                <w:color w:val="000000"/>
                <w:kern w:val="10"/>
                <w:sz w:val="24"/>
                <w:highlight w:val="none"/>
              </w:rPr>
            </w:pPr>
            <w:r>
              <w:rPr>
                <w:rFonts w:hint="eastAsia" w:ascii="宋体" w:hAnsi="宋体" w:cs="宋体"/>
                <w:color w:val="000000"/>
                <w:sz w:val="24"/>
                <w:highlight w:val="none"/>
              </w:rPr>
              <w:t>3、电子化投标文件工具请点击（</w:t>
            </w:r>
            <w:r>
              <w:rPr>
                <w:rFonts w:hint="eastAsia" w:ascii="宋体" w:hAnsi="宋体" w:eastAsia="宋体" w:cs="宋体"/>
                <w:color w:val="auto"/>
                <w:spacing w:val="1"/>
                <w:kern w:val="0"/>
                <w:sz w:val="24"/>
                <w:szCs w:val="24"/>
                <w:highlight w:val="none"/>
                <w:lang w:eastAsia="zh-CN"/>
              </w:rPr>
              <w:t>http://gzjy.smx.gov.cn/bzzx/008002/moreinfo.html</w:t>
            </w:r>
            <w:r>
              <w:rPr>
                <w:rFonts w:hint="eastAsia" w:ascii="宋体" w:hAnsi="宋体" w:cs="宋体"/>
                <w:color w:val="000000"/>
                <w:sz w:val="24"/>
                <w:highlight w:val="none"/>
              </w:rPr>
              <w:t>）进行下载。</w:t>
            </w:r>
          </w:p>
        </w:tc>
      </w:tr>
      <w:tr w14:paraId="58A5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5D124ADA">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5.1</w:t>
            </w:r>
          </w:p>
        </w:tc>
        <w:tc>
          <w:tcPr>
            <w:tcW w:w="2719" w:type="dxa"/>
            <w:noWrap w:val="0"/>
            <w:vAlign w:val="center"/>
          </w:tcPr>
          <w:p w14:paraId="29A58876">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开标地点</w:t>
            </w:r>
          </w:p>
        </w:tc>
        <w:tc>
          <w:tcPr>
            <w:tcW w:w="5714" w:type="dxa"/>
            <w:noWrap w:val="0"/>
            <w:vAlign w:val="center"/>
          </w:tcPr>
          <w:p w14:paraId="48688A14">
            <w:pPr>
              <w:spacing w:line="360" w:lineRule="auto"/>
              <w:rPr>
                <w:rFonts w:ascii="宋体" w:hAnsi="宋体" w:cs="宋体"/>
                <w:color w:val="000000"/>
                <w:kern w:val="10"/>
                <w:sz w:val="24"/>
                <w:highlight w:val="none"/>
              </w:rPr>
            </w:pPr>
            <w:r>
              <w:rPr>
                <w:rFonts w:hint="eastAsia" w:ascii="宋体" w:hAnsi="宋体" w:cs="宋体"/>
                <w:sz w:val="24"/>
                <w:highlight w:val="none"/>
              </w:rPr>
              <w:t>灵宝市公共资源交易中心开标</w:t>
            </w:r>
            <w:r>
              <w:rPr>
                <w:rFonts w:hint="eastAsia" w:ascii="宋体" w:hAnsi="宋体" w:cs="宋体"/>
                <w:sz w:val="24"/>
                <w:highlight w:val="none"/>
                <w:lang w:eastAsia="zh-CN"/>
              </w:rPr>
              <w:t>一</w:t>
            </w:r>
            <w:r>
              <w:rPr>
                <w:rFonts w:hint="eastAsia" w:ascii="宋体" w:hAnsi="宋体" w:cs="宋体"/>
                <w:sz w:val="24"/>
                <w:highlight w:val="none"/>
              </w:rPr>
              <w:t>室</w:t>
            </w:r>
            <w:r>
              <w:rPr>
                <w:rFonts w:hint="eastAsia" w:ascii="宋体" w:hAnsi="宋体" w:cs="宋体"/>
                <w:sz w:val="24"/>
                <w:highlight w:val="none"/>
                <w:lang w:eastAsia="zh-CN"/>
              </w:rPr>
              <w:t>、</w:t>
            </w:r>
            <w:r>
              <w:rPr>
                <w:rFonts w:hint="eastAsia" w:ascii="宋体" w:hAnsi="宋体" w:cs="宋体"/>
                <w:sz w:val="24"/>
                <w:highlight w:val="none"/>
                <w:lang w:val="en-US" w:eastAsia="zh-CN"/>
              </w:rPr>
              <w:t>评标二室</w:t>
            </w:r>
          </w:p>
        </w:tc>
      </w:tr>
      <w:tr w14:paraId="454E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1246834">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5.2</w:t>
            </w:r>
          </w:p>
        </w:tc>
        <w:tc>
          <w:tcPr>
            <w:tcW w:w="2719" w:type="dxa"/>
            <w:noWrap w:val="0"/>
            <w:vAlign w:val="center"/>
          </w:tcPr>
          <w:p w14:paraId="3FCDF70E">
            <w:pPr>
              <w:spacing w:line="360" w:lineRule="auto"/>
              <w:jc w:val="center"/>
              <w:rPr>
                <w:rFonts w:ascii="宋体" w:hAnsi="宋体" w:cs="宋体"/>
                <w:color w:val="000000"/>
                <w:kern w:val="10"/>
                <w:sz w:val="24"/>
                <w:highlight w:val="none"/>
              </w:rPr>
            </w:pPr>
            <w:r>
              <w:rPr>
                <w:rFonts w:hint="eastAsia" w:ascii="宋体" w:hAnsi="宋体"/>
                <w:color w:val="000000"/>
                <w:kern w:val="0"/>
                <w:sz w:val="24"/>
                <w:highlight w:val="none"/>
              </w:rPr>
              <w:t>开标顺序</w:t>
            </w:r>
          </w:p>
        </w:tc>
        <w:tc>
          <w:tcPr>
            <w:tcW w:w="5714" w:type="dxa"/>
            <w:noWrap w:val="0"/>
            <w:vAlign w:val="center"/>
          </w:tcPr>
          <w:p w14:paraId="156835FA">
            <w:pPr>
              <w:spacing w:line="360" w:lineRule="auto"/>
              <w:jc w:val="left"/>
              <w:rPr>
                <w:rFonts w:ascii="宋体" w:hAnsi="宋体"/>
                <w:color w:val="000000"/>
                <w:sz w:val="24"/>
                <w:highlight w:val="none"/>
              </w:rPr>
            </w:pPr>
            <w:r>
              <w:rPr>
                <w:rFonts w:hint="eastAsia" w:ascii="宋体" w:hAnsi="宋体"/>
                <w:color w:val="000000"/>
                <w:sz w:val="24"/>
                <w:highlight w:val="none"/>
              </w:rPr>
              <w:t>1）开标当日，投标人无需到开标现场参加开标会议，投标人应当在投标截止时间前，登陆不见面开标大厅选择登陆三门峡市公共资源电子招投标系统进行登陆（网址为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highlight w:val="none"/>
              </w:rPr>
              <w:t>http://120.194.249.36:10094/BidOpening/bidopeninghallaction/hall/login</w:t>
            </w:r>
            <w:r>
              <w:rPr>
                <w:rFonts w:hint="eastAsia" w:ascii="宋体" w:hAnsi="宋体"/>
                <w:color w:val="000000"/>
                <w:sz w:val="24"/>
                <w:highlight w:val="none"/>
              </w:rPr>
              <w:t>）,在线准时参加开标活动并进行响应性文件解密等</w:t>
            </w:r>
          </w:p>
          <w:p w14:paraId="16D02ADD">
            <w:pPr>
              <w:spacing w:line="360" w:lineRule="auto"/>
              <w:jc w:val="left"/>
              <w:rPr>
                <w:rFonts w:ascii="宋体" w:hAnsi="宋体"/>
                <w:color w:val="000000"/>
                <w:sz w:val="24"/>
                <w:highlight w:val="none"/>
              </w:rPr>
            </w:pPr>
            <w:r>
              <w:rPr>
                <w:rFonts w:hint="eastAsia" w:ascii="宋体" w:hAnsi="宋体"/>
                <w:color w:val="000000"/>
                <w:sz w:val="24"/>
                <w:highlight w:val="none"/>
              </w:rPr>
              <w:t>（2）电子化响应性文件采用一次加密方式。开标时，由投标人使用CA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71717342">
            <w:pPr>
              <w:spacing w:line="360" w:lineRule="auto"/>
              <w:rPr>
                <w:rFonts w:ascii="宋体" w:hAnsi="宋体"/>
                <w:sz w:val="24"/>
                <w:highlight w:val="none"/>
              </w:rPr>
            </w:pPr>
            <w:r>
              <w:rPr>
                <w:rFonts w:hint="eastAsia" w:ascii="宋体" w:hAnsi="宋体"/>
                <w:color w:val="000000"/>
                <w:sz w:val="24"/>
                <w:highlight w:val="none"/>
              </w:rPr>
              <w:t>（3）开标结束后，采购人或采购代理机构应当依法对投标人的资格进行审查，合格的投标人不足三家的，不得评标。</w:t>
            </w:r>
          </w:p>
        </w:tc>
      </w:tr>
      <w:tr w14:paraId="78F8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FDC9995">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6.1.1</w:t>
            </w:r>
          </w:p>
        </w:tc>
        <w:tc>
          <w:tcPr>
            <w:tcW w:w="2719" w:type="dxa"/>
            <w:noWrap w:val="0"/>
            <w:vAlign w:val="center"/>
          </w:tcPr>
          <w:p w14:paraId="4E479577">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磋商小组的组建</w:t>
            </w:r>
          </w:p>
        </w:tc>
        <w:tc>
          <w:tcPr>
            <w:tcW w:w="5714" w:type="dxa"/>
            <w:noWrap w:val="0"/>
            <w:vAlign w:val="center"/>
          </w:tcPr>
          <w:p w14:paraId="4A2E938C">
            <w:pPr>
              <w:spacing w:line="360" w:lineRule="auto"/>
              <w:rPr>
                <w:rFonts w:ascii="宋体" w:hAnsi="宋体" w:cs="宋体"/>
                <w:color w:val="000000"/>
                <w:kern w:val="10"/>
                <w:sz w:val="24"/>
                <w:highlight w:val="none"/>
              </w:rPr>
            </w:pPr>
            <w:r>
              <w:rPr>
                <w:rFonts w:ascii="宋体" w:hAnsi="宋体" w:cs="宋体"/>
                <w:color w:val="000000"/>
                <w:kern w:val="10"/>
                <w:sz w:val="24"/>
                <w:highlight w:val="none"/>
              </w:rPr>
              <w:t>磋商小组</w:t>
            </w:r>
            <w:r>
              <w:rPr>
                <w:rFonts w:hint="eastAsia" w:ascii="宋体" w:hAnsi="宋体" w:cs="宋体"/>
                <w:color w:val="000000"/>
                <w:kern w:val="10"/>
                <w:sz w:val="24"/>
                <w:highlight w:val="none"/>
              </w:rPr>
              <w:t>构成：专家3人；</w:t>
            </w:r>
          </w:p>
          <w:p w14:paraId="0F5D2901">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评标专家确定方式：采购人代表1人，经济、技术专家2人，开标前从相关评标专家库中随机抽取确定；</w:t>
            </w:r>
          </w:p>
          <w:p w14:paraId="2132E458">
            <w:pPr>
              <w:spacing w:line="360" w:lineRule="auto"/>
              <w:rPr>
                <w:rFonts w:ascii="宋体" w:hAnsi="宋体" w:cs="宋体"/>
                <w:color w:val="000000"/>
                <w:kern w:val="10"/>
                <w:sz w:val="24"/>
                <w:highlight w:val="none"/>
              </w:rPr>
            </w:pPr>
            <w:r>
              <w:rPr>
                <w:rFonts w:ascii="宋体" w:hAnsi="宋体" w:cs="宋体"/>
                <w:color w:val="000000"/>
                <w:kern w:val="10"/>
                <w:sz w:val="24"/>
                <w:highlight w:val="none"/>
              </w:rPr>
              <w:t>评标专家确定方式</w:t>
            </w:r>
            <w:r>
              <w:rPr>
                <w:rFonts w:hint="eastAsia" w:ascii="宋体" w:hAnsi="宋体" w:cs="宋体"/>
                <w:color w:val="000000"/>
                <w:kern w:val="10"/>
                <w:sz w:val="24"/>
                <w:highlight w:val="none"/>
              </w:rPr>
              <w:t>：从相关专家库中抽取。</w:t>
            </w:r>
          </w:p>
        </w:tc>
      </w:tr>
      <w:tr w14:paraId="2E36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288ED571">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7.1</w:t>
            </w:r>
          </w:p>
        </w:tc>
        <w:tc>
          <w:tcPr>
            <w:tcW w:w="2719" w:type="dxa"/>
            <w:noWrap w:val="0"/>
            <w:vAlign w:val="center"/>
          </w:tcPr>
          <w:p w14:paraId="23906CC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是否授权磋商小组确定中标单位</w:t>
            </w:r>
          </w:p>
        </w:tc>
        <w:tc>
          <w:tcPr>
            <w:tcW w:w="5714" w:type="dxa"/>
            <w:noWrap w:val="0"/>
            <w:vAlign w:val="center"/>
          </w:tcPr>
          <w:p w14:paraId="1A4A7BA3">
            <w:pPr>
              <w:spacing w:line="360" w:lineRule="auto"/>
              <w:rPr>
                <w:rFonts w:ascii="宋体" w:hAnsi="宋体" w:cs="宋体"/>
                <w:color w:val="000000"/>
                <w:kern w:val="10"/>
                <w:sz w:val="24"/>
                <w:highlight w:val="none"/>
              </w:rPr>
            </w:pPr>
            <w:r>
              <w:rPr>
                <w:rFonts w:hint="eastAsia" w:ascii="宋体" w:hAnsi="宋体" w:cs="宋体"/>
                <w:color w:val="000000"/>
                <w:sz w:val="24"/>
                <w:highlight w:val="none"/>
              </w:rPr>
              <w:t>■否</w:t>
            </w:r>
            <w:r>
              <w:rPr>
                <w:rFonts w:hint="eastAsia" w:ascii="宋体" w:hAnsi="宋体" w:cs="宋体"/>
                <w:color w:val="000000"/>
                <w:kern w:val="10"/>
                <w:sz w:val="24"/>
                <w:highlight w:val="none"/>
              </w:rPr>
              <w:t>，</w:t>
            </w:r>
            <w:r>
              <w:rPr>
                <w:rFonts w:ascii="宋体" w:hAnsi="宋体" w:cs="宋体"/>
                <w:color w:val="000000"/>
                <w:kern w:val="10"/>
                <w:sz w:val="24"/>
                <w:highlight w:val="none"/>
              </w:rPr>
              <w:t>推荐</w:t>
            </w:r>
            <w:r>
              <w:rPr>
                <w:rFonts w:hint="eastAsia" w:ascii="宋体" w:hAnsi="宋体" w:cs="宋体"/>
                <w:color w:val="000000"/>
                <w:kern w:val="10"/>
                <w:sz w:val="24"/>
                <w:highlight w:val="none"/>
              </w:rPr>
              <w:t>3名</w:t>
            </w:r>
            <w:r>
              <w:rPr>
                <w:rFonts w:ascii="宋体" w:hAnsi="宋体" w:cs="宋体"/>
                <w:color w:val="000000"/>
                <w:kern w:val="10"/>
                <w:sz w:val="24"/>
                <w:highlight w:val="none"/>
              </w:rPr>
              <w:t>中标候选人</w:t>
            </w:r>
          </w:p>
          <w:p w14:paraId="7E4EBD50">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采购人确定磋商小组推荐的排名第一的中标候选人为中标人。排名第一的中标候选人放弃中标、因不可抗力不能履行合同，或者被查实存在影响中标结果的违法行为等情形，不符合中标条件的，采购人可以按照磋商小组提出的中标候选人名单排序依次确定其他中标候选人为中标人，也可以重新招标。</w:t>
            </w:r>
          </w:p>
        </w:tc>
      </w:tr>
      <w:tr w14:paraId="619C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499" w:type="dxa"/>
            <w:gridSpan w:val="3"/>
            <w:noWrap w:val="0"/>
            <w:vAlign w:val="center"/>
          </w:tcPr>
          <w:p w14:paraId="6E213BAF">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需要补充的其他内容</w:t>
            </w:r>
          </w:p>
        </w:tc>
      </w:tr>
      <w:tr w14:paraId="24FC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685F15DC">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w:t>
            </w:r>
          </w:p>
        </w:tc>
        <w:tc>
          <w:tcPr>
            <w:tcW w:w="2719" w:type="dxa"/>
            <w:noWrap w:val="0"/>
            <w:vAlign w:val="center"/>
          </w:tcPr>
          <w:p w14:paraId="56C85C83">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付款方式及时间</w:t>
            </w:r>
          </w:p>
        </w:tc>
        <w:tc>
          <w:tcPr>
            <w:tcW w:w="5714" w:type="dxa"/>
            <w:noWrap w:val="0"/>
            <w:vAlign w:val="center"/>
          </w:tcPr>
          <w:p w14:paraId="72BDA425">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甲乙双方协商确定</w:t>
            </w:r>
          </w:p>
        </w:tc>
      </w:tr>
      <w:tr w14:paraId="076C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2FF64D8">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2</w:t>
            </w:r>
          </w:p>
        </w:tc>
        <w:tc>
          <w:tcPr>
            <w:tcW w:w="2719" w:type="dxa"/>
            <w:noWrap w:val="0"/>
            <w:vAlign w:val="center"/>
          </w:tcPr>
          <w:p w14:paraId="1AB43A59">
            <w:pPr>
              <w:spacing w:line="360" w:lineRule="auto"/>
              <w:jc w:val="center"/>
              <w:rPr>
                <w:rFonts w:ascii="宋体" w:hAnsi="宋体" w:cs="宋体"/>
                <w:bCs/>
                <w:color w:val="000000"/>
                <w:spacing w:val="-6"/>
                <w:sz w:val="24"/>
                <w:highlight w:val="none"/>
              </w:rPr>
            </w:pPr>
            <w:r>
              <w:rPr>
                <w:rFonts w:hint="eastAsia" w:ascii="宋体" w:hAnsi="宋体" w:cs="宋体"/>
                <w:bCs/>
                <w:color w:val="000000"/>
                <w:spacing w:val="11"/>
                <w:sz w:val="24"/>
                <w:highlight w:val="none"/>
              </w:rPr>
              <w:t>履约担保</w:t>
            </w:r>
          </w:p>
        </w:tc>
        <w:tc>
          <w:tcPr>
            <w:tcW w:w="5714" w:type="dxa"/>
            <w:noWrap w:val="0"/>
            <w:vAlign w:val="center"/>
          </w:tcPr>
          <w:p w14:paraId="41E46321">
            <w:pPr>
              <w:spacing w:line="360" w:lineRule="auto"/>
              <w:rPr>
                <w:rFonts w:ascii="宋体" w:hAnsi="宋体" w:cs="宋体"/>
                <w:color w:val="000000"/>
                <w:kern w:val="10"/>
                <w:sz w:val="24"/>
                <w:highlight w:val="none"/>
              </w:rPr>
            </w:pPr>
            <w:r>
              <w:rPr>
                <w:rFonts w:hint="eastAsia" w:ascii="宋体" w:hAnsi="宋体" w:cs="宋体"/>
                <w:color w:val="000000"/>
                <w:sz w:val="24"/>
                <w:highlight w:val="none"/>
              </w:rPr>
              <w:t>根据三门峡市财政局《关于进一步优化提升政府采购营商环境有关事项通知》三财购【2021】14号文件，该项目不收取履约保证金。</w:t>
            </w:r>
          </w:p>
        </w:tc>
      </w:tr>
      <w:tr w14:paraId="7C2D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861E691">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3</w:t>
            </w:r>
          </w:p>
        </w:tc>
        <w:tc>
          <w:tcPr>
            <w:tcW w:w="2719" w:type="dxa"/>
            <w:noWrap w:val="0"/>
            <w:vAlign w:val="center"/>
          </w:tcPr>
          <w:p w14:paraId="56082E8B">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采购预算价</w:t>
            </w:r>
          </w:p>
        </w:tc>
        <w:tc>
          <w:tcPr>
            <w:tcW w:w="5714" w:type="dxa"/>
            <w:noWrap w:val="0"/>
            <w:vAlign w:val="center"/>
          </w:tcPr>
          <w:p w14:paraId="22F00A83">
            <w:pPr>
              <w:spacing w:line="360" w:lineRule="auto"/>
              <w:rPr>
                <w:rFonts w:ascii="宋体" w:hAnsi="宋体" w:cs="宋体"/>
                <w:color w:val="000000"/>
                <w:sz w:val="24"/>
                <w:highlight w:val="none"/>
              </w:rPr>
            </w:pPr>
            <w:r>
              <w:rPr>
                <w:rFonts w:hint="eastAsia" w:ascii="宋体" w:hAnsi="宋体" w:cs="宋体"/>
                <w:color w:val="000000"/>
                <w:sz w:val="24"/>
                <w:highlight w:val="none"/>
              </w:rPr>
              <w:t>预算金额：</w:t>
            </w:r>
            <w:r>
              <w:rPr>
                <w:rFonts w:hint="eastAsia" w:ascii="宋体" w:hAnsi="宋体" w:cs="宋体"/>
                <w:color w:val="000000"/>
                <w:sz w:val="24"/>
                <w:highlight w:val="none"/>
                <w:lang w:eastAsia="zh-CN"/>
              </w:rPr>
              <w:t>847770.00</w:t>
            </w:r>
            <w:r>
              <w:rPr>
                <w:rFonts w:hint="eastAsia" w:ascii="宋体" w:hAnsi="宋体" w:cs="宋体"/>
                <w:color w:val="000000"/>
                <w:sz w:val="24"/>
                <w:highlight w:val="none"/>
              </w:rPr>
              <w:t>元；</w:t>
            </w:r>
          </w:p>
          <w:p w14:paraId="725C0FD6">
            <w:pPr>
              <w:spacing w:line="360" w:lineRule="auto"/>
              <w:rPr>
                <w:rFonts w:hint="eastAsia" w:ascii="宋体" w:hAnsi="宋体" w:eastAsia="宋体" w:cs="宋体"/>
                <w:color w:val="000000"/>
                <w:kern w:val="10"/>
                <w:sz w:val="24"/>
                <w:highlight w:val="none"/>
                <w:lang w:val="en-US" w:eastAsia="zh-CN"/>
              </w:rPr>
            </w:pPr>
            <w:r>
              <w:rPr>
                <w:rFonts w:hint="eastAsia" w:ascii="宋体" w:hAnsi="宋体" w:cs="宋体"/>
                <w:color w:val="000000"/>
                <w:sz w:val="24"/>
                <w:highlight w:val="none"/>
              </w:rPr>
              <w:t>响应人投标报价超出采购预算价的，视为</w:t>
            </w:r>
            <w:r>
              <w:rPr>
                <w:rFonts w:hint="eastAsia" w:ascii="宋体" w:hAnsi="宋体" w:cs="宋体"/>
                <w:color w:val="000000"/>
                <w:sz w:val="24"/>
                <w:highlight w:val="none"/>
                <w:lang w:eastAsia="zh-CN"/>
              </w:rPr>
              <w:t>无效投标。</w:t>
            </w:r>
          </w:p>
        </w:tc>
      </w:tr>
      <w:tr w14:paraId="0322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4F2B84AF">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4</w:t>
            </w:r>
          </w:p>
        </w:tc>
        <w:tc>
          <w:tcPr>
            <w:tcW w:w="2719" w:type="dxa"/>
            <w:noWrap w:val="0"/>
            <w:vAlign w:val="center"/>
          </w:tcPr>
          <w:p w14:paraId="29F20C63">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是否提供样品</w:t>
            </w:r>
          </w:p>
        </w:tc>
        <w:tc>
          <w:tcPr>
            <w:tcW w:w="5714" w:type="dxa"/>
            <w:noWrap w:val="0"/>
            <w:vAlign w:val="center"/>
          </w:tcPr>
          <w:p w14:paraId="50A7F3C0">
            <w:pPr>
              <w:spacing w:line="360" w:lineRule="auto"/>
              <w:rPr>
                <w:rFonts w:ascii="宋体" w:hAnsi="宋体" w:cs="宋体"/>
                <w:color w:val="000000"/>
                <w:kern w:val="10"/>
                <w:sz w:val="24"/>
                <w:highlight w:val="none"/>
              </w:rPr>
            </w:pPr>
            <w:r>
              <w:rPr>
                <w:rFonts w:hint="eastAsia" w:ascii="宋体" w:hAnsi="宋体"/>
                <w:color w:val="000000"/>
                <w:sz w:val="24"/>
                <w:highlight w:val="none"/>
              </w:rPr>
              <w:t>否</w:t>
            </w:r>
          </w:p>
        </w:tc>
      </w:tr>
      <w:tr w14:paraId="11F1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7A426AB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5</w:t>
            </w:r>
          </w:p>
        </w:tc>
        <w:tc>
          <w:tcPr>
            <w:tcW w:w="2719" w:type="dxa"/>
            <w:noWrap w:val="0"/>
            <w:vAlign w:val="center"/>
          </w:tcPr>
          <w:p w14:paraId="367D19AE">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报价方式</w:t>
            </w:r>
          </w:p>
        </w:tc>
        <w:tc>
          <w:tcPr>
            <w:tcW w:w="5714" w:type="dxa"/>
            <w:noWrap w:val="0"/>
            <w:vAlign w:val="center"/>
          </w:tcPr>
          <w:p w14:paraId="43B78D7C">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1、本次磋商应以人民币报价。</w:t>
            </w:r>
          </w:p>
          <w:p w14:paraId="7895E2B3">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2、本次磋商中，磋商响应文件中的报价为第一次报价，</w:t>
            </w:r>
            <w:r>
              <w:rPr>
                <w:rFonts w:hint="eastAsia"/>
                <w:color w:val="000000"/>
                <w:sz w:val="24"/>
                <w:highlight w:val="none"/>
              </w:rPr>
              <w:t>不得高于项目预算金额且不公开；</w:t>
            </w:r>
          </w:p>
          <w:p w14:paraId="69B27110">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3、磋商投标人可以在磋商小组规定的时间内进行第二次报价，通过交易中心系统以电子形式递交，第二次报价为最终报价；</w:t>
            </w:r>
            <w:r>
              <w:rPr>
                <w:rFonts w:hint="eastAsia" w:ascii="宋体" w:hAnsi="宋体" w:cs="宋体"/>
                <w:bCs/>
                <w:color w:val="000000"/>
                <w:kern w:val="0"/>
                <w:sz w:val="24"/>
                <w:highlight w:val="none"/>
              </w:rPr>
              <w:t>第二轮报价不得高于第一轮报价。</w:t>
            </w:r>
          </w:p>
          <w:p w14:paraId="5F074B7E">
            <w:pPr>
              <w:spacing w:line="360" w:lineRule="auto"/>
              <w:rPr>
                <w:rFonts w:ascii="宋体" w:hAnsi="宋体" w:cs="宋体"/>
                <w:color w:val="000000"/>
                <w:sz w:val="24"/>
                <w:highlight w:val="none"/>
              </w:rPr>
            </w:pPr>
            <w:r>
              <w:rPr>
                <w:rFonts w:hint="eastAsia" w:ascii="宋体" w:hAnsi="宋体" w:cs="宋体"/>
                <w:color w:val="000000"/>
                <w:kern w:val="0"/>
                <w:sz w:val="24"/>
                <w:highlight w:val="none"/>
              </w:rPr>
              <w:t>4、最后一轮报价超过磋商控制价的为无效报价。申请单位的最后一轮报价均超过磋商控制价，采购人不能支付的，本项目磋商废止。</w:t>
            </w:r>
          </w:p>
        </w:tc>
      </w:tr>
      <w:tr w14:paraId="797C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31613469">
            <w:pPr>
              <w:spacing w:line="360" w:lineRule="auto"/>
              <w:jc w:val="center"/>
              <w:rPr>
                <w:rFonts w:hint="eastAsia" w:ascii="宋体" w:hAnsi="宋体" w:eastAsia="宋体" w:cs="宋体"/>
                <w:color w:val="000000"/>
                <w:kern w:val="10"/>
                <w:sz w:val="24"/>
                <w:highlight w:val="none"/>
                <w:lang w:eastAsia="zh-CN"/>
              </w:rPr>
            </w:pPr>
            <w:r>
              <w:rPr>
                <w:rFonts w:hint="eastAsia" w:ascii="宋体" w:hAnsi="宋体" w:cs="宋体"/>
                <w:color w:val="000000"/>
                <w:kern w:val="10"/>
                <w:sz w:val="24"/>
                <w:highlight w:val="none"/>
                <w:lang w:val="en-US" w:eastAsia="zh-CN"/>
              </w:rPr>
              <w:t>6</w:t>
            </w:r>
          </w:p>
        </w:tc>
        <w:tc>
          <w:tcPr>
            <w:tcW w:w="2719" w:type="dxa"/>
            <w:noWrap w:val="0"/>
            <w:vAlign w:val="center"/>
          </w:tcPr>
          <w:p w14:paraId="386DF6B8">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投标无效条款</w:t>
            </w:r>
          </w:p>
        </w:tc>
        <w:tc>
          <w:tcPr>
            <w:tcW w:w="5714" w:type="dxa"/>
            <w:noWrap w:val="0"/>
            <w:vAlign w:val="center"/>
          </w:tcPr>
          <w:p w14:paraId="0A66EBCA">
            <w:pPr>
              <w:spacing w:line="360" w:lineRule="auto"/>
              <w:rPr>
                <w:rFonts w:ascii="宋体" w:hAnsi="宋体"/>
                <w:color w:val="000000"/>
                <w:sz w:val="24"/>
                <w:highlight w:val="none"/>
              </w:rPr>
            </w:pPr>
            <w:r>
              <w:rPr>
                <w:rFonts w:hint="eastAsia" w:ascii="宋体" w:hAnsi="宋体"/>
                <w:color w:val="000000"/>
                <w:sz w:val="24"/>
                <w:highlight w:val="none"/>
              </w:rPr>
              <w:t>有下列情形之一的，投标无效：</w:t>
            </w:r>
          </w:p>
          <w:p w14:paraId="25F5FBA0">
            <w:pPr>
              <w:spacing w:line="360" w:lineRule="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rPr>
              <w:tab/>
            </w:r>
            <w:r>
              <w:rPr>
                <w:rFonts w:hint="eastAsia" w:ascii="宋体" w:hAnsi="宋体"/>
                <w:color w:val="000000"/>
                <w:sz w:val="24"/>
                <w:highlight w:val="none"/>
              </w:rPr>
              <w:t>响应性文件未按照竞争性磋商文件规定要求签署、盖章的；</w:t>
            </w:r>
          </w:p>
          <w:p w14:paraId="63337555">
            <w:pPr>
              <w:spacing w:line="360" w:lineRule="auto"/>
              <w:rPr>
                <w:rFonts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rPr>
              <w:tab/>
            </w:r>
            <w:r>
              <w:rPr>
                <w:rFonts w:hint="eastAsia" w:ascii="宋体" w:hAnsi="宋体"/>
                <w:color w:val="000000"/>
                <w:sz w:val="24"/>
                <w:highlight w:val="none"/>
              </w:rPr>
              <w:t>报价超过竞争性磋商文件中规定的预算金额或者最高限价的；</w:t>
            </w:r>
          </w:p>
          <w:p w14:paraId="44801C33">
            <w:pPr>
              <w:spacing w:line="360" w:lineRule="auto"/>
              <w:rPr>
                <w:rFonts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rPr>
              <w:tab/>
            </w:r>
            <w:r>
              <w:rPr>
                <w:rFonts w:hint="eastAsia" w:ascii="宋体" w:hAnsi="宋体"/>
                <w:color w:val="000000"/>
                <w:sz w:val="24"/>
                <w:highlight w:val="none"/>
              </w:rPr>
              <w:t>响应性文件含有采购人不能接受的附加条件的；</w:t>
            </w:r>
          </w:p>
          <w:p w14:paraId="374C2DA6">
            <w:pPr>
              <w:spacing w:line="360" w:lineRule="auto"/>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4</w:t>
            </w:r>
            <w:r>
              <w:rPr>
                <w:rFonts w:hint="eastAsia" w:ascii="宋体" w:hAnsi="宋体"/>
                <w:color w:val="000000"/>
                <w:sz w:val="24"/>
                <w:highlight w:val="none"/>
              </w:rPr>
              <w:t>)</w:t>
            </w:r>
            <w:r>
              <w:rPr>
                <w:rFonts w:hint="eastAsia" w:ascii="宋体" w:hAnsi="宋体"/>
                <w:color w:val="000000"/>
                <w:sz w:val="24"/>
                <w:highlight w:val="none"/>
              </w:rPr>
              <w:tab/>
            </w:r>
            <w:r>
              <w:rPr>
                <w:rFonts w:hint="eastAsia" w:ascii="宋体" w:hAnsi="宋体"/>
                <w:color w:val="000000"/>
                <w:sz w:val="24"/>
                <w:highlight w:val="none"/>
              </w:rPr>
              <w:t>拒绝接受磋商小组按竞争性磋商文件规定调整报价的；</w:t>
            </w:r>
          </w:p>
          <w:p w14:paraId="1F8FC5CE">
            <w:pPr>
              <w:spacing w:line="360" w:lineRule="auto"/>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w:t>
            </w:r>
            <w:r>
              <w:rPr>
                <w:rFonts w:hint="eastAsia" w:ascii="宋体" w:hAnsi="宋体"/>
                <w:color w:val="000000"/>
                <w:sz w:val="24"/>
                <w:highlight w:val="none"/>
              </w:rPr>
              <w:tab/>
            </w:r>
            <w:r>
              <w:rPr>
                <w:rFonts w:hint="eastAsia" w:ascii="宋体" w:hAnsi="宋体"/>
                <w:color w:val="000000"/>
                <w:sz w:val="24"/>
                <w:highlight w:val="none"/>
              </w:rPr>
              <w:t>磋商小组认为投标人的报价明显低于其他通过符合性审查投标人的报价，有可能影响产品质量或者不能诚信履约，且投标人在规定时间内不能证明其报价合理性的；</w:t>
            </w:r>
          </w:p>
          <w:p w14:paraId="5EC22568">
            <w:pPr>
              <w:spacing w:line="360" w:lineRule="auto"/>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w:t>
            </w:r>
            <w:r>
              <w:rPr>
                <w:rFonts w:hint="eastAsia" w:ascii="宋体" w:hAnsi="宋体"/>
                <w:color w:val="000000"/>
                <w:sz w:val="24"/>
                <w:highlight w:val="none"/>
              </w:rPr>
              <w:tab/>
            </w:r>
            <w:r>
              <w:rPr>
                <w:rFonts w:hint="eastAsia" w:ascii="宋体" w:hAnsi="宋体"/>
                <w:color w:val="000000"/>
                <w:sz w:val="24"/>
                <w:highlight w:val="none"/>
              </w:rPr>
              <w:t>拒绝接受采购人延长磋商有效期要求的；</w:t>
            </w:r>
          </w:p>
          <w:p w14:paraId="20246932">
            <w:pPr>
              <w:spacing w:line="360" w:lineRule="auto"/>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7</w:t>
            </w:r>
            <w:r>
              <w:rPr>
                <w:rFonts w:hint="eastAsia" w:ascii="宋体" w:hAnsi="宋体"/>
                <w:color w:val="000000"/>
                <w:sz w:val="24"/>
                <w:highlight w:val="none"/>
              </w:rPr>
              <w:t>)</w:t>
            </w:r>
            <w:r>
              <w:rPr>
                <w:rFonts w:hint="eastAsia" w:ascii="宋体" w:hAnsi="宋体"/>
                <w:color w:val="000000"/>
                <w:sz w:val="24"/>
                <w:highlight w:val="none"/>
              </w:rPr>
              <w:tab/>
            </w:r>
            <w:r>
              <w:rPr>
                <w:rFonts w:hint="eastAsia" w:ascii="宋体" w:hAnsi="宋体"/>
                <w:color w:val="000000"/>
                <w:sz w:val="24"/>
                <w:highlight w:val="none"/>
              </w:rPr>
              <w:t>响应性文件“文件制作机器码”、“文件创建标识码”一致的；</w:t>
            </w:r>
          </w:p>
          <w:p w14:paraId="3B3FEC42">
            <w:pPr>
              <w:spacing w:line="360" w:lineRule="auto"/>
              <w:rPr>
                <w:rFonts w:ascii="宋体" w:hAnsi="宋体"/>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8</w:t>
            </w:r>
            <w:r>
              <w:rPr>
                <w:rFonts w:hint="eastAsia" w:ascii="宋体" w:hAnsi="宋体"/>
                <w:color w:val="000000"/>
                <w:sz w:val="24"/>
                <w:highlight w:val="none"/>
              </w:rPr>
              <w:t>)</w:t>
            </w:r>
            <w:r>
              <w:rPr>
                <w:rFonts w:hint="eastAsia" w:ascii="宋体" w:hAnsi="宋体"/>
                <w:color w:val="000000"/>
                <w:sz w:val="24"/>
                <w:highlight w:val="none"/>
              </w:rPr>
              <w:tab/>
            </w:r>
            <w:r>
              <w:rPr>
                <w:rFonts w:hint="eastAsia" w:ascii="宋体" w:hAnsi="宋体"/>
                <w:color w:val="000000"/>
                <w:sz w:val="24"/>
                <w:highlight w:val="none"/>
              </w:rPr>
              <w:t>法律、法规和竞争性磋商文件规定的其他无效情形。</w:t>
            </w:r>
          </w:p>
        </w:tc>
      </w:tr>
      <w:tr w14:paraId="0FB7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2058867B">
            <w:pPr>
              <w:spacing w:line="360" w:lineRule="auto"/>
              <w:jc w:val="center"/>
              <w:rPr>
                <w:rFonts w:hint="eastAsia" w:ascii="宋体" w:hAnsi="宋体" w:eastAsia="宋体" w:cs="宋体"/>
                <w:color w:val="000000"/>
                <w:kern w:val="10"/>
                <w:sz w:val="24"/>
                <w:highlight w:val="none"/>
                <w:lang w:eastAsia="zh-CN"/>
              </w:rPr>
            </w:pPr>
            <w:r>
              <w:rPr>
                <w:rFonts w:hint="eastAsia" w:ascii="宋体" w:hAnsi="宋体" w:cs="宋体"/>
                <w:color w:val="000000"/>
                <w:kern w:val="10"/>
                <w:sz w:val="24"/>
                <w:highlight w:val="none"/>
                <w:lang w:val="en-US" w:eastAsia="zh-CN"/>
              </w:rPr>
              <w:t>7</w:t>
            </w:r>
          </w:p>
        </w:tc>
        <w:tc>
          <w:tcPr>
            <w:tcW w:w="2719" w:type="dxa"/>
            <w:noWrap w:val="0"/>
            <w:vAlign w:val="center"/>
          </w:tcPr>
          <w:p w14:paraId="43BCD8F1">
            <w:pPr>
              <w:spacing w:line="360" w:lineRule="auto"/>
              <w:jc w:val="center"/>
              <w:rPr>
                <w:rFonts w:ascii="宋体" w:hAnsi="宋体" w:cs="宋体"/>
                <w:color w:val="000000"/>
                <w:kern w:val="10"/>
                <w:sz w:val="24"/>
                <w:highlight w:val="none"/>
              </w:rPr>
            </w:pPr>
            <w:r>
              <w:rPr>
                <w:rFonts w:hint="eastAsia" w:ascii="宋体" w:hAnsi="宋体" w:cs="宋体"/>
                <w:color w:val="000000"/>
                <w:sz w:val="24"/>
                <w:highlight w:val="none"/>
              </w:rPr>
              <w:t>政府采购政策</w:t>
            </w:r>
          </w:p>
        </w:tc>
        <w:tc>
          <w:tcPr>
            <w:tcW w:w="5714" w:type="dxa"/>
            <w:noWrap w:val="0"/>
            <w:vAlign w:val="center"/>
          </w:tcPr>
          <w:p w14:paraId="7BB53737">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33B3B559">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2、关于计算机办公设备，必须执行国家版权局、信息产业部、财政部等部门规定，投标人所投货物必须是国家信息部、版权局、商务部等部门认可的预装正版操作系统软件的计算机产品。</w:t>
            </w:r>
          </w:p>
          <w:p w14:paraId="62AE62B8">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3、优先采购本国产品。采购进口产品应符合《中华人民共和国政府采购法》并依法办理论证、公示、审批手续。</w:t>
            </w:r>
          </w:p>
          <w:p w14:paraId="38BA20D4">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59C103FA">
            <w:pPr>
              <w:spacing w:line="360" w:lineRule="auto"/>
              <w:rPr>
                <w:rFonts w:hint="eastAsia" w:ascii="宋体" w:hAnsi="宋体" w:cs="宋体"/>
                <w:color w:val="000000"/>
                <w:kern w:val="10"/>
                <w:sz w:val="24"/>
                <w:highlight w:val="none"/>
              </w:rPr>
            </w:pPr>
            <w:r>
              <w:rPr>
                <w:rFonts w:hint="eastAsia" w:ascii="宋体" w:hAnsi="宋体" w:cs="宋体"/>
                <w:color w:val="000000"/>
                <w:kern w:val="10"/>
                <w:sz w:val="24"/>
                <w:highlight w:val="none"/>
              </w:rPr>
              <w:t>5、落实政府采购政策，对小型、微型企业、监狱企业及残疾人福利性单位产品价格给予</w:t>
            </w:r>
            <w:r>
              <w:rPr>
                <w:rFonts w:hint="eastAsia" w:ascii="宋体" w:hAnsi="宋体" w:cs="宋体"/>
                <w:color w:val="000000"/>
                <w:kern w:val="10"/>
                <w:sz w:val="24"/>
                <w:highlight w:val="none"/>
                <w:lang w:val="en-US" w:eastAsia="zh-CN"/>
              </w:rPr>
              <w:t>20</w:t>
            </w:r>
            <w:r>
              <w:rPr>
                <w:rFonts w:hint="eastAsia" w:ascii="宋体" w:hAnsi="宋体" w:cs="宋体"/>
                <w:color w:val="000000"/>
                <w:kern w:val="10"/>
                <w:sz w:val="24"/>
                <w:highlight w:val="none"/>
              </w:rPr>
              <w:t>%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1BB23A10">
            <w:pPr>
              <w:spacing w:line="400" w:lineRule="exact"/>
              <w:rPr>
                <w:rFonts w:hint="eastAsia" w:ascii="宋体" w:hAnsi="宋体" w:eastAsia="宋体" w:cs="宋体"/>
                <w:color w:val="000000"/>
                <w:kern w:val="10"/>
                <w:sz w:val="24"/>
                <w:highlight w:val="none"/>
                <w:lang w:eastAsia="zh-CN"/>
              </w:rPr>
            </w:pPr>
            <w:r>
              <w:rPr>
                <w:rFonts w:hint="eastAsia" w:ascii="宋体" w:hAnsi="宋体" w:cs="Calibri"/>
                <w:color w:val="auto"/>
                <w:sz w:val="24"/>
                <w:szCs w:val="24"/>
                <w:highlight w:val="none"/>
              </w:rPr>
              <w:t>本项目采购标</w:t>
            </w:r>
            <w:r>
              <w:rPr>
                <w:rFonts w:hint="eastAsia" w:ascii="宋体" w:hAnsi="宋体" w:cs="Calibri"/>
                <w:color w:val="auto"/>
                <w:sz w:val="24"/>
                <w:szCs w:val="24"/>
                <w:highlight w:val="none"/>
                <w:lang w:eastAsia="zh-CN"/>
              </w:rPr>
              <w:t>：属于</w:t>
            </w:r>
            <w:r>
              <w:rPr>
                <w:rFonts w:hint="eastAsia" w:ascii="宋体" w:hAnsi="宋体" w:cs="Calibri"/>
                <w:b/>
                <w:color w:val="auto"/>
                <w:sz w:val="24"/>
                <w:szCs w:val="24"/>
                <w:highlight w:val="none"/>
              </w:rPr>
              <w:t>工业</w:t>
            </w:r>
            <w:r>
              <w:rPr>
                <w:rFonts w:hint="eastAsia" w:ascii="宋体" w:hAnsi="宋体" w:cs="Calibri"/>
                <w:b/>
                <w:color w:val="auto"/>
                <w:sz w:val="24"/>
                <w:szCs w:val="24"/>
                <w:highlight w:val="none"/>
                <w:lang w:eastAsia="zh-CN"/>
              </w:rPr>
              <w:t>。</w:t>
            </w:r>
          </w:p>
        </w:tc>
      </w:tr>
      <w:tr w14:paraId="5B60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046ED53E">
            <w:pPr>
              <w:spacing w:line="360" w:lineRule="auto"/>
              <w:jc w:val="center"/>
              <w:rPr>
                <w:rFonts w:hint="eastAsia" w:ascii="宋体" w:hAnsi="宋体" w:eastAsia="宋体" w:cs="宋体"/>
                <w:color w:val="000000"/>
                <w:kern w:val="10"/>
                <w:sz w:val="24"/>
                <w:highlight w:val="none"/>
                <w:lang w:eastAsia="zh-CN"/>
              </w:rPr>
            </w:pPr>
            <w:r>
              <w:rPr>
                <w:rFonts w:hint="eastAsia" w:ascii="宋体" w:hAnsi="宋体" w:cs="宋体"/>
                <w:color w:val="000000"/>
                <w:kern w:val="10"/>
                <w:sz w:val="24"/>
                <w:highlight w:val="none"/>
                <w:lang w:val="en-US" w:eastAsia="zh-CN"/>
              </w:rPr>
              <w:t>8</w:t>
            </w:r>
          </w:p>
        </w:tc>
        <w:tc>
          <w:tcPr>
            <w:tcW w:w="2719" w:type="dxa"/>
            <w:noWrap w:val="0"/>
            <w:vAlign w:val="center"/>
          </w:tcPr>
          <w:p w14:paraId="1DC54E3F">
            <w:pPr>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电子化交易</w:t>
            </w:r>
          </w:p>
          <w:p w14:paraId="58479762">
            <w:pPr>
              <w:spacing w:line="360" w:lineRule="auto"/>
              <w:jc w:val="center"/>
              <w:rPr>
                <w:rFonts w:ascii="宋体" w:hAnsi="宋体"/>
                <w:color w:val="000000"/>
                <w:kern w:val="0"/>
                <w:sz w:val="24"/>
                <w:highlight w:val="none"/>
              </w:rPr>
            </w:pPr>
            <w:r>
              <w:rPr>
                <w:rFonts w:hint="eastAsia" w:ascii="宋体" w:hAnsi="宋体"/>
                <w:color w:val="000000"/>
                <w:kern w:val="0"/>
                <w:sz w:val="24"/>
                <w:highlight w:val="none"/>
              </w:rPr>
              <w:t>注意事项</w:t>
            </w:r>
          </w:p>
        </w:tc>
        <w:tc>
          <w:tcPr>
            <w:tcW w:w="5714" w:type="dxa"/>
            <w:noWrap w:val="0"/>
            <w:vAlign w:val="center"/>
          </w:tcPr>
          <w:p w14:paraId="27C0D108">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具体要求：本项目为电子化、无纸化交易项目，</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是</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spacing w:val="1"/>
                <w:kern w:val="0"/>
                <w:sz w:val="24"/>
                <w:szCs w:val="24"/>
                <w:highlight w:val="none"/>
              </w:rPr>
              <w:t>通过中心</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制作系统制作，并经过签章和加密后生成的电子版</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w:t>
            </w:r>
          </w:p>
          <w:p w14:paraId="4DB60C3A">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电子化</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具体制作文件请点击</w:t>
            </w:r>
            <w:r>
              <w:rPr>
                <w:rFonts w:hint="eastAsia" w:ascii="宋体" w:hAnsi="宋体" w:eastAsia="宋体" w:cs="宋体"/>
                <w:color w:val="auto"/>
                <w:spacing w:val="1"/>
                <w:kern w:val="0"/>
                <w:sz w:val="24"/>
                <w:szCs w:val="24"/>
                <w:highlight w:val="none"/>
                <w:lang w:val="en-US" w:eastAsia="zh-CN"/>
              </w:rPr>
              <w:t>http://gzjy.smx.gov.cn/bzzx/008002/moreinfo.html</w:t>
            </w:r>
            <w:r>
              <w:rPr>
                <w:rFonts w:hint="eastAsia" w:ascii="宋体" w:hAnsi="宋体" w:eastAsia="宋体" w:cs="宋体"/>
                <w:color w:val="auto"/>
                <w:spacing w:val="1"/>
                <w:kern w:val="0"/>
                <w:sz w:val="24"/>
                <w:szCs w:val="24"/>
                <w:highlight w:val="none"/>
              </w:rPr>
              <w:t>进行下载。</w:t>
            </w:r>
          </w:p>
          <w:p w14:paraId="364FC798">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温馨提示：本项目为电子化、无纸化交易项目，为保证您能投标成功，请需仔细阅读以下条款。</w:t>
            </w:r>
          </w:p>
          <w:p w14:paraId="77D74969">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一、电子化投标</w:t>
            </w:r>
          </w:p>
          <w:p w14:paraId="7445840A">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（一）网上投标保证金的缴纳（如有）</w:t>
            </w:r>
          </w:p>
          <w:p w14:paraId="2EFFBB61">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 xml:space="preserve">1、递交形式: </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spacing w:val="1"/>
                <w:kern w:val="0"/>
                <w:sz w:val="24"/>
                <w:szCs w:val="24"/>
                <w:highlight w:val="none"/>
              </w:rPr>
              <w:t>的投标保证金必须通过</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基本账户以转账或电汇的形式缴纳（账户必须是已加入三门峡市公共资源交易</w:t>
            </w:r>
            <w:r>
              <w:rPr>
                <w:rFonts w:hint="eastAsia" w:ascii="宋体" w:hAnsi="宋体" w:eastAsia="宋体" w:cs="宋体"/>
                <w:color w:val="auto"/>
                <w:kern w:val="2"/>
                <w:sz w:val="24"/>
                <w:szCs w:val="24"/>
                <w:highlight w:val="none"/>
                <w:lang w:val="en-US" w:eastAsia="zh-CN" w:bidi="ar-SA"/>
              </w:rPr>
              <w:t>投标人投标人））</w:t>
            </w:r>
            <w:r>
              <w:rPr>
                <w:rFonts w:hint="eastAsia" w:ascii="宋体" w:hAnsi="宋体" w:eastAsia="宋体" w:cs="宋体"/>
                <w:color w:val="auto"/>
                <w:spacing w:val="1"/>
                <w:kern w:val="0"/>
                <w:sz w:val="24"/>
                <w:szCs w:val="24"/>
                <w:highlight w:val="none"/>
              </w:rPr>
              <w:t>或</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spacing w:val="1"/>
                <w:kern w:val="0"/>
                <w:sz w:val="24"/>
                <w:szCs w:val="24"/>
                <w:highlight w:val="none"/>
                <w:lang w:eastAsia="zh-CN"/>
              </w:rPr>
              <w:t>主体库</w:t>
            </w:r>
            <w:r>
              <w:rPr>
                <w:rFonts w:hint="eastAsia" w:ascii="宋体" w:hAnsi="宋体" w:eastAsia="宋体" w:cs="宋体"/>
                <w:color w:val="auto"/>
                <w:spacing w:val="1"/>
                <w:kern w:val="0"/>
                <w:sz w:val="24"/>
                <w:szCs w:val="24"/>
                <w:highlight w:val="none"/>
              </w:rPr>
              <w:t>中的账户）。</w:t>
            </w:r>
          </w:p>
          <w:p w14:paraId="6CECD0C4">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3、</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spacing w:val="1"/>
                <w:kern w:val="0"/>
                <w:sz w:val="24"/>
                <w:szCs w:val="24"/>
                <w:highlight w:val="none"/>
              </w:rPr>
              <w:t>在成功缴纳后，可以将银行回单制作在</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中，作为缴纳保证金的依据。</w:t>
            </w:r>
          </w:p>
          <w:p w14:paraId="047C47EF">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4、</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应仔细阅读操作手册并充分考虑异地跨行转账到账时间等因素，因</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操作不当或银行到账时间等问题造成开标时间未到达指定账户影响投标的，由</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自行承担后果。</w:t>
            </w:r>
          </w:p>
          <w:p w14:paraId="695BBEE1">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5、未中标</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的投标保证金在项目结束后，将通过中心交易平台退还。</w:t>
            </w:r>
          </w:p>
          <w:p w14:paraId="18B982A8">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（二）电子化</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的签章</w:t>
            </w:r>
          </w:p>
          <w:p w14:paraId="3E2629AD">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1、</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在生成电子化</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后，应对电子化</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进行签章，未进行签章的视为无效投标。</w:t>
            </w:r>
          </w:p>
          <w:p w14:paraId="64494BCA">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2、</w:t>
            </w:r>
            <w:r>
              <w:rPr>
                <w:rFonts w:hint="eastAsia" w:ascii="宋体" w:hAnsi="宋体" w:eastAsia="宋体" w:cs="宋体"/>
                <w:color w:val="auto"/>
                <w:spacing w:val="1"/>
                <w:kern w:val="0"/>
                <w:sz w:val="24"/>
                <w:szCs w:val="24"/>
                <w:highlight w:val="none"/>
                <w:lang w:eastAsia="zh-CN"/>
              </w:rPr>
              <w:t>磋商文件</w:t>
            </w:r>
            <w:r>
              <w:rPr>
                <w:rFonts w:hint="eastAsia" w:ascii="宋体" w:hAnsi="宋体" w:eastAsia="宋体" w:cs="宋体"/>
                <w:color w:val="auto"/>
                <w:spacing w:val="1"/>
                <w:kern w:val="0"/>
                <w:sz w:val="24"/>
                <w:szCs w:val="24"/>
                <w:highlight w:val="none"/>
              </w:rPr>
              <w:t>中要求法定代表人或授权委托人签字或盖章的，</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在进行电子化</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签章时，以签盖法定代表人签章为准。</w:t>
            </w:r>
          </w:p>
          <w:p w14:paraId="2B57B0C0">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（三）电子化</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的格式及上传投标</w:t>
            </w:r>
          </w:p>
          <w:p w14:paraId="16B6A76F">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1、</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所上传的电子化</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，应是通过中心</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制作系统制作的</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制作工具下载地址：</w:t>
            </w:r>
            <w:r>
              <w:rPr>
                <w:rFonts w:hint="eastAsia" w:ascii="宋体" w:hAnsi="宋体" w:eastAsia="宋体" w:cs="宋体"/>
                <w:color w:val="auto"/>
                <w:spacing w:val="1"/>
                <w:kern w:val="0"/>
                <w:sz w:val="24"/>
                <w:szCs w:val="24"/>
                <w:highlight w:val="none"/>
                <w:lang w:eastAsia="zh-CN"/>
              </w:rPr>
              <w:t>http://gzjy.smx.gov.cn/bzzx/008002/moreinfo.html</w:t>
            </w:r>
            <w:r>
              <w:rPr>
                <w:rFonts w:hint="eastAsia" w:ascii="宋体" w:hAnsi="宋体" w:eastAsia="宋体" w:cs="宋体"/>
                <w:color w:val="auto"/>
                <w:spacing w:val="1"/>
                <w:kern w:val="0"/>
                <w:sz w:val="24"/>
                <w:szCs w:val="24"/>
                <w:highlight w:val="none"/>
              </w:rPr>
              <w:t>），经过签章和加密后生成的电子版</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。其中包含用于</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上传的主文件（后缀为.smxtf）和用于应急补救的</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备份文件（后缀为.nsmxtf）。备份文件主要用于电子化开标出现技术问题后的补救，请</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随身携带。</w:t>
            </w:r>
          </w:p>
          <w:p w14:paraId="1A29EE23">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lang w:val="en-US" w:eastAsia="zh-CN"/>
              </w:rPr>
              <w:t>2</w:t>
            </w:r>
            <w:r>
              <w:rPr>
                <w:rFonts w:hint="eastAsia" w:ascii="宋体" w:hAnsi="宋体" w:eastAsia="宋体" w:cs="宋体"/>
                <w:color w:val="auto"/>
                <w:spacing w:val="1"/>
                <w:kern w:val="0"/>
                <w:sz w:val="24"/>
                <w:szCs w:val="24"/>
                <w:highlight w:val="none"/>
              </w:rPr>
              <w:t>、待所有</w:t>
            </w:r>
            <w:r>
              <w:rPr>
                <w:rFonts w:hint="eastAsia" w:ascii="宋体" w:hAnsi="宋体" w:eastAsia="宋体" w:cs="宋体"/>
                <w:color w:val="auto"/>
                <w:spacing w:val="1"/>
                <w:kern w:val="0"/>
                <w:sz w:val="24"/>
                <w:szCs w:val="24"/>
                <w:highlight w:val="none"/>
                <w:lang w:eastAsia="zh-CN"/>
              </w:rPr>
              <w:t>投标人投标文件</w:t>
            </w:r>
            <w:r>
              <w:rPr>
                <w:rFonts w:hint="eastAsia" w:ascii="宋体" w:hAnsi="宋体" w:eastAsia="宋体" w:cs="宋体"/>
                <w:color w:val="auto"/>
                <w:spacing w:val="1"/>
                <w:kern w:val="0"/>
                <w:sz w:val="24"/>
                <w:szCs w:val="24"/>
                <w:highlight w:val="none"/>
              </w:rPr>
              <w:t>解密完成后，由中介服务机构操作，对所有已解密</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进行唱标。</w:t>
            </w:r>
          </w:p>
          <w:p w14:paraId="6716FAF0">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应保证在开标期间电话、电脑、网络能够正常工作，</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因停电、电脑病毒、网络堵塞等原因，未在规定的解密时间内对</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进行解密的，其</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不予接收、唱标。</w:t>
            </w:r>
          </w:p>
          <w:p w14:paraId="3BAE2D8D">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lang w:val="en-US" w:eastAsia="zh-CN"/>
              </w:rPr>
              <w:t>3</w:t>
            </w:r>
            <w:r>
              <w:rPr>
                <w:rFonts w:hint="eastAsia" w:ascii="宋体" w:hAnsi="宋体" w:eastAsia="宋体" w:cs="宋体"/>
                <w:color w:val="auto"/>
                <w:spacing w:val="1"/>
                <w:kern w:val="0"/>
                <w:sz w:val="24"/>
                <w:szCs w:val="24"/>
                <w:highlight w:val="none"/>
              </w:rPr>
              <w:t>、开标时</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可登录到交易系统中在开标解密栏中点击报价一览表查看自己的投标报价。如对自己的唱标内容有异议的，应在</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解密成功后10分钟内向中介服务机构电话质疑。中介服务机构应在监督人员的监督下进行免提通话接受</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的质疑并做好书面记录。</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未在规定时间内提出质疑的，视为认可唱标内容。</w:t>
            </w:r>
          </w:p>
          <w:p w14:paraId="7BE805B8">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lang w:val="en-US" w:eastAsia="zh-CN"/>
              </w:rPr>
              <w:t>4</w:t>
            </w:r>
            <w:r>
              <w:rPr>
                <w:rFonts w:hint="eastAsia" w:ascii="宋体" w:hAnsi="宋体" w:eastAsia="宋体" w:cs="宋体"/>
                <w:color w:val="auto"/>
                <w:spacing w:val="1"/>
                <w:kern w:val="0"/>
                <w:sz w:val="24"/>
                <w:szCs w:val="24"/>
                <w:highlight w:val="none"/>
              </w:rPr>
              <w:t>、评标时，评标委员会对电子化</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有质疑的，将通过电子化交易系统对</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发起质疑，并在监督人员的监督下，用免提模式致电需要答复的</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对质疑进行回复。</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的回复文件必须以经过</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和其法定代表人签章的PDF格式文件为准，并通过电子化交易系统提交至评标委员会。</w:t>
            </w:r>
          </w:p>
          <w:p w14:paraId="40062E60">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lang w:val="en-US" w:eastAsia="zh-CN"/>
              </w:rPr>
              <w:t>5</w:t>
            </w:r>
            <w:r>
              <w:rPr>
                <w:rFonts w:hint="eastAsia" w:ascii="宋体" w:hAnsi="宋体" w:eastAsia="宋体" w:cs="宋体"/>
                <w:color w:val="auto"/>
                <w:spacing w:val="1"/>
                <w:kern w:val="0"/>
                <w:sz w:val="24"/>
                <w:szCs w:val="24"/>
                <w:highlight w:val="none"/>
              </w:rPr>
              <w:t>、如评标委员会对需要回复的</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连续三次致电未接通的，视为</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放弃回复，评标委员会将自行对需要回复的内容进行认定。</w:t>
            </w:r>
          </w:p>
          <w:p w14:paraId="066FE34A">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二、相关证书原件的提交</w:t>
            </w:r>
          </w:p>
          <w:p w14:paraId="2194936F">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本项目</w:t>
            </w:r>
            <w:r>
              <w:rPr>
                <w:rFonts w:hint="eastAsia" w:ascii="宋体" w:hAnsi="宋体" w:eastAsia="宋体" w:cs="宋体"/>
                <w:color w:val="auto"/>
                <w:spacing w:val="1"/>
                <w:kern w:val="0"/>
                <w:sz w:val="24"/>
                <w:szCs w:val="24"/>
                <w:highlight w:val="none"/>
                <w:lang w:val="en-US" w:eastAsia="zh-CN"/>
              </w:rPr>
              <w:t>招标</w:t>
            </w:r>
            <w:r>
              <w:rPr>
                <w:rFonts w:hint="eastAsia" w:ascii="宋体" w:hAnsi="宋体" w:eastAsia="宋体" w:cs="宋体"/>
                <w:color w:val="auto"/>
                <w:spacing w:val="1"/>
                <w:kern w:val="0"/>
                <w:sz w:val="24"/>
                <w:szCs w:val="24"/>
                <w:highlight w:val="none"/>
                <w:lang w:eastAsia="zh-CN"/>
              </w:rPr>
              <w:t>文件</w:t>
            </w:r>
            <w:r>
              <w:rPr>
                <w:rFonts w:hint="eastAsia" w:ascii="宋体" w:hAnsi="宋体" w:eastAsia="宋体" w:cs="宋体"/>
                <w:color w:val="auto"/>
                <w:spacing w:val="1"/>
                <w:kern w:val="0"/>
                <w:sz w:val="24"/>
                <w:szCs w:val="24"/>
                <w:highlight w:val="none"/>
              </w:rPr>
              <w:t>中要求</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提交相关资料原件的，</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需将原件扫描件制作到电子</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中，同时将该原件扫描件上传至三门峡市公共资源交易</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w:t>
            </w:r>
            <w:r>
              <w:rPr>
                <w:rFonts w:hint="eastAsia" w:ascii="宋体" w:hAnsi="宋体" w:eastAsia="宋体" w:cs="宋体"/>
                <w:color w:val="auto"/>
                <w:spacing w:val="1"/>
                <w:kern w:val="0"/>
                <w:sz w:val="24"/>
                <w:szCs w:val="24"/>
                <w:highlight w:val="none"/>
                <w:lang w:eastAsia="zh-CN"/>
              </w:rPr>
              <w:t>投标人主体库</w:t>
            </w:r>
            <w:r>
              <w:rPr>
                <w:rFonts w:hint="eastAsia" w:ascii="宋体" w:hAnsi="宋体" w:eastAsia="宋体" w:cs="宋体"/>
                <w:color w:val="auto"/>
                <w:spacing w:val="1"/>
                <w:kern w:val="0"/>
                <w:sz w:val="24"/>
                <w:szCs w:val="24"/>
                <w:highlight w:val="none"/>
              </w:rPr>
              <w:t>。评标委员会对原件的核验工作按以下条款进行：</w:t>
            </w:r>
          </w:p>
          <w:p w14:paraId="3006F129">
            <w:pPr>
              <w:autoSpaceDE w:val="0"/>
              <w:autoSpaceDN w:val="0"/>
              <w:adjustRightInd w:val="0"/>
              <w:spacing w:line="420" w:lineRule="exact"/>
              <w:jc w:val="left"/>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rPr>
              <w:t>（一）评标时，评委先查阅</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中是否具有该资料的原件扫描件，再对照审查该资料原件是否已在三门峡市公共资源交易</w:t>
            </w:r>
            <w:r>
              <w:rPr>
                <w:rFonts w:hint="eastAsia" w:ascii="宋体" w:hAnsi="宋体" w:eastAsia="宋体" w:cs="宋体"/>
                <w:color w:val="auto"/>
                <w:spacing w:val="1"/>
                <w:kern w:val="0"/>
                <w:sz w:val="24"/>
                <w:szCs w:val="24"/>
                <w:highlight w:val="none"/>
                <w:lang w:eastAsia="zh-CN"/>
              </w:rPr>
              <w:t>投标人主体库</w:t>
            </w:r>
            <w:r>
              <w:rPr>
                <w:rFonts w:hint="eastAsia" w:ascii="宋体" w:hAnsi="宋体" w:eastAsia="宋体" w:cs="宋体"/>
                <w:color w:val="auto"/>
                <w:spacing w:val="1"/>
                <w:kern w:val="0"/>
                <w:sz w:val="24"/>
                <w:szCs w:val="24"/>
                <w:highlight w:val="none"/>
              </w:rPr>
              <w:t>中上传且内容一致。</w:t>
            </w:r>
            <w:r>
              <w:rPr>
                <w:rFonts w:hint="eastAsia" w:ascii="宋体" w:hAnsi="宋体" w:eastAsia="宋体" w:cs="宋体"/>
                <w:color w:val="auto"/>
                <w:spacing w:val="1"/>
                <w:kern w:val="0"/>
                <w:sz w:val="24"/>
                <w:szCs w:val="24"/>
                <w:highlight w:val="none"/>
                <w:lang w:eastAsia="zh-CN"/>
              </w:rPr>
              <w:t>投标文件</w:t>
            </w:r>
            <w:r>
              <w:rPr>
                <w:rFonts w:hint="eastAsia" w:ascii="宋体" w:hAnsi="宋体" w:eastAsia="宋体" w:cs="宋体"/>
                <w:color w:val="auto"/>
                <w:spacing w:val="1"/>
                <w:kern w:val="0"/>
                <w:sz w:val="24"/>
                <w:szCs w:val="24"/>
                <w:highlight w:val="none"/>
              </w:rPr>
              <w:t>中相关原件资料未在</w:t>
            </w:r>
            <w:r>
              <w:rPr>
                <w:rFonts w:hint="eastAsia" w:ascii="宋体" w:hAnsi="宋体" w:eastAsia="宋体" w:cs="宋体"/>
                <w:color w:val="auto"/>
                <w:spacing w:val="1"/>
                <w:kern w:val="0"/>
                <w:sz w:val="24"/>
                <w:szCs w:val="24"/>
                <w:highlight w:val="none"/>
                <w:lang w:eastAsia="zh-CN"/>
              </w:rPr>
              <w:t>主体库</w:t>
            </w:r>
            <w:r>
              <w:rPr>
                <w:rFonts w:hint="eastAsia" w:ascii="宋体" w:hAnsi="宋体" w:eastAsia="宋体" w:cs="宋体"/>
                <w:color w:val="auto"/>
                <w:spacing w:val="1"/>
                <w:kern w:val="0"/>
                <w:sz w:val="24"/>
                <w:szCs w:val="24"/>
                <w:highlight w:val="none"/>
              </w:rPr>
              <w:t>中上传或上传内容不一致的，</w:t>
            </w:r>
            <w:r>
              <w:rPr>
                <w:rFonts w:hint="eastAsia" w:ascii="宋体" w:hAnsi="宋体" w:eastAsia="宋体" w:cs="宋体"/>
                <w:color w:val="000000"/>
                <w:sz w:val="24"/>
                <w:szCs w:val="24"/>
                <w:highlight w:val="none"/>
              </w:rPr>
              <w:t>评审中资格审查、评审打分</w:t>
            </w:r>
            <w:r>
              <w:rPr>
                <w:rFonts w:hint="eastAsia" w:ascii="宋体" w:hAnsi="宋体" w:eastAsia="宋体" w:cs="宋体"/>
                <w:color w:val="000000"/>
                <w:sz w:val="24"/>
                <w:szCs w:val="24"/>
                <w:highlight w:val="none"/>
                <w:lang w:val="en-US" w:eastAsia="zh-CN"/>
              </w:rPr>
              <w:t>以投标文件</w:t>
            </w:r>
            <w:r>
              <w:rPr>
                <w:rFonts w:hint="eastAsia" w:ascii="宋体" w:hAnsi="宋体" w:eastAsia="宋体" w:cs="宋体"/>
                <w:color w:val="000000"/>
                <w:sz w:val="24"/>
                <w:szCs w:val="24"/>
                <w:highlight w:val="none"/>
              </w:rPr>
              <w:t>为准</w:t>
            </w:r>
            <w:r>
              <w:rPr>
                <w:rFonts w:hint="eastAsia" w:ascii="宋体" w:hAnsi="宋体" w:eastAsia="宋体" w:cs="宋体"/>
                <w:color w:val="auto"/>
                <w:spacing w:val="1"/>
                <w:kern w:val="0"/>
                <w:sz w:val="24"/>
                <w:szCs w:val="24"/>
                <w:highlight w:val="none"/>
              </w:rPr>
              <w:t>。</w:t>
            </w:r>
          </w:p>
          <w:p w14:paraId="5E44D45D">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（二）项目评标结果公示时，将同时公示中标候选人</w:t>
            </w:r>
            <w:r>
              <w:rPr>
                <w:rFonts w:hint="eastAsia" w:ascii="宋体" w:hAnsi="宋体" w:eastAsia="宋体" w:cs="宋体"/>
                <w:color w:val="auto"/>
                <w:spacing w:val="1"/>
                <w:kern w:val="0"/>
                <w:sz w:val="24"/>
                <w:szCs w:val="24"/>
                <w:highlight w:val="none"/>
                <w:lang w:eastAsia="zh-CN"/>
              </w:rPr>
              <w:t>主体库</w:t>
            </w:r>
            <w:r>
              <w:rPr>
                <w:rFonts w:hint="eastAsia" w:ascii="宋体" w:hAnsi="宋体" w:eastAsia="宋体" w:cs="宋体"/>
                <w:color w:val="auto"/>
                <w:spacing w:val="1"/>
                <w:kern w:val="0"/>
                <w:sz w:val="24"/>
                <w:szCs w:val="24"/>
                <w:highlight w:val="none"/>
              </w:rPr>
              <w:t>信息，接受社会监督。</w:t>
            </w:r>
          </w:p>
          <w:p w14:paraId="52C44440">
            <w:pPr>
              <w:autoSpaceDE w:val="0"/>
              <w:autoSpaceDN w:val="0"/>
              <w:adjustRightInd w:val="0"/>
              <w:spacing w:line="420" w:lineRule="exact"/>
              <w:jc w:val="left"/>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（三）</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需应仔细阅读操作手册，保证上传内容齐全，真实有效，原件扫描件清晰可辨。因</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上传原因导致应得分项而未得分或资格审查不合格等情况的，由</w:t>
            </w:r>
            <w:r>
              <w:rPr>
                <w:rFonts w:hint="eastAsia" w:ascii="宋体" w:hAnsi="宋体" w:eastAsia="宋体" w:cs="宋体"/>
                <w:color w:val="auto"/>
                <w:spacing w:val="1"/>
                <w:kern w:val="0"/>
                <w:sz w:val="24"/>
                <w:szCs w:val="24"/>
                <w:highlight w:val="none"/>
                <w:lang w:eastAsia="zh-CN"/>
              </w:rPr>
              <w:t>投标人</w:t>
            </w:r>
            <w:r>
              <w:rPr>
                <w:rFonts w:hint="eastAsia" w:ascii="宋体" w:hAnsi="宋体" w:eastAsia="宋体" w:cs="宋体"/>
                <w:color w:val="auto"/>
                <w:spacing w:val="1"/>
                <w:kern w:val="0"/>
                <w:sz w:val="24"/>
                <w:szCs w:val="24"/>
                <w:highlight w:val="none"/>
              </w:rPr>
              <w:t>自行承担责任。</w:t>
            </w:r>
          </w:p>
          <w:p w14:paraId="1AFDED55">
            <w:pPr>
              <w:autoSpaceDE w:val="0"/>
              <w:autoSpaceDN w:val="0"/>
              <w:adjustRightInd w:val="0"/>
              <w:spacing w:line="420" w:lineRule="exact"/>
              <w:jc w:val="left"/>
              <w:rPr>
                <w:rFonts w:hint="eastAsia" w:ascii="宋体" w:hAnsi="宋体" w:eastAsia="宋体" w:cs="宋体"/>
                <w:color w:val="auto"/>
                <w:spacing w:val="1"/>
                <w:kern w:val="0"/>
                <w:sz w:val="21"/>
                <w:szCs w:val="21"/>
                <w:highlight w:val="none"/>
                <w:lang w:val="en-US" w:eastAsia="zh-CN" w:bidi="ar-SA"/>
              </w:rPr>
            </w:pPr>
            <w:r>
              <w:rPr>
                <w:rFonts w:hint="eastAsia" w:ascii="宋体" w:hAnsi="宋体" w:eastAsia="宋体" w:cs="宋体"/>
                <w:b/>
                <w:bCs/>
                <w:color w:val="auto"/>
                <w:spacing w:val="1"/>
                <w:kern w:val="0"/>
                <w:sz w:val="24"/>
                <w:szCs w:val="24"/>
                <w:highlight w:val="none"/>
              </w:rPr>
              <w:t>提示：本项目为电子化、无纸化交易项目，为保证您能投标成功，请需仔细阅读以上条款。</w:t>
            </w:r>
          </w:p>
        </w:tc>
      </w:tr>
      <w:tr w14:paraId="2B9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noWrap w:val="0"/>
            <w:vAlign w:val="center"/>
          </w:tcPr>
          <w:p w14:paraId="1FB2C860">
            <w:pPr>
              <w:spacing w:line="360" w:lineRule="auto"/>
              <w:jc w:val="center"/>
              <w:rPr>
                <w:rFonts w:hint="eastAsia" w:ascii="宋体" w:hAnsi="宋体" w:eastAsia="宋体" w:cs="宋体"/>
                <w:color w:val="000000"/>
                <w:kern w:val="10"/>
                <w:sz w:val="24"/>
                <w:highlight w:val="none"/>
                <w:lang w:eastAsia="zh-CN"/>
              </w:rPr>
            </w:pPr>
            <w:r>
              <w:rPr>
                <w:rFonts w:hint="eastAsia" w:ascii="宋体" w:hAnsi="宋体" w:cs="宋体"/>
                <w:color w:val="000000"/>
                <w:kern w:val="10"/>
                <w:sz w:val="24"/>
                <w:highlight w:val="none"/>
                <w:lang w:val="en-US" w:eastAsia="zh-CN"/>
              </w:rPr>
              <w:t>9</w:t>
            </w:r>
          </w:p>
        </w:tc>
        <w:tc>
          <w:tcPr>
            <w:tcW w:w="2719" w:type="dxa"/>
            <w:noWrap w:val="0"/>
            <w:vAlign w:val="center"/>
          </w:tcPr>
          <w:p w14:paraId="1EDD4E8F">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需要补充的其他内容：</w:t>
            </w:r>
          </w:p>
        </w:tc>
        <w:tc>
          <w:tcPr>
            <w:tcW w:w="5714" w:type="dxa"/>
            <w:noWrap w:val="0"/>
            <w:vAlign w:val="center"/>
          </w:tcPr>
          <w:p w14:paraId="7AA059A5">
            <w:pPr>
              <w:numPr>
                <w:ilvl w:val="0"/>
                <w:numId w:val="1"/>
              </w:numPr>
              <w:spacing w:line="360" w:lineRule="auto"/>
              <w:rPr>
                <w:rFonts w:hint="eastAsia" w:ascii="宋体" w:hAnsi="宋体"/>
                <w:color w:val="000000"/>
                <w:sz w:val="24"/>
                <w:highlight w:val="none"/>
              </w:rPr>
            </w:pPr>
            <w:r>
              <w:rPr>
                <w:rFonts w:hint="eastAsia" w:ascii="宋体" w:hAnsi="宋体"/>
                <w:color w:val="000000"/>
                <w:sz w:val="24"/>
                <w:highlight w:val="none"/>
              </w:rPr>
              <w:t>招标代理服务费参照《河南省招标代理服务收费指导意见》（豫招协【2023】002号）计取，由中标人支付。</w:t>
            </w:r>
          </w:p>
          <w:p w14:paraId="0692E55C">
            <w:pPr>
              <w:spacing w:line="360" w:lineRule="auto"/>
              <w:rPr>
                <w:rFonts w:ascii="宋体" w:hAnsi="宋体"/>
                <w:color w:val="000000"/>
                <w:sz w:val="24"/>
                <w:highlight w:val="none"/>
              </w:rPr>
            </w:pPr>
            <w:r>
              <w:rPr>
                <w:rFonts w:hint="eastAsia" w:ascii="宋体" w:hAnsi="宋体"/>
                <w:color w:val="000000"/>
                <w:sz w:val="24"/>
                <w:highlight w:val="none"/>
              </w:rPr>
              <w:t>2、本项目采用全过程电子化投标，投标人需用 CA 在电子平台上传电子响应性文件，开标时不再递交纸质响应性文件，中标单位领取中标通知书时提交</w:t>
            </w:r>
            <w:r>
              <w:rPr>
                <w:rFonts w:hint="eastAsia" w:ascii="宋体" w:hAnsi="宋体"/>
                <w:color w:val="000000"/>
                <w:sz w:val="24"/>
                <w:highlight w:val="none"/>
                <w:lang w:eastAsia="zh-CN"/>
              </w:rPr>
              <w:t>叁</w:t>
            </w:r>
            <w:r>
              <w:rPr>
                <w:rFonts w:hint="eastAsia" w:ascii="宋体" w:hAnsi="宋体"/>
                <w:color w:val="000000"/>
                <w:sz w:val="24"/>
                <w:highlight w:val="none"/>
              </w:rPr>
              <w:t>套纸质响应性文件及电子版一份；</w:t>
            </w:r>
          </w:p>
          <w:p w14:paraId="735FDB27">
            <w:pPr>
              <w:spacing w:line="360" w:lineRule="auto"/>
              <w:rPr>
                <w:rFonts w:hint="eastAsia" w:ascii="宋体" w:hAnsi="宋体" w:eastAsia="宋体"/>
                <w:sz w:val="24"/>
                <w:highlight w:val="none"/>
                <w:lang w:eastAsia="zh-CN"/>
              </w:rPr>
            </w:pPr>
            <w:r>
              <w:rPr>
                <w:rFonts w:hint="eastAsia" w:ascii="宋体" w:hAnsi="宋体"/>
                <w:color w:val="000000"/>
                <w:sz w:val="24"/>
                <w:highlight w:val="none"/>
              </w:rPr>
              <w:t>3、竞争性磋商文件的最终解释权归采购人</w:t>
            </w:r>
            <w:r>
              <w:rPr>
                <w:rFonts w:hint="eastAsia" w:ascii="宋体" w:hAnsi="宋体"/>
                <w:color w:val="000000"/>
                <w:sz w:val="24"/>
                <w:highlight w:val="none"/>
                <w:lang w:eastAsia="zh-CN"/>
              </w:rPr>
              <w:t>。</w:t>
            </w:r>
          </w:p>
        </w:tc>
      </w:tr>
    </w:tbl>
    <w:p w14:paraId="45231C5B">
      <w:pPr>
        <w:rPr>
          <w:rFonts w:ascii="宋体" w:hAnsi="宋体" w:cs="宋体"/>
          <w:color w:val="000000"/>
          <w:kern w:val="10"/>
          <w:sz w:val="24"/>
          <w:highlight w:val="none"/>
        </w:rPr>
      </w:pPr>
    </w:p>
    <w:p w14:paraId="5263F1FD">
      <w:pPr>
        <w:spacing w:line="360" w:lineRule="auto"/>
        <w:ind w:firstLine="560" w:firstLineChars="200"/>
        <w:rPr>
          <w:rFonts w:ascii="宋体" w:hAnsi="宋体" w:cs="宋体"/>
          <w:color w:val="000000"/>
          <w:kern w:val="10"/>
          <w:sz w:val="28"/>
          <w:szCs w:val="28"/>
          <w:highlight w:val="none"/>
        </w:rPr>
      </w:pPr>
      <w:bookmarkStart w:id="28" w:name="_Toc516499646"/>
      <w:bookmarkStart w:id="29" w:name="_Toc9231"/>
      <w:bookmarkStart w:id="30" w:name="_Toc5115"/>
      <w:bookmarkStart w:id="31" w:name="_Toc15368"/>
      <w:bookmarkStart w:id="32" w:name="_Toc18842"/>
    </w:p>
    <w:p w14:paraId="7EBC0357">
      <w:pPr>
        <w:spacing w:line="360" w:lineRule="auto"/>
        <w:ind w:firstLine="560" w:firstLineChars="200"/>
        <w:rPr>
          <w:rFonts w:ascii="宋体" w:hAnsi="宋体" w:cs="宋体"/>
          <w:color w:val="000000"/>
          <w:kern w:val="10"/>
          <w:sz w:val="28"/>
          <w:szCs w:val="28"/>
          <w:highlight w:val="none"/>
        </w:rPr>
      </w:pPr>
    </w:p>
    <w:p w14:paraId="62D5BFA2">
      <w:pPr>
        <w:spacing w:line="360" w:lineRule="auto"/>
        <w:rPr>
          <w:rFonts w:ascii="宋体" w:hAnsi="宋体" w:cs="宋体"/>
          <w:color w:val="000000"/>
          <w:kern w:val="10"/>
          <w:sz w:val="28"/>
          <w:szCs w:val="28"/>
          <w:highlight w:val="none"/>
        </w:rPr>
      </w:pPr>
    </w:p>
    <w:p w14:paraId="3FE9A775">
      <w:pPr>
        <w:spacing w:line="360" w:lineRule="auto"/>
        <w:ind w:firstLine="560" w:firstLineChars="200"/>
        <w:rPr>
          <w:rFonts w:ascii="宋体" w:hAnsi="宋体" w:cs="宋体"/>
          <w:color w:val="000000"/>
          <w:kern w:val="10"/>
          <w:sz w:val="28"/>
          <w:szCs w:val="28"/>
          <w:highlight w:val="none"/>
        </w:rPr>
      </w:pPr>
    </w:p>
    <w:p w14:paraId="234198D2">
      <w:pPr>
        <w:spacing w:line="360" w:lineRule="auto"/>
        <w:ind w:firstLine="560" w:firstLineChars="200"/>
        <w:rPr>
          <w:rFonts w:ascii="宋体" w:hAnsi="宋体" w:cs="宋体"/>
          <w:color w:val="000000"/>
          <w:kern w:val="10"/>
          <w:sz w:val="28"/>
          <w:szCs w:val="28"/>
          <w:highlight w:val="none"/>
        </w:rPr>
      </w:pPr>
    </w:p>
    <w:p w14:paraId="2244D955">
      <w:pPr>
        <w:spacing w:line="360" w:lineRule="auto"/>
        <w:ind w:firstLine="560" w:firstLineChars="200"/>
        <w:rPr>
          <w:rFonts w:ascii="宋体" w:hAnsi="宋体" w:cs="宋体"/>
          <w:color w:val="000000"/>
          <w:kern w:val="10"/>
          <w:sz w:val="28"/>
          <w:szCs w:val="28"/>
          <w:highlight w:val="none"/>
        </w:rPr>
      </w:pPr>
    </w:p>
    <w:p w14:paraId="4365F913">
      <w:pPr>
        <w:spacing w:line="360" w:lineRule="auto"/>
        <w:ind w:firstLine="560" w:firstLineChars="200"/>
        <w:rPr>
          <w:rFonts w:ascii="宋体" w:hAnsi="宋体" w:cs="宋体"/>
          <w:color w:val="000000"/>
          <w:kern w:val="10"/>
          <w:sz w:val="28"/>
          <w:szCs w:val="28"/>
          <w:highlight w:val="none"/>
        </w:rPr>
      </w:pPr>
    </w:p>
    <w:p w14:paraId="2A59A0DC">
      <w:pPr>
        <w:spacing w:line="360" w:lineRule="auto"/>
        <w:ind w:firstLine="560" w:firstLineChars="200"/>
        <w:rPr>
          <w:rFonts w:ascii="宋体" w:hAnsi="宋体" w:cs="宋体"/>
          <w:color w:val="000000"/>
          <w:kern w:val="10"/>
          <w:sz w:val="28"/>
          <w:szCs w:val="28"/>
          <w:highlight w:val="none"/>
        </w:rPr>
      </w:pPr>
    </w:p>
    <w:p w14:paraId="71D73C4D">
      <w:pPr>
        <w:spacing w:line="360" w:lineRule="auto"/>
        <w:ind w:firstLine="560" w:firstLineChars="200"/>
        <w:rPr>
          <w:rFonts w:hint="eastAsia" w:ascii="宋体" w:hAnsi="宋体" w:cs="宋体"/>
          <w:color w:val="000000"/>
          <w:kern w:val="10"/>
          <w:sz w:val="28"/>
          <w:szCs w:val="28"/>
          <w:highlight w:val="none"/>
        </w:rPr>
      </w:pPr>
    </w:p>
    <w:p w14:paraId="210EAA07">
      <w:pPr>
        <w:spacing w:line="360" w:lineRule="auto"/>
        <w:ind w:firstLine="560" w:firstLineChars="200"/>
        <w:rPr>
          <w:rFonts w:hint="eastAsia" w:ascii="宋体" w:hAnsi="宋体" w:cs="宋体"/>
          <w:color w:val="000000"/>
          <w:kern w:val="10"/>
          <w:sz w:val="28"/>
          <w:szCs w:val="28"/>
          <w:highlight w:val="none"/>
        </w:rPr>
      </w:pPr>
    </w:p>
    <w:p w14:paraId="687CBE4D">
      <w:pPr>
        <w:spacing w:line="360" w:lineRule="auto"/>
        <w:ind w:firstLine="560" w:firstLineChars="200"/>
        <w:rPr>
          <w:rFonts w:hint="eastAsia" w:ascii="宋体" w:hAnsi="宋体" w:cs="宋体"/>
          <w:color w:val="000000"/>
          <w:kern w:val="10"/>
          <w:sz w:val="28"/>
          <w:szCs w:val="28"/>
          <w:highlight w:val="none"/>
        </w:rPr>
      </w:pPr>
    </w:p>
    <w:p w14:paraId="63DC63E2">
      <w:pPr>
        <w:rPr>
          <w:rFonts w:hint="eastAsia" w:ascii="宋体" w:hAnsi="宋体" w:cs="宋体"/>
          <w:color w:val="000000"/>
          <w:kern w:val="10"/>
          <w:sz w:val="28"/>
          <w:szCs w:val="28"/>
          <w:highlight w:val="none"/>
        </w:rPr>
      </w:pPr>
      <w:r>
        <w:rPr>
          <w:rFonts w:hint="eastAsia" w:ascii="宋体" w:hAnsi="宋体" w:cs="宋体"/>
          <w:color w:val="000000"/>
          <w:kern w:val="10"/>
          <w:sz w:val="28"/>
          <w:szCs w:val="28"/>
          <w:highlight w:val="none"/>
        </w:rPr>
        <w:br w:type="page"/>
      </w:r>
    </w:p>
    <w:p w14:paraId="4347665B">
      <w:pPr>
        <w:spacing w:line="360" w:lineRule="auto"/>
        <w:ind w:firstLine="560" w:firstLineChars="200"/>
        <w:rPr>
          <w:rFonts w:ascii="宋体" w:hAnsi="宋体" w:cs="宋体"/>
          <w:color w:val="000000"/>
          <w:kern w:val="10"/>
          <w:sz w:val="28"/>
          <w:szCs w:val="28"/>
          <w:highlight w:val="none"/>
        </w:rPr>
      </w:pPr>
      <w:r>
        <w:rPr>
          <w:rFonts w:hint="eastAsia" w:ascii="宋体" w:hAnsi="宋体" w:cs="宋体"/>
          <w:color w:val="000000"/>
          <w:kern w:val="10"/>
          <w:sz w:val="28"/>
          <w:szCs w:val="28"/>
          <w:highlight w:val="none"/>
        </w:rPr>
        <w:t>1、总则</w:t>
      </w:r>
      <w:bookmarkEnd w:id="28"/>
    </w:p>
    <w:p w14:paraId="4CF30425">
      <w:pPr>
        <w:spacing w:line="360" w:lineRule="auto"/>
        <w:ind w:firstLine="480" w:firstLineChars="200"/>
        <w:rPr>
          <w:rFonts w:ascii="宋体" w:hAnsi="宋体"/>
          <w:color w:val="000000"/>
          <w:sz w:val="24"/>
          <w:highlight w:val="none"/>
        </w:rPr>
      </w:pPr>
      <w:bookmarkStart w:id="33" w:name="_Toc179632548"/>
      <w:bookmarkStart w:id="34" w:name="_Toc144974499"/>
      <w:bookmarkStart w:id="35" w:name="_Toc152042307"/>
      <w:bookmarkStart w:id="36" w:name="_Toc152045531"/>
      <w:r>
        <w:rPr>
          <w:rFonts w:hint="eastAsia" w:ascii="宋体" w:hAnsi="宋体"/>
          <w:color w:val="000000"/>
          <w:sz w:val="24"/>
          <w:highlight w:val="none"/>
        </w:rPr>
        <w:t>1.1 项目概况</w:t>
      </w:r>
    </w:p>
    <w:p w14:paraId="29868FD3">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1.1.1 根据</w:t>
      </w:r>
      <w:r>
        <w:rPr>
          <w:rFonts w:ascii="宋体" w:hAnsi="宋体"/>
          <w:color w:val="000000"/>
          <w:sz w:val="24"/>
          <w:highlight w:val="none"/>
        </w:rPr>
        <w:t>根据《中华人民共和国政府采购法》等有关法律、法规和规章的规定，本招标项目已具备</w:t>
      </w:r>
      <w:r>
        <w:rPr>
          <w:rFonts w:hint="eastAsia" w:ascii="宋体" w:hAnsi="宋体"/>
          <w:color w:val="000000"/>
          <w:sz w:val="24"/>
          <w:highlight w:val="none"/>
        </w:rPr>
        <w:t>磋商</w:t>
      </w:r>
      <w:r>
        <w:rPr>
          <w:rFonts w:ascii="宋体" w:hAnsi="宋体"/>
          <w:color w:val="000000"/>
          <w:sz w:val="24"/>
          <w:highlight w:val="none"/>
        </w:rPr>
        <w:t>条件，现对本项目进行</w:t>
      </w:r>
      <w:r>
        <w:rPr>
          <w:rFonts w:hint="eastAsia" w:ascii="宋体" w:hAnsi="宋体"/>
          <w:color w:val="000000"/>
          <w:sz w:val="24"/>
          <w:highlight w:val="none"/>
        </w:rPr>
        <w:t>磋商。</w:t>
      </w:r>
    </w:p>
    <w:p w14:paraId="47534B3E">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1.1.2 本项目采购人：见投标人须知前附表。</w:t>
      </w:r>
    </w:p>
    <w:p w14:paraId="1C8CDB7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1.1.3 本项目招标代理机构：见投标人须知前附表。</w:t>
      </w:r>
    </w:p>
    <w:p w14:paraId="74FF6B40">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1.1.4 本项目名称：见投标人须知前附表。</w:t>
      </w:r>
    </w:p>
    <w:bookmarkEnd w:id="33"/>
    <w:bookmarkEnd w:id="34"/>
    <w:bookmarkEnd w:id="35"/>
    <w:bookmarkEnd w:id="36"/>
    <w:p w14:paraId="3C8853C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1.2 资金来源和落实情况</w:t>
      </w:r>
    </w:p>
    <w:p w14:paraId="25D52D1D">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1.2.1 本项目的资金来源：见投标人须知前附表。</w:t>
      </w:r>
    </w:p>
    <w:p w14:paraId="4D18749F">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1.2.2 本项目的出资比例：见投标人须知前附表。</w:t>
      </w:r>
    </w:p>
    <w:p w14:paraId="633565F2">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1.2.3 本项目的资金落实情况：见投标人须知前附表。</w:t>
      </w:r>
    </w:p>
    <w:p w14:paraId="0EF421F2">
      <w:pPr>
        <w:spacing w:line="360" w:lineRule="auto"/>
        <w:ind w:firstLine="480" w:firstLineChars="200"/>
        <w:rPr>
          <w:rFonts w:ascii="宋体" w:hAnsi="宋体"/>
          <w:color w:val="000000"/>
          <w:sz w:val="24"/>
          <w:highlight w:val="none"/>
        </w:rPr>
      </w:pPr>
      <w:bookmarkStart w:id="37" w:name="_Toc144974500"/>
      <w:bookmarkStart w:id="38" w:name="_Toc152042308"/>
      <w:bookmarkStart w:id="39" w:name="_Toc152045532"/>
      <w:bookmarkStart w:id="40" w:name="_Toc179632549"/>
      <w:r>
        <w:rPr>
          <w:rFonts w:hint="eastAsia" w:ascii="宋体" w:hAnsi="宋体"/>
          <w:color w:val="000000"/>
          <w:sz w:val="24"/>
          <w:highlight w:val="none"/>
        </w:rPr>
        <w:t>1.3 服务范围、服务要求、服务周期、服务地点和质量标准</w:t>
      </w:r>
    </w:p>
    <w:p w14:paraId="1B8759F3">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1.3.1 本项目服务范围：见投标人须知前附表。</w:t>
      </w:r>
    </w:p>
    <w:p w14:paraId="46793B14">
      <w:pPr>
        <w:spacing w:line="36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1.3.2 本项目的质量标准：见投标人须知前附表</w:t>
      </w:r>
      <w:r>
        <w:rPr>
          <w:rFonts w:hint="eastAsia" w:ascii="宋体" w:hAnsi="宋体"/>
          <w:color w:val="000000"/>
          <w:sz w:val="24"/>
          <w:highlight w:val="none"/>
          <w:lang w:eastAsia="zh-CN"/>
        </w:rPr>
        <w:t>。</w:t>
      </w:r>
    </w:p>
    <w:p w14:paraId="7CFDF11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1.3.3 本项目的</w:t>
      </w:r>
      <w:r>
        <w:rPr>
          <w:rFonts w:hint="eastAsia" w:ascii="宋体" w:hAnsi="宋体"/>
          <w:color w:val="000000"/>
          <w:sz w:val="24"/>
          <w:highlight w:val="none"/>
          <w:lang w:eastAsia="zh-CN"/>
        </w:rPr>
        <w:t>交货期</w:t>
      </w:r>
      <w:r>
        <w:rPr>
          <w:rFonts w:hint="eastAsia" w:ascii="宋体" w:hAnsi="宋体"/>
          <w:color w:val="000000"/>
          <w:sz w:val="24"/>
          <w:highlight w:val="none"/>
        </w:rPr>
        <w:t>：见投标人须知前附表。</w:t>
      </w:r>
    </w:p>
    <w:p w14:paraId="1D04496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1.3.4 本项目</w:t>
      </w:r>
      <w:r>
        <w:rPr>
          <w:rFonts w:hint="eastAsia" w:ascii="宋体" w:hAnsi="宋体"/>
          <w:color w:val="000000"/>
          <w:sz w:val="24"/>
          <w:highlight w:val="none"/>
          <w:lang w:eastAsia="zh-CN"/>
        </w:rPr>
        <w:t>交货</w:t>
      </w:r>
      <w:r>
        <w:rPr>
          <w:rFonts w:hint="eastAsia" w:ascii="宋体" w:hAnsi="宋体"/>
          <w:color w:val="000000"/>
          <w:sz w:val="24"/>
          <w:highlight w:val="none"/>
        </w:rPr>
        <w:t>地点：见投标人须知前附表。</w:t>
      </w:r>
    </w:p>
    <w:bookmarkEnd w:id="37"/>
    <w:bookmarkEnd w:id="38"/>
    <w:bookmarkEnd w:id="39"/>
    <w:bookmarkEnd w:id="40"/>
    <w:p w14:paraId="63B700DF">
      <w:pPr>
        <w:spacing w:line="360" w:lineRule="auto"/>
        <w:ind w:firstLine="480" w:firstLineChars="200"/>
        <w:rPr>
          <w:rFonts w:ascii="宋体" w:hAnsi="宋体"/>
          <w:color w:val="000000"/>
          <w:sz w:val="24"/>
          <w:highlight w:val="none"/>
        </w:rPr>
      </w:pPr>
      <w:bookmarkStart w:id="41" w:name="_Toc179632550"/>
      <w:bookmarkStart w:id="42" w:name="_Toc152042309"/>
      <w:bookmarkStart w:id="43" w:name="_Toc144974501"/>
      <w:bookmarkStart w:id="44" w:name="_Toc152045533"/>
      <w:r>
        <w:rPr>
          <w:rFonts w:hint="eastAsia" w:ascii="宋体" w:hAnsi="宋体"/>
          <w:color w:val="000000"/>
          <w:sz w:val="24"/>
          <w:highlight w:val="none"/>
        </w:rPr>
        <w:t>1.4 投标人资格要求</w:t>
      </w:r>
      <w:bookmarkEnd w:id="41"/>
      <w:bookmarkEnd w:id="42"/>
      <w:bookmarkEnd w:id="43"/>
      <w:bookmarkEnd w:id="44"/>
      <w:r>
        <w:rPr>
          <w:rFonts w:hint="eastAsia" w:ascii="宋体" w:hAnsi="宋体"/>
          <w:color w:val="000000"/>
          <w:sz w:val="24"/>
          <w:highlight w:val="none"/>
        </w:rPr>
        <w:t>：见投标人须知前附表。</w:t>
      </w:r>
    </w:p>
    <w:p w14:paraId="50ABE847">
      <w:pPr>
        <w:spacing w:line="360" w:lineRule="auto"/>
        <w:ind w:firstLine="480" w:firstLineChars="200"/>
        <w:rPr>
          <w:rFonts w:ascii="宋体" w:hAnsi="宋体"/>
          <w:color w:val="000000"/>
          <w:sz w:val="24"/>
          <w:highlight w:val="none"/>
        </w:rPr>
      </w:pPr>
      <w:bookmarkStart w:id="45" w:name="_Toc144974503"/>
      <w:bookmarkStart w:id="46" w:name="_Toc179632552"/>
      <w:bookmarkStart w:id="47" w:name="_Toc152045535"/>
      <w:bookmarkStart w:id="48" w:name="_Toc152042311"/>
      <w:r>
        <w:rPr>
          <w:rFonts w:hint="eastAsia" w:ascii="宋体" w:hAnsi="宋体"/>
          <w:color w:val="000000"/>
          <w:sz w:val="24"/>
          <w:highlight w:val="none"/>
        </w:rPr>
        <w:t>1.5 费用承担</w:t>
      </w:r>
      <w:bookmarkEnd w:id="45"/>
      <w:bookmarkEnd w:id="46"/>
      <w:bookmarkEnd w:id="47"/>
      <w:bookmarkEnd w:id="48"/>
    </w:p>
    <w:p w14:paraId="25376C7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投标人准备和参加投标活动发生的费用自理。</w:t>
      </w:r>
    </w:p>
    <w:p w14:paraId="0B220B5E">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1.6 保密</w:t>
      </w:r>
    </w:p>
    <w:p w14:paraId="46E56C9F">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参与招标投标活动的各方应对竞争性磋商文件和响应性文件中的商业和技术等秘密保密，违者应对由此造成的后果承担法律责任。</w:t>
      </w:r>
    </w:p>
    <w:p w14:paraId="5B1BF932">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1.7 语言文字</w:t>
      </w:r>
    </w:p>
    <w:p w14:paraId="056C73D9">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除专用术语外，与招标投标有关的语言均使用中文。专用术语应附有中文注释。</w:t>
      </w:r>
    </w:p>
    <w:p w14:paraId="3A153D14">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1.8计量单位 </w:t>
      </w:r>
    </w:p>
    <w:p w14:paraId="199710DE">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所有计量均采用中华人民共和国法定计量单位。 </w:t>
      </w:r>
    </w:p>
    <w:p w14:paraId="36E26959">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1.9踏勘现场 </w:t>
      </w:r>
    </w:p>
    <w:p w14:paraId="021B2839">
      <w:pPr>
        <w:spacing w:line="360" w:lineRule="auto"/>
        <w:ind w:firstLine="480" w:firstLineChars="200"/>
        <w:rPr>
          <w:rFonts w:ascii="宋体" w:hAnsi="宋体" w:cs="宋体"/>
          <w:color w:val="000000"/>
          <w:sz w:val="24"/>
          <w:highlight w:val="none"/>
        </w:rPr>
      </w:pPr>
      <w:r>
        <w:rPr>
          <w:rFonts w:hint="eastAsia" w:ascii="宋体" w:hAnsi="宋体"/>
          <w:color w:val="000000"/>
          <w:sz w:val="24"/>
          <w:highlight w:val="none"/>
        </w:rPr>
        <w:t>见投标人须知前附表</w:t>
      </w:r>
      <w:r>
        <w:rPr>
          <w:rFonts w:hint="eastAsia" w:ascii="宋体" w:hAnsi="宋体" w:cs="宋体"/>
          <w:color w:val="000000"/>
          <w:sz w:val="24"/>
          <w:highlight w:val="none"/>
        </w:rPr>
        <w:t>。</w:t>
      </w:r>
    </w:p>
    <w:p w14:paraId="6400CB2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1.10投标预备会 </w:t>
      </w:r>
    </w:p>
    <w:p w14:paraId="2EC75719">
      <w:pPr>
        <w:spacing w:line="360" w:lineRule="auto"/>
        <w:ind w:firstLine="480" w:firstLineChars="200"/>
        <w:rPr>
          <w:rFonts w:ascii="宋体" w:hAnsi="宋体" w:cs="宋体"/>
          <w:color w:val="000000"/>
          <w:sz w:val="24"/>
          <w:highlight w:val="none"/>
        </w:rPr>
      </w:pPr>
      <w:r>
        <w:rPr>
          <w:rFonts w:hint="eastAsia" w:ascii="宋体" w:hAnsi="宋体"/>
          <w:color w:val="000000"/>
          <w:sz w:val="24"/>
          <w:highlight w:val="none"/>
        </w:rPr>
        <w:t>见投标人须知前附表</w:t>
      </w:r>
      <w:r>
        <w:rPr>
          <w:rFonts w:hint="eastAsia" w:ascii="宋体" w:hAnsi="宋体" w:cs="宋体"/>
          <w:color w:val="000000"/>
          <w:sz w:val="24"/>
          <w:highlight w:val="none"/>
        </w:rPr>
        <w:t>。 </w:t>
      </w:r>
    </w:p>
    <w:p w14:paraId="3FADCFD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1.11分包 </w:t>
      </w:r>
    </w:p>
    <w:p w14:paraId="08486416">
      <w:pPr>
        <w:spacing w:line="360" w:lineRule="auto"/>
        <w:ind w:firstLine="480" w:firstLineChars="200"/>
        <w:rPr>
          <w:rFonts w:ascii="宋体" w:hAnsi="宋体" w:cs="宋体"/>
          <w:color w:val="000000"/>
          <w:sz w:val="24"/>
          <w:highlight w:val="none"/>
        </w:rPr>
      </w:pPr>
      <w:r>
        <w:rPr>
          <w:rFonts w:hint="eastAsia" w:ascii="宋体" w:hAnsi="宋体"/>
          <w:color w:val="000000"/>
          <w:sz w:val="24"/>
          <w:highlight w:val="none"/>
        </w:rPr>
        <w:t>见投标人须知前附表</w:t>
      </w:r>
      <w:r>
        <w:rPr>
          <w:rFonts w:hint="eastAsia" w:ascii="宋体" w:hAnsi="宋体" w:cs="宋体"/>
          <w:color w:val="000000"/>
          <w:sz w:val="24"/>
          <w:highlight w:val="none"/>
        </w:rPr>
        <w:t>。 </w:t>
      </w:r>
    </w:p>
    <w:p w14:paraId="4C14DFDE">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1.12偏离 </w:t>
      </w:r>
    </w:p>
    <w:p w14:paraId="53E79B04">
      <w:pPr>
        <w:spacing w:line="360" w:lineRule="auto"/>
        <w:ind w:firstLine="480" w:firstLineChars="200"/>
        <w:rPr>
          <w:rFonts w:ascii="宋体" w:hAnsi="宋体" w:cs="宋体"/>
          <w:color w:val="000000"/>
          <w:sz w:val="24"/>
          <w:highlight w:val="none"/>
        </w:rPr>
      </w:pPr>
      <w:r>
        <w:rPr>
          <w:rFonts w:hint="eastAsia" w:ascii="宋体" w:hAnsi="宋体"/>
          <w:color w:val="000000"/>
          <w:sz w:val="24"/>
          <w:highlight w:val="none"/>
        </w:rPr>
        <w:t>见投标人须知前附表</w:t>
      </w:r>
      <w:r>
        <w:rPr>
          <w:rFonts w:hint="eastAsia" w:ascii="宋体" w:hAnsi="宋体" w:cs="宋体"/>
          <w:color w:val="000000"/>
          <w:sz w:val="24"/>
          <w:highlight w:val="none"/>
        </w:rPr>
        <w:t>。 </w:t>
      </w:r>
    </w:p>
    <w:p w14:paraId="50E6570B">
      <w:pPr>
        <w:spacing w:line="360" w:lineRule="auto"/>
        <w:ind w:firstLine="480" w:firstLineChars="200"/>
        <w:rPr>
          <w:rFonts w:hint="eastAsia" w:ascii="宋体" w:hAnsi="宋体"/>
          <w:color w:val="000000"/>
          <w:sz w:val="24"/>
          <w:highlight w:val="none"/>
        </w:rPr>
      </w:pPr>
      <w:bookmarkStart w:id="49" w:name="_Toc516499647"/>
      <w:r>
        <w:rPr>
          <w:rFonts w:hint="eastAsia" w:ascii="宋体" w:hAnsi="宋体"/>
          <w:color w:val="000000"/>
          <w:sz w:val="24"/>
          <w:highlight w:val="none"/>
        </w:rPr>
        <w:t>2、竞争性磋商文件</w:t>
      </w:r>
      <w:bookmarkEnd w:id="49"/>
    </w:p>
    <w:p w14:paraId="02B96C8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2.1 竞争性磋商文件的组成</w:t>
      </w:r>
    </w:p>
    <w:p w14:paraId="124C4F3A">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本竞争性磋商文件包括：</w:t>
      </w:r>
    </w:p>
    <w:p w14:paraId="1F8726E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（1）竞争性磋商公告</w:t>
      </w:r>
    </w:p>
    <w:p w14:paraId="47930B7D">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（2）投标人须知</w:t>
      </w:r>
    </w:p>
    <w:p w14:paraId="7A94F00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（3）采购内容要求</w:t>
      </w:r>
    </w:p>
    <w:p w14:paraId="77C3FA45">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w:t>
      </w:r>
      <w:r>
        <w:rPr>
          <w:highlight w:val="none"/>
        </w:rPr>
        <w:fldChar w:fldCharType="begin"/>
      </w:r>
      <w:r>
        <w:rPr>
          <w:highlight w:val="none"/>
        </w:rPr>
        <w:instrText xml:space="preserve"> HYPERLINK \l "_Toc4944" </w:instrText>
      </w:r>
      <w:r>
        <w:rPr>
          <w:highlight w:val="none"/>
        </w:rPr>
        <w:fldChar w:fldCharType="separate"/>
      </w:r>
      <w:r>
        <w:rPr>
          <w:rFonts w:hint="eastAsia" w:ascii="宋体" w:hAnsi="宋体"/>
          <w:color w:val="000000"/>
          <w:sz w:val="24"/>
          <w:highlight w:val="none"/>
        </w:rPr>
        <w:t>评标办法（综合评估法）</w:t>
      </w:r>
      <w:r>
        <w:rPr>
          <w:rFonts w:hint="eastAsia" w:ascii="宋体" w:hAnsi="宋体"/>
          <w:color w:val="000000"/>
          <w:sz w:val="24"/>
          <w:highlight w:val="none"/>
        </w:rPr>
        <w:fldChar w:fldCharType="end"/>
      </w:r>
    </w:p>
    <w:p w14:paraId="72E87D13">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（5）</w:t>
      </w:r>
      <w:r>
        <w:rPr>
          <w:highlight w:val="none"/>
        </w:rPr>
        <w:fldChar w:fldCharType="begin"/>
      </w:r>
      <w:r>
        <w:rPr>
          <w:highlight w:val="none"/>
        </w:rPr>
        <w:instrText xml:space="preserve"> HYPERLINK \l "_Toc32230" </w:instrText>
      </w:r>
      <w:r>
        <w:rPr>
          <w:highlight w:val="none"/>
        </w:rPr>
        <w:fldChar w:fldCharType="separate"/>
      </w:r>
      <w:r>
        <w:rPr>
          <w:rFonts w:hint="eastAsia" w:ascii="宋体" w:hAnsi="宋体"/>
          <w:color w:val="000000"/>
          <w:sz w:val="24"/>
          <w:highlight w:val="none"/>
        </w:rPr>
        <w:t>合同文本格式</w:t>
      </w:r>
      <w:r>
        <w:rPr>
          <w:rFonts w:hint="eastAsia" w:ascii="宋体" w:hAnsi="宋体"/>
          <w:color w:val="000000"/>
          <w:sz w:val="24"/>
          <w:highlight w:val="none"/>
        </w:rPr>
        <w:fldChar w:fldCharType="end"/>
      </w:r>
    </w:p>
    <w:p w14:paraId="7EBBADB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（6）</w:t>
      </w:r>
      <w:r>
        <w:rPr>
          <w:highlight w:val="none"/>
        </w:rPr>
        <w:fldChar w:fldCharType="begin"/>
      </w:r>
      <w:r>
        <w:rPr>
          <w:highlight w:val="none"/>
        </w:rPr>
        <w:instrText xml:space="preserve"> HYPERLINK \l "_Toc29907" </w:instrText>
      </w:r>
      <w:r>
        <w:rPr>
          <w:highlight w:val="none"/>
        </w:rPr>
        <w:fldChar w:fldCharType="separate"/>
      </w:r>
      <w:r>
        <w:rPr>
          <w:rFonts w:hint="eastAsia" w:ascii="宋体" w:hAnsi="宋体"/>
          <w:color w:val="000000"/>
          <w:sz w:val="24"/>
          <w:highlight w:val="none"/>
        </w:rPr>
        <w:t>响应性文件格式</w:t>
      </w:r>
      <w:r>
        <w:rPr>
          <w:rFonts w:hint="eastAsia" w:ascii="宋体" w:hAnsi="宋体"/>
          <w:color w:val="000000"/>
          <w:sz w:val="24"/>
          <w:highlight w:val="none"/>
        </w:rPr>
        <w:fldChar w:fldCharType="end"/>
      </w:r>
    </w:p>
    <w:p w14:paraId="7B3F1B7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根据本章第2.2款和第2.3 款对竞争性磋商文件所作的澄清、修改，构成竞争性磋商文件的组成部分。</w:t>
      </w:r>
    </w:p>
    <w:p w14:paraId="4D67DE78">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2.2 竞争性磋商文件的澄清</w:t>
      </w:r>
    </w:p>
    <w:p w14:paraId="4E17E85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投标人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14:paraId="0E3BBCF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2.3 竞争性磋商文件的修改</w:t>
      </w:r>
    </w:p>
    <w:p w14:paraId="69E253A2">
      <w:pPr>
        <w:spacing w:line="360" w:lineRule="auto"/>
        <w:ind w:firstLine="480" w:firstLineChars="200"/>
        <w:rPr>
          <w:rFonts w:ascii="宋体" w:hAnsi="宋体"/>
          <w:b/>
          <w:bCs/>
          <w:color w:val="000000"/>
          <w:sz w:val="24"/>
          <w:highlight w:val="none"/>
        </w:rPr>
      </w:pPr>
      <w:bookmarkStart w:id="50" w:name="_Toc516499648"/>
      <w:r>
        <w:rPr>
          <w:rFonts w:ascii="宋体" w:hAnsi="宋体"/>
          <w:b/>
          <w:bCs/>
          <w:color w:val="000000"/>
          <w:sz w:val="24"/>
          <w:highlight w:val="none"/>
        </w:rPr>
        <w:t>2.3.1 在投标截止时间5天前，采购人可以修改竞争性磋商文件，并以变更公告形式通知所有已购买竞争性竞争性磋商文件的投标人</w:t>
      </w:r>
      <w:r>
        <w:rPr>
          <w:rFonts w:hint="eastAsia" w:ascii="宋体" w:hAnsi="宋体"/>
          <w:b/>
          <w:bCs/>
          <w:color w:val="000000"/>
          <w:sz w:val="24"/>
          <w:highlight w:val="none"/>
        </w:rPr>
        <w:t>。</w:t>
      </w:r>
    </w:p>
    <w:p w14:paraId="41A46F4E">
      <w:pPr>
        <w:spacing w:line="360" w:lineRule="auto"/>
        <w:ind w:firstLine="480" w:firstLineChars="200"/>
        <w:rPr>
          <w:rFonts w:ascii="宋体" w:hAnsi="宋体"/>
          <w:b/>
          <w:bCs/>
          <w:color w:val="000000"/>
          <w:sz w:val="24"/>
          <w:highlight w:val="none"/>
        </w:rPr>
      </w:pPr>
      <w:r>
        <w:rPr>
          <w:rFonts w:ascii="宋体" w:hAnsi="宋体"/>
          <w:b/>
          <w:bCs/>
          <w:color w:val="000000"/>
          <w:sz w:val="24"/>
          <w:highlight w:val="none"/>
        </w:rPr>
        <w:t>2.3.2如果修改竞争性竞争性磋商文件，会在三门峡市公共资源交易中心网发布变更公告，不再发纸质的变更信息。提醒投标人随时注意网上发布的信息。如因投标人自身原因未看到信息，因此造成的一切后果由投标人自行承担。</w:t>
      </w:r>
    </w:p>
    <w:p w14:paraId="0CA737EE">
      <w:pPr>
        <w:spacing w:line="360" w:lineRule="auto"/>
        <w:ind w:firstLine="480" w:firstLineChars="200"/>
        <w:rPr>
          <w:rFonts w:ascii="宋体" w:hAnsi="宋体"/>
          <w:b/>
          <w:bCs/>
          <w:color w:val="000000"/>
          <w:sz w:val="24"/>
          <w:highlight w:val="none"/>
        </w:rPr>
      </w:pPr>
      <w:r>
        <w:rPr>
          <w:rFonts w:hint="eastAsia" w:ascii="宋体" w:hAnsi="宋体"/>
          <w:b/>
          <w:bCs/>
          <w:color w:val="000000"/>
          <w:sz w:val="24"/>
          <w:highlight w:val="none"/>
        </w:rPr>
        <w:t>2.</w:t>
      </w:r>
      <w:r>
        <w:rPr>
          <w:rFonts w:ascii="宋体" w:hAnsi="宋体"/>
          <w:b/>
          <w:bCs/>
          <w:color w:val="000000"/>
          <w:sz w:val="24"/>
          <w:highlight w:val="none"/>
        </w:rPr>
        <w:t>3.3为使投标人在准备竞争性竞争性磋商文件时有合理的时间考虑竞争性竞争性磋商文件的修改，招标代理机构可酌情推迟投标截止时间和开标时间，但应当至少在投标截止时间三个日历</w:t>
      </w:r>
      <w:r>
        <w:rPr>
          <w:rFonts w:hint="eastAsia" w:ascii="宋体" w:hAnsi="宋体"/>
          <w:b/>
          <w:bCs/>
          <w:color w:val="000000"/>
          <w:sz w:val="24"/>
          <w:highlight w:val="none"/>
        </w:rPr>
        <w:t>天</w:t>
      </w:r>
      <w:r>
        <w:rPr>
          <w:rFonts w:ascii="宋体" w:hAnsi="宋体"/>
          <w:b/>
          <w:bCs/>
          <w:color w:val="000000"/>
          <w:sz w:val="24"/>
          <w:highlight w:val="none"/>
        </w:rPr>
        <w:t>前将变更时间以发布变更公告的形式通知所有投标人。该修改内容为竞争性竞争性磋商文件的组成部分。在此情况下，采购人和投标人受投标截止期制约的所有权利和义务均应延长至新的截止日期。</w:t>
      </w:r>
    </w:p>
    <w:p w14:paraId="139BBCD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3、响应性文件</w:t>
      </w:r>
      <w:bookmarkEnd w:id="50"/>
    </w:p>
    <w:p w14:paraId="699B541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3.1 响应性文件的组成</w:t>
      </w:r>
    </w:p>
    <w:p w14:paraId="349F87B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3.1.1响应性文件应包括下列内容：</w:t>
      </w:r>
    </w:p>
    <w:p w14:paraId="74952D39">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一、投标函</w:t>
      </w:r>
    </w:p>
    <w:p w14:paraId="123BA454">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二、法定代表人身份证明及授权委托书</w:t>
      </w:r>
    </w:p>
    <w:p w14:paraId="35F68A18">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三、投标承诺函</w:t>
      </w:r>
    </w:p>
    <w:p w14:paraId="3D6DB23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四、报价一览表 </w:t>
      </w:r>
    </w:p>
    <w:p w14:paraId="21FB145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五、实施方案及技术方案</w:t>
      </w:r>
    </w:p>
    <w:p w14:paraId="59BA8F6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六、质保及售后服务承诺</w:t>
      </w:r>
    </w:p>
    <w:p w14:paraId="36B3669A">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七、中小微企业声明函</w:t>
      </w:r>
    </w:p>
    <w:p w14:paraId="4E39632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八、监狱企业证明材料</w:t>
      </w:r>
    </w:p>
    <w:p w14:paraId="2FE6F3A2">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九、资格审查资料</w:t>
      </w:r>
    </w:p>
    <w:p w14:paraId="7E45554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十、其他材料</w:t>
      </w:r>
    </w:p>
    <w:p w14:paraId="71BB0E1D">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3.2 投标报价</w:t>
      </w:r>
    </w:p>
    <w:p w14:paraId="018EB8B2">
      <w:pPr>
        <w:adjustRightInd w:val="0"/>
        <w:snapToGrid w:val="0"/>
        <w:spacing w:line="5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3.2.1</w:t>
      </w:r>
      <w:r>
        <w:rPr>
          <w:rFonts w:hint="eastAsia" w:ascii="宋体" w:hAnsi="宋体"/>
          <w:color w:val="000000"/>
          <w:sz w:val="24"/>
          <w:highlight w:val="none"/>
        </w:rPr>
        <w:t>本项目的磋商报价采用本须知前附表所规定的方式进行报价</w:t>
      </w:r>
      <w:r>
        <w:rPr>
          <w:rFonts w:hint="eastAsia" w:ascii="宋体" w:hAnsi="宋体" w:cs="宋体"/>
          <w:color w:val="000000"/>
          <w:sz w:val="24"/>
          <w:highlight w:val="none"/>
        </w:rPr>
        <w:t>。</w:t>
      </w:r>
    </w:p>
    <w:p w14:paraId="142A5E20">
      <w:pPr>
        <w:adjustRightInd w:val="0"/>
        <w:snapToGrid w:val="0"/>
        <w:spacing w:line="5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3.2.2参考相关收费标准结合投标单位自身情况自主报价，但不得低于本企业成本。</w:t>
      </w:r>
    </w:p>
    <w:p w14:paraId="1F1F6388">
      <w:pPr>
        <w:adjustRightInd w:val="0"/>
        <w:snapToGrid w:val="0"/>
        <w:spacing w:line="5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3.2.3各投标人应根据磋商文件的要求，进行合理投标报价。所报价格应包含磋商文件所要求的可能发生的招标范围内的工作费、顾问费及现场咨询服务费（后续服务费）等所有费用。</w:t>
      </w:r>
    </w:p>
    <w:p w14:paraId="2B477CB6">
      <w:pPr>
        <w:adjustRightInd w:val="0"/>
        <w:snapToGrid w:val="0"/>
        <w:spacing w:line="5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3.2.4投标的报价及合同所有款项的支付均以人民币计算。</w:t>
      </w:r>
    </w:p>
    <w:p w14:paraId="1793C1DF">
      <w:pPr>
        <w:adjustRightInd w:val="0"/>
        <w:snapToGrid w:val="0"/>
        <w:spacing w:line="5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3.2.5应当由投标人完成的而投标人在报价组成中没有详细列出的工作内容，其报价均视为包含在报价组成已列出的项目之中，采购人不另行支付。</w:t>
      </w:r>
    </w:p>
    <w:p w14:paraId="5E6A1192">
      <w:pPr>
        <w:adjustRightInd w:val="0"/>
        <w:snapToGrid w:val="0"/>
        <w:spacing w:line="54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3.2.6</w:t>
      </w:r>
      <w:r>
        <w:rPr>
          <w:rFonts w:hint="eastAsia" w:ascii="宋体" w:hAnsi="宋体" w:cs="宋体"/>
          <w:b/>
          <w:color w:val="000000"/>
          <w:sz w:val="24"/>
          <w:highlight w:val="none"/>
        </w:rPr>
        <w:t>本次磋商允许投标人有二次报价，</w:t>
      </w:r>
      <w:r>
        <w:rPr>
          <w:rFonts w:hint="eastAsia" w:ascii="宋体" w:hAnsi="宋体"/>
          <w:b/>
          <w:bCs/>
          <w:color w:val="000000"/>
          <w:sz w:val="24"/>
          <w:highlight w:val="none"/>
        </w:rPr>
        <w:t>投标人响应性文件中的报价作为第一次报价，不得高于项目预算金额且不公开；第二轮报价不得高于第一轮报价</w:t>
      </w:r>
      <w:r>
        <w:rPr>
          <w:rFonts w:ascii="宋体" w:hAnsi="宋体"/>
          <w:b/>
          <w:bCs/>
          <w:color w:val="000000"/>
          <w:sz w:val="24"/>
          <w:highlight w:val="none"/>
        </w:rPr>
        <w:t>,</w:t>
      </w:r>
      <w:r>
        <w:rPr>
          <w:rFonts w:hint="eastAsia" w:ascii="宋体" w:hAnsi="宋体" w:cs="宋体"/>
          <w:b/>
          <w:color w:val="000000"/>
          <w:sz w:val="24"/>
          <w:highlight w:val="none"/>
        </w:rPr>
        <w:t>最后一次报价为最终报价，</w:t>
      </w:r>
      <w:r>
        <w:rPr>
          <w:rFonts w:hint="eastAsia" w:ascii="宋体" w:hAnsi="宋体"/>
          <w:b/>
          <w:bCs/>
          <w:color w:val="000000"/>
          <w:sz w:val="24"/>
          <w:highlight w:val="none"/>
        </w:rPr>
        <w:t>成交价以最终报价为准。</w:t>
      </w:r>
      <w:r>
        <w:rPr>
          <w:rFonts w:hint="eastAsia" w:ascii="宋体" w:hAnsi="宋体" w:cs="宋体"/>
          <w:b/>
          <w:color w:val="000000"/>
          <w:sz w:val="24"/>
          <w:highlight w:val="none"/>
        </w:rPr>
        <w:t>最终报价是投标人响应文件的有效组成部分</w:t>
      </w:r>
      <w:r>
        <w:rPr>
          <w:rFonts w:hint="eastAsia" w:ascii="宋体" w:hAnsi="宋体" w:cs="宋体"/>
          <w:color w:val="000000"/>
          <w:sz w:val="24"/>
          <w:highlight w:val="none"/>
        </w:rPr>
        <w:t>。</w:t>
      </w:r>
    </w:p>
    <w:p w14:paraId="350268FB">
      <w:pPr>
        <w:spacing w:line="360" w:lineRule="auto"/>
        <w:ind w:firstLine="480" w:firstLineChars="200"/>
        <w:rPr>
          <w:rFonts w:ascii="宋体" w:hAnsi="宋体"/>
          <w:b/>
          <w:bCs/>
          <w:color w:val="000000"/>
          <w:sz w:val="24"/>
          <w:highlight w:val="none"/>
        </w:rPr>
      </w:pPr>
      <w:r>
        <w:rPr>
          <w:rFonts w:hint="eastAsia" w:ascii="宋体" w:hAnsi="宋体" w:cs="宋体"/>
          <w:color w:val="000000"/>
          <w:sz w:val="24"/>
          <w:highlight w:val="none"/>
        </w:rPr>
        <w:t>3.2.7投标人的磋商报价不得高于磋商控制价，否则为废标</w:t>
      </w:r>
    </w:p>
    <w:p w14:paraId="5FA5F259">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3.3 磋商有效期</w:t>
      </w:r>
    </w:p>
    <w:p w14:paraId="0CECF671">
      <w:pPr>
        <w:tabs>
          <w:tab w:val="left" w:pos="1002"/>
        </w:tabs>
        <w:overflowPunct w:val="0"/>
        <w:adjustRightInd w:val="0"/>
        <w:snapToGrid w:val="0"/>
        <w:spacing w:line="5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3.3.1自磋商截止时间起，磋商有效期为60日历天。在磋商有效期内，投标人不得要求撤销或修改其响应文件。</w:t>
      </w:r>
    </w:p>
    <w:p w14:paraId="7CFA1CE9">
      <w:pPr>
        <w:tabs>
          <w:tab w:val="left" w:pos="782"/>
        </w:tabs>
        <w:overflowPunct w:val="0"/>
        <w:adjustRightInd w:val="0"/>
        <w:snapToGrid w:val="0"/>
        <w:spacing w:line="5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3.3.2出现特殊情况需要延长磋商有效期的，采购人以书面形式通知所有投标人延长磋商有效期。投标人同意延长的，应相应延长其磋商保证金的有效期，但不得要求或被允许修改或撤销其响应文件；投标人拒绝延长的，其投标失效。</w:t>
      </w:r>
    </w:p>
    <w:p w14:paraId="69A39C0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3.4磋商保证金</w:t>
      </w:r>
    </w:p>
    <w:p w14:paraId="4EA3CE6E">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按照《河南省财政厅关于优化政府采购营商环境有关问题的通知》（豫财购[2019]4号文）的要求本项目不再收取磋商保证金。</w:t>
      </w:r>
    </w:p>
    <w:p w14:paraId="67074011">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3.5 资格审查资料</w:t>
      </w:r>
    </w:p>
    <w:p w14:paraId="50BBF90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见投标人须知前附表1.4.1投标人资格要求</w:t>
      </w:r>
    </w:p>
    <w:p w14:paraId="12DDF7D8">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3.6 备选投标方案</w:t>
      </w:r>
    </w:p>
    <w:p w14:paraId="41B6333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除投标人须知前附表另有规定外，投标人不得递交备选投标方案。允许投标人递交备选投标方案的，只有中标人所递交的备选投标方案方可予以考虑。磋商小组认为中标人的备选投标方案优于其按照竞争性磋商文件要求编制的投标方案的，采购人可以接受该备选投标方案。</w:t>
      </w:r>
    </w:p>
    <w:p w14:paraId="2AF4116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3.7响应性文件的编制</w:t>
      </w:r>
    </w:p>
    <w:p w14:paraId="2B061465">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3.7.1响应性文件应按第六章“响应性文件格式”进行编写，如有必要，可以增加附页，作为响应性文件的组成部分。</w:t>
      </w:r>
    </w:p>
    <w:p w14:paraId="254D17B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3.7.2响应性文件应当对竞争性磋商文件有关服务周期、磋商有效期、质量标准、招标范围、响应性文件的编制等实质性内容作出响应。响应性文件不响应本竞争性磋商文件的实质性要求和条件的，其投标将被拒绝。</w:t>
      </w:r>
    </w:p>
    <w:p w14:paraId="4D0A07F8">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3.7.3竞争性磋商文件中要求投标人盖章的，以签盖单位章为准；</w:t>
      </w:r>
      <w:r>
        <w:rPr>
          <w:rFonts w:ascii="宋体" w:hAnsi="宋体"/>
          <w:color w:val="000000"/>
          <w:sz w:val="24"/>
          <w:highlight w:val="none"/>
        </w:rPr>
        <w:t>要求法定代表人或授权委托人签字或盖章的，以签盖法定代表人电子签章为准。</w:t>
      </w:r>
    </w:p>
    <w:p w14:paraId="785A7E80">
      <w:pPr>
        <w:spacing w:line="360" w:lineRule="auto"/>
        <w:ind w:firstLine="480" w:firstLineChars="200"/>
        <w:rPr>
          <w:rFonts w:hint="eastAsia" w:ascii="宋体" w:hAnsi="宋体"/>
          <w:color w:val="000000"/>
          <w:sz w:val="24"/>
          <w:highlight w:val="none"/>
        </w:rPr>
      </w:pPr>
      <w:bookmarkStart w:id="51" w:name="_Toc516499649"/>
      <w:r>
        <w:rPr>
          <w:rFonts w:hint="eastAsia" w:ascii="宋体" w:hAnsi="宋体"/>
          <w:color w:val="000000"/>
          <w:sz w:val="24"/>
          <w:highlight w:val="none"/>
        </w:rPr>
        <w:t>4、投标</w:t>
      </w:r>
      <w:bookmarkEnd w:id="51"/>
    </w:p>
    <w:p w14:paraId="56C94B8F">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4.1电子响应性文件的递交</w:t>
      </w:r>
    </w:p>
    <w:p w14:paraId="3B820805">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4.1.1 投标人应在规定的投标截止时间前递交响应性文件。</w:t>
      </w:r>
    </w:p>
    <w:p w14:paraId="432BCF17">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4.1.2 投标人递交响应性文件的地点：见投标人须知前附表。</w:t>
      </w:r>
    </w:p>
    <w:p w14:paraId="3D241BBB">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4.1.3 逾期送达的或者未送达指定地点的响应性文件，采购人不予受理。</w:t>
      </w:r>
    </w:p>
    <w:p w14:paraId="24184EDA">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5．磋商</w:t>
      </w:r>
    </w:p>
    <w:p w14:paraId="33F78223">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5.1 磋商时间和地点</w:t>
      </w:r>
    </w:p>
    <w:p w14:paraId="752C82F0">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见投标人须知前附表。</w:t>
      </w:r>
    </w:p>
    <w:p w14:paraId="630F30E2">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5.2 磋商程序</w:t>
      </w:r>
    </w:p>
    <w:p w14:paraId="6AC18B19">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5.2.1采购人按须知前附表规定的时间和地点磋商；</w:t>
      </w:r>
    </w:p>
    <w:p w14:paraId="024C465F">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5.2.2</w:t>
      </w:r>
      <w:r>
        <w:rPr>
          <w:rFonts w:hint="eastAsia" w:ascii="宋体" w:hAnsi="宋体" w:cs="宋体"/>
          <w:color w:val="000000"/>
          <w:sz w:val="24"/>
          <w:szCs w:val="22"/>
          <w:highlight w:val="none"/>
        </w:rPr>
        <w:t>电子化项目开标操作流程</w:t>
      </w:r>
    </w:p>
    <w:p w14:paraId="65FC13D2">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highlight w:val="none"/>
        </w:rPr>
        <w:t>http://120.194.249.36:10094/BidOpening/bidopeninghallaction/hall/login</w:t>
      </w:r>
      <w:r>
        <w:rPr>
          <w:rFonts w:hint="eastAsia" w:ascii="宋体" w:hAnsi="宋体" w:cs="宋体"/>
          <w:color w:val="000000"/>
          <w:sz w:val="24"/>
          <w:szCs w:val="22"/>
          <w:highlight w:val="none"/>
        </w:rPr>
        <w:t>）,在线准时参加开标活动并进行响应性文件解密等</w:t>
      </w:r>
    </w:p>
    <w:p w14:paraId="16C6C22D">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w:t>
      </w:r>
      <w:r>
        <w:rPr>
          <w:rFonts w:ascii="宋体" w:hAnsi="宋体" w:cs="宋体"/>
          <w:color w:val="000000"/>
          <w:sz w:val="24"/>
          <w:szCs w:val="22"/>
          <w:highlight w:val="none"/>
        </w:rPr>
        <w:t>2</w:t>
      </w:r>
      <w:r>
        <w:rPr>
          <w:rFonts w:hint="eastAsia" w:ascii="宋体" w:hAnsi="宋体" w:cs="宋体"/>
          <w:color w:val="000000"/>
          <w:sz w:val="24"/>
          <w:szCs w:val="22"/>
          <w:highlight w:val="none"/>
        </w:rPr>
        <w:t>）电子化响应性文件采用一次加密方式。开标时，由投标人使用CA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13D4D55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w:t>
      </w:r>
      <w:r>
        <w:rPr>
          <w:rFonts w:ascii="宋体" w:hAnsi="宋体" w:cs="宋体"/>
          <w:color w:val="000000"/>
          <w:sz w:val="24"/>
          <w:szCs w:val="22"/>
          <w:highlight w:val="none"/>
        </w:rPr>
        <w:t>3</w:t>
      </w:r>
      <w:r>
        <w:rPr>
          <w:rFonts w:hint="eastAsia" w:ascii="宋体" w:hAnsi="宋体" w:cs="宋体"/>
          <w:color w:val="000000"/>
          <w:sz w:val="24"/>
          <w:szCs w:val="22"/>
          <w:highlight w:val="none"/>
        </w:rPr>
        <w:t>）电子化响应性文件解密异常的处理</w:t>
      </w:r>
    </w:p>
    <w:p w14:paraId="307B371F">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如出现投标人的电子响应性文件无法解密等异常情况，投标人应及时致电中介服务机构说明。响应性文件异常，按以下步骤进行处理：</w:t>
      </w:r>
    </w:p>
    <w:p w14:paraId="67EA6EF0">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w:t>
      </w:r>
      <w:r>
        <w:rPr>
          <w:rFonts w:ascii="宋体" w:hAnsi="宋体" w:cs="宋体"/>
          <w:color w:val="000000"/>
          <w:sz w:val="24"/>
          <w:szCs w:val="22"/>
          <w:highlight w:val="none"/>
        </w:rPr>
        <w:t>.</w:t>
      </w:r>
      <w:r>
        <w:rPr>
          <w:rFonts w:hint="eastAsia" w:ascii="宋体" w:hAnsi="宋体" w:cs="宋体"/>
          <w:color w:val="000000"/>
          <w:sz w:val="24"/>
          <w:szCs w:val="22"/>
          <w:highlight w:val="none"/>
        </w:rPr>
        <w:t>首先由技术人员进行问题排查。</w:t>
      </w:r>
    </w:p>
    <w:p w14:paraId="2493954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w:t>
      </w:r>
      <w:r>
        <w:rPr>
          <w:rFonts w:ascii="宋体" w:hAnsi="宋体" w:cs="宋体"/>
          <w:color w:val="000000"/>
          <w:sz w:val="24"/>
          <w:szCs w:val="22"/>
          <w:highlight w:val="none"/>
        </w:rPr>
        <w:t>.</w:t>
      </w:r>
      <w:r>
        <w:rPr>
          <w:rFonts w:hint="eastAsia" w:ascii="宋体" w:hAnsi="宋体" w:cs="宋体"/>
          <w:color w:val="000000"/>
          <w:sz w:val="24"/>
          <w:szCs w:val="22"/>
          <w:highlight w:val="none"/>
        </w:rPr>
        <w:t>经技术人员排查后，是投标人文件自身问题导致响应性文件无法解密的，该响应性文件将不予接收、解密和唱标。开标会议继续进行。</w:t>
      </w:r>
    </w:p>
    <w:p w14:paraId="5423A75B">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3</w:t>
      </w:r>
      <w:r>
        <w:rPr>
          <w:rFonts w:ascii="宋体" w:hAnsi="宋体" w:cs="宋体"/>
          <w:color w:val="000000"/>
          <w:sz w:val="24"/>
          <w:szCs w:val="22"/>
          <w:highlight w:val="none"/>
        </w:rPr>
        <w:t>.</w:t>
      </w:r>
      <w:r>
        <w:rPr>
          <w:rFonts w:hint="eastAsia" w:ascii="宋体" w:hAnsi="宋体" w:cs="宋体"/>
          <w:color w:val="000000"/>
          <w:sz w:val="24"/>
          <w:szCs w:val="22"/>
          <w:highlight w:val="none"/>
        </w:rPr>
        <w:t>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40962672">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w:t>
      </w:r>
      <w:r>
        <w:rPr>
          <w:rFonts w:ascii="宋体" w:hAnsi="宋体" w:cs="宋体"/>
          <w:color w:val="000000"/>
          <w:sz w:val="24"/>
          <w:szCs w:val="22"/>
          <w:highlight w:val="none"/>
        </w:rPr>
        <w:t>4</w:t>
      </w:r>
      <w:r>
        <w:rPr>
          <w:rFonts w:hint="eastAsia" w:ascii="宋体" w:hAnsi="宋体" w:cs="宋体"/>
          <w:color w:val="000000"/>
          <w:sz w:val="24"/>
          <w:szCs w:val="22"/>
          <w:highlight w:val="none"/>
        </w:rPr>
        <w:t>）待所有投标人响应性文件解密完成后，由中介服务机构操作，对所有已解密响应性文件进行唱标。</w:t>
      </w:r>
    </w:p>
    <w:p w14:paraId="5C0796A0">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投标人应保证在开标期间电话、电脑、网络能够正常工作，投标人因停电、电脑病毒、网络堵塞等原因，未在规定的解密时间内对响应性文件进行解密的，其响应性文件不予接收、唱标。</w:t>
      </w:r>
    </w:p>
    <w:p w14:paraId="361C2AC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w:t>
      </w:r>
      <w:r>
        <w:rPr>
          <w:rFonts w:ascii="宋体" w:hAnsi="宋体" w:cs="宋体"/>
          <w:color w:val="000000"/>
          <w:sz w:val="24"/>
          <w:szCs w:val="22"/>
          <w:highlight w:val="none"/>
        </w:rPr>
        <w:t>5</w:t>
      </w:r>
      <w:r>
        <w:rPr>
          <w:rFonts w:hint="eastAsia" w:ascii="宋体" w:hAnsi="宋体" w:cs="宋体"/>
          <w:color w:val="000000"/>
          <w:sz w:val="24"/>
          <w:szCs w:val="22"/>
          <w:highlight w:val="none"/>
        </w:rPr>
        <w:t>）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57179D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w:t>
      </w:r>
      <w:r>
        <w:rPr>
          <w:rFonts w:ascii="宋体" w:hAnsi="宋体" w:cs="宋体"/>
          <w:color w:val="000000"/>
          <w:sz w:val="24"/>
          <w:szCs w:val="22"/>
          <w:highlight w:val="none"/>
        </w:rPr>
        <w:t>6</w:t>
      </w:r>
      <w:r>
        <w:rPr>
          <w:rFonts w:hint="eastAsia" w:ascii="宋体" w:hAnsi="宋体" w:cs="宋体"/>
          <w:color w:val="000000"/>
          <w:sz w:val="24"/>
          <w:szCs w:val="22"/>
          <w:highlight w:val="none"/>
        </w:rPr>
        <w:t>）评标时，磋商小组对电子化响应性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磋商小组。</w:t>
      </w:r>
    </w:p>
    <w:p w14:paraId="3453CC49">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w:t>
      </w:r>
      <w:r>
        <w:rPr>
          <w:rFonts w:ascii="宋体" w:hAnsi="宋体" w:cs="宋体"/>
          <w:color w:val="000000"/>
          <w:sz w:val="24"/>
          <w:szCs w:val="22"/>
          <w:highlight w:val="none"/>
        </w:rPr>
        <w:t>7</w:t>
      </w:r>
      <w:r>
        <w:rPr>
          <w:rFonts w:hint="eastAsia" w:ascii="宋体" w:hAnsi="宋体" w:cs="宋体"/>
          <w:color w:val="000000"/>
          <w:sz w:val="24"/>
          <w:szCs w:val="22"/>
          <w:highlight w:val="none"/>
        </w:rPr>
        <w:t>）如磋商小组对需要回复的投标人连续三次致电未接通的，视为投标人放弃回复，磋商小组将自行对需要回复的内容进行认定。</w:t>
      </w:r>
    </w:p>
    <w:p w14:paraId="6974E571">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5.</w:t>
      </w:r>
      <w:r>
        <w:rPr>
          <w:rFonts w:ascii="宋体" w:hAnsi="宋体" w:cs="宋体"/>
          <w:color w:val="000000"/>
          <w:sz w:val="24"/>
          <w:szCs w:val="22"/>
          <w:highlight w:val="none"/>
        </w:rPr>
        <w:t>2.3响应性文件有下列情况之一的,采购人将不予接收：</w:t>
      </w:r>
    </w:p>
    <w:p w14:paraId="629EB9DA">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5.2.3.1响应性文件递交截止时间后上传的；</w:t>
      </w:r>
    </w:p>
    <w:p w14:paraId="3C244902">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5.2.4按照响应性文件上传顺序进行解密；</w:t>
      </w:r>
    </w:p>
    <w:p w14:paraId="4EF701D7">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5.2.5经确认无误后，按照报送时间顺序确定磋商顺序；</w:t>
      </w:r>
    </w:p>
    <w:p w14:paraId="4A838809">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6.</w:t>
      </w:r>
      <w:r>
        <w:rPr>
          <w:rFonts w:ascii="宋体" w:hAnsi="宋体" w:cs="宋体"/>
          <w:color w:val="000000"/>
          <w:sz w:val="24"/>
          <w:szCs w:val="22"/>
          <w:highlight w:val="none"/>
        </w:rPr>
        <w:t>磋商细则</w:t>
      </w:r>
    </w:p>
    <w:p w14:paraId="06BCFBDE">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6.1采购人按照上传响应性文件时间的顺序，决定磋商顺序；</w:t>
      </w:r>
    </w:p>
    <w:p w14:paraId="3647A39E">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6.2磋商小组所有成员在指定时间和地点与各投标人单独进行磋商。每位投标人有3-5分钟时间回答磋商小组以交易中心系统电子形式的提问。在磋商中，磋商的任何一方不得透露与磋商有关的其他投标人的技术资料、价格和其他信息。竞争性磋商文件有实质性变动的，磋商小组应当以三门峡公共资源交易中心系统电子形式通知所有参加磋商的投标人。</w:t>
      </w:r>
    </w:p>
    <w:p w14:paraId="663BEA47">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6.3本次磋商中，响应性文件中的报价为第一次报价。</w:t>
      </w:r>
    </w:p>
    <w:p w14:paraId="4EC23990">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6.4投标人可以在磋商小组规定的时间内进行第二次报价，通过交易中心系统以电子形式递交，</w:t>
      </w:r>
      <w:r>
        <w:rPr>
          <w:rFonts w:hint="eastAsia" w:ascii="宋体" w:hAnsi="宋体" w:cs="宋体"/>
          <w:color w:val="000000"/>
          <w:sz w:val="24"/>
          <w:szCs w:val="22"/>
          <w:highlight w:val="none"/>
        </w:rPr>
        <w:t>第二轮报价不得高于第一轮报价，</w:t>
      </w:r>
      <w:r>
        <w:rPr>
          <w:rFonts w:ascii="宋体" w:hAnsi="宋体" w:cs="宋体"/>
          <w:color w:val="000000"/>
          <w:sz w:val="24"/>
          <w:szCs w:val="22"/>
          <w:highlight w:val="none"/>
        </w:rPr>
        <w:t>成交价以最终报价为准。</w:t>
      </w:r>
      <w:r>
        <w:rPr>
          <w:rFonts w:hint="eastAsia" w:ascii="宋体" w:hAnsi="宋体" w:cs="宋体"/>
          <w:color w:val="000000"/>
          <w:sz w:val="24"/>
          <w:szCs w:val="22"/>
          <w:highlight w:val="none"/>
        </w:rPr>
        <w:t>磋商过程中，磋商小组可以根据磋商情况调整磋商轮次。</w:t>
      </w:r>
    </w:p>
    <w:p w14:paraId="47B6C17D">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6.5本项目采用综合评分法，磋商小组成员综合评审各投标人提交的响应性文件，按总得分由高到低的顺序推荐</w:t>
      </w:r>
      <w:r>
        <w:rPr>
          <w:rFonts w:hint="eastAsia" w:ascii="宋体" w:hAnsi="宋体" w:cs="宋体"/>
          <w:color w:val="000000"/>
          <w:sz w:val="24"/>
          <w:szCs w:val="22"/>
          <w:highlight w:val="none"/>
        </w:rPr>
        <w:t>3</w:t>
      </w:r>
      <w:r>
        <w:rPr>
          <w:rFonts w:ascii="宋体" w:hAnsi="宋体" w:cs="宋体"/>
          <w:color w:val="000000"/>
          <w:sz w:val="24"/>
          <w:szCs w:val="22"/>
          <w:highlight w:val="none"/>
        </w:rPr>
        <w:t>名中标候选人，并编写评审报告。</w:t>
      </w:r>
    </w:p>
    <w:p w14:paraId="38FD4862">
      <w:pPr>
        <w:spacing w:line="360" w:lineRule="auto"/>
        <w:ind w:firstLine="480" w:firstLineChars="200"/>
        <w:rPr>
          <w:rFonts w:hint="eastAsia" w:ascii="宋体" w:hAnsi="宋体" w:eastAsia="宋体" w:cs="宋体"/>
          <w:color w:val="000000"/>
          <w:sz w:val="24"/>
          <w:szCs w:val="22"/>
          <w:highlight w:val="none"/>
          <w:lang w:val="en-US" w:eastAsia="zh-CN"/>
        </w:rPr>
      </w:pPr>
      <w:r>
        <w:rPr>
          <w:rFonts w:ascii="宋体" w:hAnsi="宋体" w:cs="宋体"/>
          <w:color w:val="000000"/>
          <w:sz w:val="24"/>
          <w:szCs w:val="22"/>
          <w:highlight w:val="none"/>
        </w:rPr>
        <w:t>7、磋商</w:t>
      </w:r>
      <w:r>
        <w:rPr>
          <w:rFonts w:hint="eastAsia" w:ascii="宋体" w:hAnsi="宋体" w:cs="宋体"/>
          <w:color w:val="000000"/>
          <w:sz w:val="24"/>
          <w:szCs w:val="22"/>
          <w:highlight w:val="none"/>
          <w:lang w:val="en-US" w:eastAsia="zh-CN"/>
        </w:rPr>
        <w:t>小组</w:t>
      </w:r>
    </w:p>
    <w:p w14:paraId="46368253">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7.1磋商小组由采购人依法组建，负责磋商。根据《政府采购竞争性磋商采购方式管理办法》的规定，磋商小组应当履行以下义务：</w:t>
      </w:r>
    </w:p>
    <w:p w14:paraId="0615E2D2">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（一）遵纪守法，客观、公正、</w:t>
      </w:r>
      <w:r>
        <w:rPr>
          <w:rFonts w:hint="eastAsia" w:ascii="宋体" w:hAnsi="宋体" w:cs="宋体"/>
          <w:color w:val="000000"/>
          <w:sz w:val="24"/>
          <w:szCs w:val="22"/>
          <w:highlight w:val="none"/>
        </w:rPr>
        <w:t>廉洁</w:t>
      </w:r>
      <w:r>
        <w:rPr>
          <w:rFonts w:ascii="宋体" w:hAnsi="宋体" w:cs="宋体"/>
          <w:color w:val="000000"/>
          <w:sz w:val="24"/>
          <w:szCs w:val="22"/>
          <w:highlight w:val="none"/>
        </w:rPr>
        <w:t xml:space="preserve">地履行职责； </w:t>
      </w:r>
    </w:p>
    <w:p w14:paraId="28F80DC4">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根据竞争性磋商文件的规定独立进行评审，对个人的评审意见承担法律责任；磋商小组将综合分析、评审投标人的各项指标，而不以单项指标的优劣评定出成交候选</w:t>
      </w:r>
      <w:r>
        <w:rPr>
          <w:rFonts w:hint="eastAsia" w:ascii="宋体" w:hAnsi="宋体" w:cs="宋体"/>
          <w:color w:val="000000"/>
          <w:sz w:val="24"/>
          <w:szCs w:val="22"/>
          <w:highlight w:val="none"/>
        </w:rPr>
        <w:t>人</w:t>
      </w:r>
      <w:r>
        <w:rPr>
          <w:rFonts w:ascii="宋体" w:hAnsi="宋体" w:cs="宋体"/>
          <w:color w:val="000000"/>
          <w:sz w:val="24"/>
          <w:szCs w:val="22"/>
          <w:highlight w:val="none"/>
        </w:rPr>
        <w:t>或成交</w:t>
      </w:r>
      <w:r>
        <w:rPr>
          <w:rFonts w:hint="eastAsia" w:ascii="宋体" w:hAnsi="宋体" w:cs="宋体"/>
          <w:color w:val="000000"/>
          <w:sz w:val="24"/>
          <w:szCs w:val="22"/>
          <w:highlight w:val="none"/>
        </w:rPr>
        <w:t>人</w:t>
      </w:r>
      <w:r>
        <w:rPr>
          <w:rFonts w:ascii="宋体" w:hAnsi="宋体" w:cs="宋体"/>
          <w:color w:val="000000"/>
          <w:sz w:val="24"/>
          <w:szCs w:val="22"/>
          <w:highlight w:val="none"/>
        </w:rPr>
        <w:t>。</w:t>
      </w:r>
    </w:p>
    <w:p w14:paraId="3060AF92">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参与磋商报告的起草；</w:t>
      </w:r>
    </w:p>
    <w:p w14:paraId="22F72EE0">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配合采购人、代理机构答复投标人提出的质疑；</w:t>
      </w:r>
    </w:p>
    <w:p w14:paraId="509C7A26">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配合财政部门的投诉处理和监督检查工作。</w:t>
      </w:r>
    </w:p>
    <w:p w14:paraId="45A173F9">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7.2磋商小组由有关技术、经济方面的专家组成。磋商小组人数及技术、经济专家的确定方式见投标人须知前附表。</w:t>
      </w:r>
    </w:p>
    <w:p w14:paraId="00A201D8">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7.3 磋商原则</w:t>
      </w:r>
    </w:p>
    <w:p w14:paraId="35A6D67F">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7.3.1严格按照竞争性磋商文件中的所有相关规定；按照“</w:t>
      </w:r>
      <w:r>
        <w:rPr>
          <w:rFonts w:hint="eastAsia" w:ascii="宋体" w:hAnsi="宋体" w:cs="宋体"/>
          <w:color w:val="000000"/>
          <w:sz w:val="24"/>
          <w:szCs w:val="22"/>
          <w:highlight w:val="none"/>
        </w:rPr>
        <w:t>客观、公正、审慎</w:t>
      </w:r>
      <w:r>
        <w:rPr>
          <w:rFonts w:ascii="宋体" w:hAnsi="宋体" w:cs="宋体"/>
          <w:color w:val="000000"/>
          <w:sz w:val="24"/>
          <w:szCs w:val="22"/>
          <w:highlight w:val="none"/>
        </w:rPr>
        <w:t>” 的原则进行磋商。</w:t>
      </w:r>
    </w:p>
    <w:p w14:paraId="5C594035">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7.3.2反对不正当竞争。</w:t>
      </w:r>
    </w:p>
    <w:p w14:paraId="2B74846E">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8、</w:t>
      </w:r>
      <w:r>
        <w:rPr>
          <w:rFonts w:ascii="宋体" w:hAnsi="宋体" w:cs="宋体"/>
          <w:color w:val="000000"/>
          <w:sz w:val="24"/>
          <w:szCs w:val="22"/>
          <w:highlight w:val="none"/>
        </w:rPr>
        <w:t>磋商过程的保密</w:t>
      </w:r>
    </w:p>
    <w:p w14:paraId="1FF08CE1">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8.1响应性文件的审查、澄清、评价和比较的有关资料以及中标候选人的推荐情况，与评标有关的其他任何情况均应严格保密。</w:t>
      </w:r>
    </w:p>
    <w:p w14:paraId="0A494FCA">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8.2在响应性文件的评审和比较、中标候选人推荐以及授予合同的过程中，投标人向采购人和磋商小组施加影响的任何行为，都将会导致其投标被拒绝。</w:t>
      </w:r>
    </w:p>
    <w:p w14:paraId="4FD72739">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8.3采购人不对未中标人就评标过程以及未能中标原因作出任何解释。未中标人不得向磋商小组成员和其他有关人员索问评标过程的情况和资料。</w:t>
      </w:r>
    </w:p>
    <w:p w14:paraId="18971EA0">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9、</w:t>
      </w:r>
      <w:r>
        <w:rPr>
          <w:rFonts w:ascii="宋体" w:hAnsi="宋体" w:cs="宋体"/>
          <w:color w:val="000000"/>
          <w:sz w:val="24"/>
          <w:szCs w:val="22"/>
          <w:highlight w:val="none"/>
        </w:rPr>
        <w:t>响应性文件的澄清</w:t>
      </w:r>
    </w:p>
    <w:p w14:paraId="5EC0E01E">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磋商小组可以以书面形式要求投标人对其响应性文件中含义不明确的内容作必要的澄清或说明。投标人应采用书面形式进行澄清和说明，但不得超出响应性文件的范围或者改变响应性文件实质性内容。凡属于磋商小组在磋商发现的计算错误并进行核实的修改不在此列。</w:t>
      </w:r>
    </w:p>
    <w:p w14:paraId="6534525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10、</w:t>
      </w:r>
      <w:r>
        <w:rPr>
          <w:rFonts w:ascii="宋体" w:hAnsi="宋体" w:cs="宋体"/>
          <w:color w:val="000000"/>
          <w:sz w:val="24"/>
          <w:szCs w:val="22"/>
          <w:highlight w:val="none"/>
        </w:rPr>
        <w:t>响应性文件的初步评审</w:t>
      </w:r>
    </w:p>
    <w:p w14:paraId="7AE583C9">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10.1根据初步评审要求经审查有效的响应性文件，才能提交磋商小组进行评审。</w:t>
      </w:r>
    </w:p>
    <w:p w14:paraId="7F829083">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10.2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投标人的义务方面造成重大的限制，纠正这些差异或保留，将会对其他实质上响应竞争性磋商文件要求的投标人的竞争地位产生不公正的影响。</w:t>
      </w:r>
    </w:p>
    <w:p w14:paraId="76791913">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10.3如果响应性文件实质上不响应竞争性磋商文件的要求，采购人将予以拒绝，并且不允许投标人通过修改或撤消其不符合要求的差异或保留，使之成为具有响应性的投标。</w:t>
      </w:r>
    </w:p>
    <w:p w14:paraId="450FFEAB">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11.响应性文件计算错误的修正</w:t>
      </w:r>
    </w:p>
    <w:p w14:paraId="6D167FB8">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11.1磋商小组将对确定为实质上响应竞争性磋商文件要求的响应性文件进行校核，看其是否有计算或表达上的错误，修正错误的原则如下：</w:t>
      </w:r>
    </w:p>
    <w:p w14:paraId="51251CE5">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11.1.1如果数字表示的金额和用文字表示的金额不一致时，应以文字表示的金额为准；</w:t>
      </w:r>
    </w:p>
    <w:p w14:paraId="3957690B">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11.</w:t>
      </w:r>
      <w:r>
        <w:rPr>
          <w:rFonts w:ascii="宋体" w:hAnsi="宋体" w:cs="宋体"/>
          <w:color w:val="000000"/>
          <w:sz w:val="24"/>
          <w:szCs w:val="22"/>
          <w:highlight w:val="none"/>
        </w:rPr>
        <w:t>1.2当单价与数量的乘积与合价不一致时，以单价为准，除非磋商小组认为单价有明显的小数点错误，此时应以标出的合价为准，并修改单价。</w:t>
      </w:r>
    </w:p>
    <w:p w14:paraId="138FC517">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11.2按上述修正错误的原则及方法调整或修正响应性文件的投标报价，投标人同意后，调整后的投标报价对投标人起约束作用。如果投标人不接受修正后的报价，则磋商小组对其不再进行评审。</w:t>
      </w:r>
    </w:p>
    <w:p w14:paraId="22E3265C">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12.</w:t>
      </w:r>
      <w:r>
        <w:rPr>
          <w:rFonts w:ascii="宋体" w:hAnsi="宋体" w:cs="宋体"/>
          <w:color w:val="000000"/>
          <w:sz w:val="24"/>
          <w:szCs w:val="22"/>
          <w:highlight w:val="none"/>
        </w:rPr>
        <w:t>响应性文件的评审、比较和否决</w:t>
      </w:r>
    </w:p>
    <w:p w14:paraId="10F6BD3C">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12.1磋商小组仅对在实质上响应竞争性磋商文件要求的响应性文件进行评估和比较。</w:t>
      </w:r>
    </w:p>
    <w:p w14:paraId="6ECBE0CE">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12.2在磋商过程中，磋商小组发现投标人的投标报价明显低于其他投标人的报价，并有可能低于其企业成本的，则磋商小组可以以书面形式要求该投标人作出书面说明并提供相关证明材料。投标人不能合理说明或不能提供相关证明材料的，磋商小组对其响应性文件不再进行评审。</w:t>
      </w:r>
    </w:p>
    <w:p w14:paraId="398204A1">
      <w:pPr>
        <w:spacing w:line="360" w:lineRule="auto"/>
        <w:ind w:firstLine="480" w:firstLineChars="200"/>
        <w:rPr>
          <w:rFonts w:ascii="宋体" w:hAnsi="宋体" w:cs="宋体"/>
          <w:snapToGrid w:val="0"/>
          <w:color w:val="000000"/>
          <w:kern w:val="0"/>
          <w:sz w:val="24"/>
          <w:szCs w:val="22"/>
          <w:highlight w:val="none"/>
          <w:shd w:val="clear" w:color="auto" w:fill="FFFFFF"/>
        </w:rPr>
      </w:pPr>
      <w:r>
        <w:rPr>
          <w:rFonts w:ascii="宋体" w:hAnsi="宋体" w:cs="宋体"/>
          <w:color w:val="000000"/>
          <w:sz w:val="24"/>
          <w:szCs w:val="22"/>
          <w:highlight w:val="none"/>
        </w:rPr>
        <w:t>12.</w:t>
      </w:r>
      <w:r>
        <w:rPr>
          <w:rFonts w:hint="eastAsia" w:ascii="宋体" w:hAnsi="宋体" w:cs="宋体"/>
          <w:color w:val="000000"/>
          <w:sz w:val="24"/>
          <w:szCs w:val="22"/>
          <w:highlight w:val="none"/>
        </w:rPr>
        <w:t>3.1</w:t>
      </w:r>
      <w:r>
        <w:rPr>
          <w:rFonts w:hint="eastAsia" w:ascii="宋体" w:hAnsi="宋体" w:cs="宋体"/>
          <w:snapToGrid w:val="0"/>
          <w:color w:val="000000"/>
          <w:kern w:val="0"/>
          <w:sz w:val="24"/>
          <w:szCs w:val="22"/>
          <w:highlight w:val="none"/>
          <w:shd w:val="clear" w:color="auto" w:fill="FFFFFF"/>
        </w:rPr>
        <w:t>磋商小组应当要求所有实质性响应的投标人在规定时间内提交最后报价，提交最后报价的投标人不得少于3家。</w:t>
      </w:r>
    </w:p>
    <w:p w14:paraId="758BDFA3">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12.3.2</w:t>
      </w:r>
      <w:r>
        <w:rPr>
          <w:rFonts w:ascii="宋体" w:hAnsi="宋体" w:cs="宋体"/>
          <w:color w:val="000000"/>
          <w:sz w:val="24"/>
          <w:szCs w:val="22"/>
          <w:highlight w:val="none"/>
        </w:rPr>
        <w:t>出现下列情形之一的，</w:t>
      </w:r>
      <w:r>
        <w:rPr>
          <w:rFonts w:hint="eastAsia" w:ascii="宋体" w:hAnsi="宋体" w:cs="宋体"/>
          <w:color w:val="000000"/>
          <w:sz w:val="24"/>
          <w:szCs w:val="22"/>
          <w:highlight w:val="none"/>
        </w:rPr>
        <w:t>采购人</w:t>
      </w:r>
      <w:r>
        <w:rPr>
          <w:rFonts w:ascii="宋体" w:hAnsi="宋体" w:cs="宋体"/>
          <w:color w:val="000000"/>
          <w:sz w:val="24"/>
          <w:szCs w:val="22"/>
          <w:highlight w:val="none"/>
        </w:rPr>
        <w:t>或者招标代理机构应当终止竞争性磋商活动，发布项目终止公告并说明原因，重新开展</w:t>
      </w:r>
      <w:r>
        <w:rPr>
          <w:rFonts w:hint="eastAsia" w:ascii="宋体" w:hAnsi="宋体" w:cs="宋体"/>
          <w:color w:val="000000"/>
          <w:sz w:val="24"/>
          <w:szCs w:val="22"/>
          <w:highlight w:val="none"/>
        </w:rPr>
        <w:t>招标</w:t>
      </w:r>
      <w:r>
        <w:rPr>
          <w:rFonts w:ascii="宋体" w:hAnsi="宋体" w:cs="宋体"/>
          <w:color w:val="000000"/>
          <w:sz w:val="24"/>
          <w:szCs w:val="22"/>
          <w:highlight w:val="none"/>
        </w:rPr>
        <w:t>活动：</w:t>
      </w:r>
    </w:p>
    <w:p w14:paraId="05CEF376">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（一）因情况变化，不再符合规定的竞争性磋商采购方式适用情形的；</w:t>
      </w:r>
    </w:p>
    <w:p w14:paraId="0F51509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（二）出现影响采购公正的违法、违规行为的；</w:t>
      </w:r>
    </w:p>
    <w:p w14:paraId="09E81CE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（三）除《政府采购竞争性磋商采购方式管理暂行办法》第二十一条第三款规定的情形外，在采购过程中符合要求的投标人或者报价未超过采购预算的投标人不足</w:t>
      </w:r>
      <w:r>
        <w:rPr>
          <w:rFonts w:ascii="宋体" w:hAnsi="宋体" w:cs="宋体"/>
          <w:color w:val="000000"/>
          <w:sz w:val="24"/>
          <w:szCs w:val="22"/>
          <w:highlight w:val="none"/>
        </w:rPr>
        <w:t>3家的。</w:t>
      </w:r>
    </w:p>
    <w:p w14:paraId="586B3FD4">
      <w:pPr>
        <w:spacing w:line="48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13、成交原则</w:t>
      </w:r>
    </w:p>
    <w:p w14:paraId="096D3C70">
      <w:pPr>
        <w:spacing w:line="48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磋商小组根据综合评分情况，按照评审得分由高到低顺序推荐3名供应商，并编写评审报告并在报告上签字。评审得分相同的，按照最后报价由低到高的顺序推荐。评审得分且最后报价相同的，按照技术指标优劣顺序推荐。</w:t>
      </w:r>
    </w:p>
    <w:p w14:paraId="1FCC5455">
      <w:pPr>
        <w:spacing w:line="48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14、评审报告</w:t>
      </w:r>
    </w:p>
    <w:p w14:paraId="518B694D">
      <w:pPr>
        <w:spacing w:line="48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磋商小组组应当根据评审记录和评审结果编写评审报告，其主要内容包括：</w:t>
      </w:r>
    </w:p>
    <w:p w14:paraId="2E093B3D">
      <w:pPr>
        <w:spacing w:line="48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14.1招标活动的具体方式和相关情况，以及参加招标活动的投标人名单；</w:t>
      </w:r>
    </w:p>
    <w:p w14:paraId="368C76D3">
      <w:pPr>
        <w:spacing w:line="48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14.2评审日期和地点，磋商小组成员名单；</w:t>
      </w:r>
    </w:p>
    <w:p w14:paraId="095F7B36">
      <w:pPr>
        <w:spacing w:line="48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14.3评审情况记录和说明，包括对供应商的资格审查情况、响应文件评审情况、磋商情况、报价情况等；</w:t>
      </w:r>
    </w:p>
    <w:p w14:paraId="01B2B697">
      <w:pPr>
        <w:spacing w:line="480" w:lineRule="exact"/>
        <w:ind w:firstLine="480" w:firstLineChars="200"/>
        <w:rPr>
          <w:rFonts w:ascii="宋体" w:hAnsi="宋体" w:cs="宋体"/>
          <w:bCs/>
          <w:color w:val="000000"/>
          <w:sz w:val="24"/>
          <w:highlight w:val="none"/>
        </w:rPr>
      </w:pPr>
      <w:r>
        <w:rPr>
          <w:rFonts w:hint="eastAsia" w:ascii="宋体" w:hAnsi="宋体" w:cs="宋体"/>
          <w:bCs/>
          <w:color w:val="000000"/>
          <w:sz w:val="24"/>
          <w:highlight w:val="none"/>
        </w:rPr>
        <w:t>14.4提出的成交候选人的名单及理由。</w:t>
      </w:r>
    </w:p>
    <w:p w14:paraId="601B59AF">
      <w:pPr>
        <w:spacing w:line="360" w:lineRule="auto"/>
        <w:ind w:firstLine="480" w:firstLineChars="200"/>
        <w:rPr>
          <w:rFonts w:ascii="宋体" w:hAnsi="宋体" w:cs="宋体"/>
          <w:color w:val="000000"/>
          <w:sz w:val="24"/>
          <w:szCs w:val="22"/>
          <w:highlight w:val="none"/>
        </w:rPr>
      </w:pPr>
      <w:r>
        <w:rPr>
          <w:rFonts w:hint="eastAsia" w:ascii="宋体" w:hAnsi="宋体" w:cs="宋体"/>
          <w:bCs/>
          <w:color w:val="000000"/>
          <w:sz w:val="24"/>
          <w:highlight w:val="none"/>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hAnsi="宋体" w:cs="宋体"/>
          <w:color w:val="000000"/>
          <w:sz w:val="24"/>
          <w:szCs w:val="22"/>
          <w:highlight w:val="none"/>
        </w:rPr>
        <w:t>。</w:t>
      </w:r>
    </w:p>
    <w:p w14:paraId="631B4F1D">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15、确定成交人</w:t>
      </w:r>
    </w:p>
    <w:p w14:paraId="411C03FE">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15.1招标代理机构应当在磋商结束后2个工作日内将评审报告送采购人。采购人应当在收到评审报告后5个工作日内，按照磋商评审报告中推荐的成交候选人顺序确定成交人，并将结果发布网上。</w:t>
      </w:r>
    </w:p>
    <w:p w14:paraId="5937288E">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15.2采购人也可以授权磋商小组直接确定成交供应商。磋商小组直接确定成交供应商的应在磋商文件中写明。</w:t>
      </w:r>
    </w:p>
    <w:p w14:paraId="7AF77E0F">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16、成交结果公告</w:t>
      </w:r>
    </w:p>
    <w:p w14:paraId="4F3800F1">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16.1采购人应当在成交人确定后2个工作日内，在公告发布的同一媒介上发布成交结果，同时向成交供应商发出成交通知书，并将磋商文件随成交结果同时公告，公告期限1个工作日。</w:t>
      </w:r>
    </w:p>
    <w:p w14:paraId="6B17DA28">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16.2成交结果公告内容应当包括采购人和招标代理机构的名称、地址、联系方式，项目名称和项目编号，成交人名称、地址和成交金额，主要成交标的的名称、规格型号、数量、单价、服务要求或标的的基本概况以及磋商小组名单。</w:t>
      </w:r>
    </w:p>
    <w:p w14:paraId="50B7DB7E">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17、合同授予</w:t>
      </w:r>
    </w:p>
    <w:p w14:paraId="6244DB85">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17.1成交结果公示的同时，采购人以书面形式向成交人发出成交通知书。</w:t>
      </w:r>
    </w:p>
    <w:p w14:paraId="07A42E86">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17.2供应商的最后一轮报价为成交价，成交价即为合同价。</w:t>
      </w:r>
    </w:p>
    <w:p w14:paraId="0340BCF9">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17.3采购人和成交人应当自成交通知书发出之日起15天内，根据竞争性磋商文件、供应商的响应性文件及在磋商过程中对响应性文件作出的澄清、解释订立书面合同。供应商无正当理由拒签合同的，采购人取消其成交资格，并追究其违约责任。在此情况下，采购人可将合同授予排名次髙的供应商。</w:t>
      </w:r>
    </w:p>
    <w:p w14:paraId="129B003C">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17.4在签订合同过程中，如发现成交供应商以他人名义磋商或者以其他方式弄虚作假，骗取成交的，采购人有权取消其成交资格。</w:t>
      </w:r>
    </w:p>
    <w:p w14:paraId="7FFF0BB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18、履约保证金</w:t>
      </w:r>
    </w:p>
    <w:p w14:paraId="5F4A1A4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见投标人须知前附表。</w:t>
      </w:r>
    </w:p>
    <w:p w14:paraId="5B2D54B9">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19、合同授予</w:t>
      </w:r>
    </w:p>
    <w:p w14:paraId="76D97E80">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19.1 成交供应商在收到成交通知书后15日内应与采购人签订承包合同。</w:t>
      </w:r>
    </w:p>
    <w:p w14:paraId="733BE0C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竞争性磋商文件成交供应商的响应性文件及其相关澄清、补遗文件等，均为签订合同的依据。</w:t>
      </w:r>
    </w:p>
    <w:p w14:paraId="144B401B">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19.2成交供应商如未能按竞争性磋商文件要求，在规定限期内与采购人签订合同，无论何种原因招标方将取消其成交资格、撤销其成交通知书，并没收其磋商保证金。在此情况下，采购人可将合同授予排名次髙的供应商。</w:t>
      </w:r>
    </w:p>
    <w:p w14:paraId="5684543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19.3在签订合同过程中，如发现成交供应商以他人名义磋商或者以其他方式弄虚作假，骗取成交的，采购人有权取消其成交资格。</w:t>
      </w:r>
    </w:p>
    <w:p w14:paraId="16442646">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20、纪律和监督</w:t>
      </w:r>
    </w:p>
    <w:p w14:paraId="3316B91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20.1对采购人的纪律要求</w:t>
      </w:r>
    </w:p>
    <w:p w14:paraId="52C0AF21">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采购人不得泄漏竞争性磋商中应当保密的情况和资料，不得与供应商串通损害国家利益、社会公共利益或者他人合法权益。</w:t>
      </w:r>
    </w:p>
    <w:p w14:paraId="7CCF6F46">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20.2对供应商的纪律要求</w:t>
      </w:r>
    </w:p>
    <w:p w14:paraId="2B32F840">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供应商不得相互串通或者与采购人串通，不得向采购人或者磋商小组成员行贿谋取成交，不得以他人名义磋商或者以其他方式弄虚作假骗取成交；供应商不得以任何方式干扰、影响磋商工作。</w:t>
      </w:r>
    </w:p>
    <w:p w14:paraId="068A4C03">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20.3对磋商小组成员的纪律要求</w:t>
      </w:r>
    </w:p>
    <w:p w14:paraId="4C2DB99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081B358E">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20.4对与磋商活动有关的工作人员的纪律要求</w:t>
      </w:r>
    </w:p>
    <w:p w14:paraId="275DB097">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5E000572">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20.5投诉</w:t>
      </w:r>
    </w:p>
    <w:p w14:paraId="72B81890">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供应商和其他利害关系人认为本次竞争性磋商违反法律、法规和规章规定的，有权向有关行政监督部门投诉。</w:t>
      </w:r>
    </w:p>
    <w:p w14:paraId="4CC7518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21、质疑程序及处理 </w:t>
      </w:r>
    </w:p>
    <w:p w14:paraId="279C9ED2">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21.1若供应商认为其磋商未获公平评审或磋商文件、采购过程和成交结果使自己的合法权益受到损害，可以在知道或者应知其权益受到损害之日起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 </w:t>
      </w:r>
    </w:p>
    <w:p w14:paraId="227E9F8F">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（一）对可以质疑的磋商文件提出质疑的，为收到磋商文件之日或者磋商文件公告期限届满之日；</w:t>
      </w:r>
    </w:p>
    <w:p w14:paraId="720341E0">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（二）对采购过程提出质疑的，为各采购程序环节结束之日； </w:t>
      </w:r>
    </w:p>
    <w:p w14:paraId="5F7B3BC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（三）对成交结果提出质疑的，为成交结果公告期限届满之日。 </w:t>
      </w:r>
    </w:p>
    <w:p w14:paraId="16F4EFB9">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21.2 质疑书应当包括下列主要内容，并按照“谁主张、谁举证”的原则，附上相关证明材料。否则，采购人不予受理： </w:t>
      </w:r>
    </w:p>
    <w:p w14:paraId="24E10ABF">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（一）质疑供应商全称、地址、法定代表人、联系人及联系电话、邮政编码等； </w:t>
      </w:r>
    </w:p>
    <w:p w14:paraId="167ADC9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（二）被质疑采购项目的名称、编号； </w:t>
      </w:r>
    </w:p>
    <w:p w14:paraId="1FFEF02B">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（三）质疑的具体事项、明确的请求和主张；</w:t>
      </w:r>
    </w:p>
    <w:p w14:paraId="51600201">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（四）质疑所依据的法律依据（具体条款）、具体事实和具体理由。质疑书依据理由部分只有主观陈述、推理、猜测等，而没有提供客观事实依据、法律依据的； </w:t>
      </w:r>
    </w:p>
    <w:p w14:paraId="78235B7B">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 </w:t>
      </w:r>
    </w:p>
    <w:p w14:paraId="68137C68">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（六）充足有效的相关证明材料；如果涉及到产品功能或技术指标的，应出具相关制造商的证明文件； </w:t>
      </w:r>
    </w:p>
    <w:p w14:paraId="4A41500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（七）质疑材料中有外文资料的，应一并附上中文译本，并以中文译本为准。 </w:t>
      </w:r>
    </w:p>
    <w:p w14:paraId="5D3D18F8">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（八）提起质疑的日期</w:t>
      </w:r>
    </w:p>
    <w:p w14:paraId="2A521D9A">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21.3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 </w:t>
      </w:r>
    </w:p>
    <w:p w14:paraId="022CCBD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21.4供应商委托代理人办理质疑事宜，应当提交授权委托书，并载明委托代理的具体权限和事项。授权委托书应当由委托人签字并加盖单位公章。 </w:t>
      </w:r>
    </w:p>
    <w:p w14:paraId="646036D1">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21.5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6C3C3EE7">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 xml:space="preserve">21.6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 </w:t>
      </w:r>
    </w:p>
    <w:p w14:paraId="41B1738F">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21.7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4415A018">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21.8采购人将在收到符合上述条件的书面质疑后 7 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10F91C1F">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21.9质疑供应商对采购人的答复不满意以及采购人未在规定的时间内做出答复的，可以在答复期满后15个工作日内向财政部门投诉。</w:t>
      </w:r>
    </w:p>
    <w:p w14:paraId="5C9122D1">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22、需要补充的其他内容</w:t>
      </w:r>
    </w:p>
    <w:p w14:paraId="0031CC94">
      <w:pPr>
        <w:spacing w:line="360" w:lineRule="auto"/>
        <w:ind w:firstLine="480" w:firstLineChars="200"/>
        <w:rPr>
          <w:rFonts w:ascii="宋体" w:hAnsi="宋体" w:cs="宋体"/>
          <w:color w:val="000000"/>
          <w:sz w:val="24"/>
          <w:szCs w:val="22"/>
          <w:highlight w:val="none"/>
        </w:rPr>
      </w:pPr>
      <w:r>
        <w:rPr>
          <w:rFonts w:hint="eastAsia" w:ascii="宋体" w:hAnsi="宋体" w:cs="宋体"/>
          <w:color w:val="000000"/>
          <w:sz w:val="24"/>
          <w:szCs w:val="22"/>
          <w:highlight w:val="none"/>
        </w:rPr>
        <w:t>需要补充的其他内容：见&lt;供应商须知前附表&gt;。</w:t>
      </w:r>
    </w:p>
    <w:p w14:paraId="16D83D5F">
      <w:pPr>
        <w:spacing w:line="360" w:lineRule="auto"/>
        <w:ind w:firstLine="480" w:firstLineChars="200"/>
        <w:rPr>
          <w:rFonts w:ascii="宋体" w:hAnsi="宋体"/>
          <w:color w:val="000000"/>
          <w:sz w:val="24"/>
          <w:highlight w:val="none"/>
        </w:rPr>
      </w:pPr>
    </w:p>
    <w:p w14:paraId="5E1DA4B4">
      <w:pPr>
        <w:spacing w:line="360" w:lineRule="auto"/>
        <w:jc w:val="center"/>
        <w:rPr>
          <w:rFonts w:ascii="黑体" w:hAnsi="黑体" w:eastAsia="黑体"/>
          <w:b/>
          <w:color w:val="000000"/>
          <w:sz w:val="36"/>
          <w:szCs w:val="36"/>
          <w:highlight w:val="none"/>
        </w:rPr>
      </w:pPr>
      <w:bookmarkStart w:id="52" w:name="_Toc516499656"/>
      <w:bookmarkStart w:id="53" w:name="_Toc25298"/>
      <w:bookmarkStart w:id="54" w:name="_Toc99007052"/>
      <w:bookmarkStart w:id="55" w:name="_Toc25595"/>
      <w:bookmarkStart w:id="56" w:name="_Toc57277889"/>
    </w:p>
    <w:p w14:paraId="0ADBA960">
      <w:pPr>
        <w:spacing w:line="360" w:lineRule="auto"/>
        <w:jc w:val="center"/>
        <w:outlineLvl w:val="0"/>
        <w:rPr>
          <w:rFonts w:ascii="黑体" w:hAnsi="黑体" w:eastAsia="黑体"/>
          <w:b/>
          <w:color w:val="000000"/>
          <w:sz w:val="36"/>
          <w:szCs w:val="36"/>
          <w:highlight w:val="none"/>
        </w:rPr>
      </w:pPr>
    </w:p>
    <w:p w14:paraId="7FE7CCC3">
      <w:pPr>
        <w:spacing w:line="360" w:lineRule="auto"/>
        <w:jc w:val="center"/>
        <w:outlineLvl w:val="0"/>
        <w:rPr>
          <w:rFonts w:ascii="黑体" w:hAnsi="黑体" w:eastAsia="黑体"/>
          <w:b/>
          <w:color w:val="000000"/>
          <w:sz w:val="36"/>
          <w:szCs w:val="36"/>
          <w:highlight w:val="none"/>
        </w:rPr>
      </w:pPr>
    </w:p>
    <w:p w14:paraId="57B9DF64">
      <w:pPr>
        <w:spacing w:line="360" w:lineRule="auto"/>
        <w:jc w:val="center"/>
        <w:outlineLvl w:val="0"/>
        <w:rPr>
          <w:rFonts w:ascii="宋体" w:hAnsi="宋体"/>
          <w:color w:val="000000"/>
          <w:sz w:val="24"/>
          <w:highlight w:val="none"/>
        </w:rPr>
      </w:pPr>
      <w:bookmarkStart w:id="57" w:name="_Toc6871"/>
      <w:r>
        <w:rPr>
          <w:rFonts w:hint="eastAsia" w:ascii="黑体" w:hAnsi="黑体" w:eastAsia="黑体"/>
          <w:b/>
          <w:color w:val="000000"/>
          <w:sz w:val="36"/>
          <w:szCs w:val="36"/>
          <w:highlight w:val="none"/>
        </w:rPr>
        <w:t xml:space="preserve">第三章  </w:t>
      </w:r>
      <w:bookmarkEnd w:id="29"/>
      <w:bookmarkEnd w:id="30"/>
      <w:bookmarkEnd w:id="31"/>
      <w:bookmarkEnd w:id="32"/>
      <w:bookmarkEnd w:id="52"/>
      <w:r>
        <w:rPr>
          <w:rFonts w:hint="eastAsia" w:ascii="黑体" w:hAnsi="黑体" w:eastAsia="黑体"/>
          <w:b/>
          <w:color w:val="000000"/>
          <w:sz w:val="36"/>
          <w:szCs w:val="36"/>
          <w:highlight w:val="none"/>
        </w:rPr>
        <w:t>采购</w:t>
      </w:r>
      <w:bookmarkEnd w:id="53"/>
      <w:bookmarkEnd w:id="54"/>
      <w:bookmarkEnd w:id="55"/>
      <w:bookmarkEnd w:id="56"/>
      <w:r>
        <w:rPr>
          <w:rFonts w:hint="eastAsia" w:ascii="黑体" w:hAnsi="黑体" w:eastAsia="黑体"/>
          <w:b/>
          <w:color w:val="000000"/>
          <w:sz w:val="36"/>
          <w:szCs w:val="36"/>
          <w:highlight w:val="none"/>
        </w:rPr>
        <w:t>需求</w:t>
      </w:r>
      <w:bookmarkEnd w:id="57"/>
    </w:p>
    <w:p w14:paraId="6CAFED31">
      <w:pPr>
        <w:pStyle w:val="3"/>
        <w:spacing w:before="156"/>
        <w:ind w:right="105"/>
        <w:jc w:val="both"/>
        <w:rPr>
          <w:b/>
          <w:bCs/>
          <w:sz w:val="28"/>
          <w:szCs w:val="28"/>
          <w:highlight w:val="none"/>
        </w:rPr>
      </w:pPr>
      <w:bookmarkStart w:id="58" w:name="_Toc99007054"/>
      <w:bookmarkStart w:id="59" w:name="_Toc516499661"/>
      <w:bookmarkStart w:id="60" w:name="_Toc2673"/>
      <w:bookmarkStart w:id="61" w:name="_Toc7577"/>
      <w:bookmarkStart w:id="62" w:name="_Toc57277890"/>
      <w:r>
        <w:rPr>
          <w:rFonts w:hint="eastAsia"/>
          <w:b/>
          <w:bCs/>
          <w:sz w:val="28"/>
          <w:szCs w:val="28"/>
          <w:highlight w:val="none"/>
          <w:lang w:eastAsia="zh-CN"/>
        </w:rPr>
        <w:t>一、</w:t>
      </w:r>
      <w:r>
        <w:rPr>
          <w:rFonts w:hint="eastAsia"/>
          <w:b/>
          <w:bCs/>
          <w:sz w:val="28"/>
          <w:szCs w:val="28"/>
          <w:highlight w:val="none"/>
        </w:rPr>
        <w:t>设备详细参数</w:t>
      </w:r>
    </w:p>
    <w:tbl>
      <w:tblPr>
        <w:tblStyle w:val="14"/>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20"/>
        <w:gridCol w:w="6063"/>
        <w:gridCol w:w="765"/>
        <w:gridCol w:w="747"/>
        <w:gridCol w:w="757"/>
      </w:tblGrid>
      <w:tr w14:paraId="2617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65" w:type="dxa"/>
            <w:gridSpan w:val="6"/>
            <w:noWrap w:val="0"/>
            <w:vAlign w:val="center"/>
          </w:tcPr>
          <w:p w14:paraId="6F4A763C">
            <w:pPr>
              <w:spacing w:before="156"/>
              <w:ind w:firstLine="14" w:firstLineChars="6"/>
              <w:jc w:val="center"/>
              <w:rPr>
                <w:rFonts w:hint="eastAsia" w:ascii="宋体" w:hAnsi="宋体"/>
                <w:sz w:val="24"/>
                <w:szCs w:val="24"/>
                <w:highlight w:val="none"/>
                <w:lang w:eastAsia="zh-CN"/>
              </w:rPr>
            </w:pPr>
            <w:r>
              <w:rPr>
                <w:rFonts w:hint="eastAsia" w:ascii="宋体" w:hAnsi="宋体"/>
                <w:sz w:val="24"/>
                <w:szCs w:val="24"/>
                <w:highlight w:val="none"/>
                <w:lang w:eastAsia="zh-CN"/>
              </w:rPr>
              <w:t>一、</w:t>
            </w:r>
            <w:r>
              <w:rPr>
                <w:rFonts w:hint="eastAsia" w:ascii="宋体" w:hAnsi="宋体" w:eastAsia="宋体"/>
                <w:sz w:val="24"/>
                <w:szCs w:val="24"/>
                <w:highlight w:val="none"/>
                <w:lang w:eastAsia="zh-CN"/>
              </w:rPr>
              <w:t>报到登记室设备</w:t>
            </w:r>
            <w:r>
              <w:rPr>
                <w:rFonts w:hint="eastAsia" w:ascii="宋体" w:hAnsi="宋体"/>
                <w:sz w:val="24"/>
                <w:szCs w:val="24"/>
                <w:highlight w:val="none"/>
                <w:lang w:eastAsia="zh-CN"/>
              </w:rPr>
              <w:t>系统</w:t>
            </w:r>
          </w:p>
        </w:tc>
      </w:tr>
      <w:tr w14:paraId="4EE7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3" w:type="dxa"/>
            <w:noWrap w:val="0"/>
            <w:vAlign w:val="center"/>
          </w:tcPr>
          <w:p w14:paraId="5E8E6DFD">
            <w:pPr>
              <w:spacing w:before="156"/>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820" w:type="dxa"/>
            <w:noWrap w:val="0"/>
            <w:vAlign w:val="center"/>
          </w:tcPr>
          <w:p w14:paraId="3B0E4172">
            <w:pPr>
              <w:spacing w:before="156"/>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设备名称</w:t>
            </w:r>
          </w:p>
        </w:tc>
        <w:tc>
          <w:tcPr>
            <w:tcW w:w="6063" w:type="dxa"/>
            <w:noWrap w:val="0"/>
            <w:vAlign w:val="center"/>
          </w:tcPr>
          <w:p w14:paraId="1BD3EABD">
            <w:pPr>
              <w:spacing w:before="156"/>
              <w:ind w:firstLine="420" w:firstLineChars="0"/>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设备参数</w:t>
            </w:r>
          </w:p>
        </w:tc>
        <w:tc>
          <w:tcPr>
            <w:tcW w:w="765" w:type="dxa"/>
            <w:noWrap w:val="0"/>
            <w:vAlign w:val="center"/>
          </w:tcPr>
          <w:p w14:paraId="56CC3C4E">
            <w:pPr>
              <w:spacing w:before="156"/>
              <w:ind w:firstLine="14" w:firstLineChars="6"/>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单位</w:t>
            </w:r>
          </w:p>
        </w:tc>
        <w:tc>
          <w:tcPr>
            <w:tcW w:w="747" w:type="dxa"/>
            <w:noWrap w:val="0"/>
            <w:vAlign w:val="center"/>
          </w:tcPr>
          <w:p w14:paraId="537945DC">
            <w:pPr>
              <w:spacing w:before="156"/>
              <w:ind w:firstLine="14" w:firstLineChars="6"/>
              <w:jc w:val="center"/>
              <w:rPr>
                <w:rFonts w:hint="eastAsia" w:ascii="宋体" w:hAnsi="宋体"/>
                <w:sz w:val="24"/>
                <w:szCs w:val="24"/>
                <w:highlight w:val="none"/>
                <w:lang w:eastAsia="zh-CN"/>
              </w:rPr>
            </w:pPr>
            <w:r>
              <w:rPr>
                <w:rFonts w:hint="eastAsia" w:ascii="宋体" w:hAnsi="宋体"/>
                <w:sz w:val="24"/>
                <w:szCs w:val="24"/>
                <w:highlight w:val="none"/>
                <w:lang w:eastAsia="zh-CN"/>
              </w:rPr>
              <w:t>数量</w:t>
            </w:r>
          </w:p>
        </w:tc>
        <w:tc>
          <w:tcPr>
            <w:tcW w:w="757" w:type="dxa"/>
            <w:noWrap w:val="0"/>
            <w:vAlign w:val="center"/>
          </w:tcPr>
          <w:p w14:paraId="19977122">
            <w:pPr>
              <w:spacing w:before="156"/>
              <w:ind w:firstLine="14" w:firstLineChars="6"/>
              <w:jc w:val="center"/>
              <w:rPr>
                <w:rFonts w:hint="eastAsia" w:ascii="宋体" w:hAnsi="宋体"/>
                <w:sz w:val="24"/>
                <w:szCs w:val="24"/>
                <w:highlight w:val="none"/>
                <w:lang w:eastAsia="zh-CN"/>
              </w:rPr>
            </w:pPr>
            <w:r>
              <w:rPr>
                <w:rFonts w:hint="eastAsia" w:ascii="宋体" w:hAnsi="宋体"/>
                <w:sz w:val="24"/>
                <w:szCs w:val="24"/>
                <w:highlight w:val="none"/>
                <w:lang w:eastAsia="zh-CN"/>
              </w:rPr>
              <w:t>备注</w:t>
            </w:r>
          </w:p>
        </w:tc>
      </w:tr>
      <w:tr w14:paraId="3059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1EB6A9C5">
            <w:pPr>
              <w:spacing w:before="15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p>
        </w:tc>
        <w:tc>
          <w:tcPr>
            <w:tcW w:w="820" w:type="dxa"/>
            <w:noWrap w:val="0"/>
            <w:vAlign w:val="center"/>
          </w:tcPr>
          <w:p w14:paraId="75AB5D27">
            <w:pPr>
              <w:spacing w:before="156"/>
              <w:jc w:val="center"/>
              <w:rPr>
                <w:rFonts w:ascii="宋体" w:hAnsi="宋体" w:cs="宋体"/>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2021EC7F">
            <w:pPr>
              <w:bidi w:val="0"/>
              <w:rPr>
                <w:rFonts w:hint="eastAsia"/>
                <w:sz w:val="24"/>
                <w:szCs w:val="24"/>
                <w:highlight w:val="none"/>
              </w:rPr>
            </w:pPr>
            <w:r>
              <w:rPr>
                <w:rFonts w:hint="eastAsia"/>
                <w:sz w:val="24"/>
                <w:szCs w:val="24"/>
                <w:highlight w:val="none"/>
              </w:rPr>
              <w:t>要求采用200万像素及以上设备</w:t>
            </w:r>
          </w:p>
          <w:p w14:paraId="34CAAB17">
            <w:pPr>
              <w:bidi w:val="0"/>
              <w:rPr>
                <w:rFonts w:hint="eastAsia"/>
                <w:sz w:val="24"/>
                <w:szCs w:val="24"/>
                <w:highlight w:val="none"/>
              </w:rPr>
            </w:pPr>
            <w:r>
              <w:rPr>
                <w:rFonts w:hint="eastAsia"/>
                <w:sz w:val="24"/>
                <w:szCs w:val="24"/>
                <w:highlight w:val="none"/>
              </w:rPr>
              <w:t>支持国标GB/T28181</w:t>
            </w:r>
          </w:p>
          <w:p w14:paraId="4FCE922A">
            <w:pPr>
              <w:bidi w:val="0"/>
              <w:rPr>
                <w:rFonts w:hint="eastAsia"/>
                <w:sz w:val="24"/>
                <w:szCs w:val="24"/>
                <w:highlight w:val="none"/>
              </w:rPr>
            </w:pPr>
            <w:r>
              <w:rPr>
                <w:rFonts w:hint="eastAsia"/>
                <w:sz w:val="24"/>
                <w:szCs w:val="24"/>
                <w:highlight w:val="none"/>
              </w:rPr>
              <w:t>支持1920×1080@25fps高清画面输出</w:t>
            </w:r>
          </w:p>
          <w:p w14:paraId="759158B4">
            <w:pPr>
              <w:bidi w:val="0"/>
              <w:rPr>
                <w:rFonts w:hint="eastAsia"/>
                <w:sz w:val="24"/>
                <w:szCs w:val="24"/>
                <w:highlight w:val="none"/>
              </w:rPr>
            </w:pPr>
            <w:r>
              <w:rPr>
                <w:rFonts w:hint="eastAsia"/>
                <w:sz w:val="24"/>
                <w:szCs w:val="24"/>
                <w:highlight w:val="none"/>
              </w:rPr>
              <w:t>支持H.265高效压缩算法，可较大节省存储空间</w:t>
            </w:r>
          </w:p>
          <w:p w14:paraId="4009375C">
            <w:pPr>
              <w:bidi w:val="0"/>
              <w:rPr>
                <w:rFonts w:hint="eastAsia"/>
                <w:sz w:val="24"/>
                <w:szCs w:val="24"/>
                <w:highlight w:val="none"/>
              </w:rPr>
            </w:pPr>
            <w:r>
              <w:rPr>
                <w:rFonts w:hint="eastAsia"/>
                <w:sz w:val="24"/>
                <w:szCs w:val="24"/>
                <w:highlight w:val="none"/>
              </w:rPr>
              <w:t>支持红外补光距离不小于40米</w:t>
            </w:r>
          </w:p>
          <w:p w14:paraId="2FA3295E">
            <w:pPr>
              <w:bidi w:val="0"/>
              <w:rPr>
                <w:rFonts w:hint="eastAsia"/>
                <w:sz w:val="24"/>
                <w:szCs w:val="24"/>
                <w:highlight w:val="none"/>
              </w:rPr>
            </w:pPr>
            <w:r>
              <w:rPr>
                <w:rFonts w:hint="eastAsia"/>
                <w:sz w:val="24"/>
                <w:szCs w:val="24"/>
                <w:highlight w:val="none"/>
              </w:rPr>
              <w:t>支持区域入侵侦测、越界侦测、移动侦测等智能侦测功能</w:t>
            </w:r>
          </w:p>
          <w:p w14:paraId="3CBA2A08">
            <w:pPr>
              <w:bidi w:val="0"/>
              <w:rPr>
                <w:rFonts w:hint="eastAsia"/>
                <w:sz w:val="24"/>
                <w:szCs w:val="24"/>
                <w:highlight w:val="none"/>
              </w:rPr>
            </w:pPr>
            <w:r>
              <w:rPr>
                <w:rFonts w:hint="eastAsia"/>
                <w:sz w:val="24"/>
                <w:szCs w:val="24"/>
                <w:highlight w:val="none"/>
              </w:rPr>
              <w:t>支持宽动态，适合逆光环境监控</w:t>
            </w:r>
          </w:p>
          <w:p w14:paraId="7F5210DA">
            <w:pPr>
              <w:bidi w:val="0"/>
              <w:rPr>
                <w:rFonts w:hint="eastAsia"/>
                <w:sz w:val="24"/>
                <w:szCs w:val="24"/>
                <w:highlight w:val="none"/>
              </w:rPr>
            </w:pPr>
            <w:r>
              <w:rPr>
                <w:rFonts w:hint="eastAsia"/>
                <w:sz w:val="24"/>
                <w:szCs w:val="24"/>
                <w:highlight w:val="none"/>
              </w:rPr>
              <w:t>支持 POE+（802.3at）供电</w:t>
            </w:r>
          </w:p>
          <w:p w14:paraId="34035824">
            <w:pPr>
              <w:bidi w:val="0"/>
              <w:rPr>
                <w:rFonts w:hint="eastAsia"/>
                <w:sz w:val="24"/>
                <w:szCs w:val="24"/>
                <w:highlight w:val="none"/>
              </w:rPr>
            </w:pPr>
            <w:r>
              <w:rPr>
                <w:rFonts w:hint="eastAsia"/>
                <w:sz w:val="24"/>
                <w:szCs w:val="24"/>
                <w:highlight w:val="none"/>
              </w:rPr>
              <w:t>内置麦克风和扬声器</w:t>
            </w:r>
          </w:p>
          <w:p w14:paraId="2AE1AD65">
            <w:pPr>
              <w:bidi w:val="0"/>
              <w:rPr>
                <w:rFonts w:hint="eastAsia"/>
                <w:sz w:val="24"/>
                <w:szCs w:val="24"/>
                <w:highlight w:val="none"/>
              </w:rPr>
            </w:pPr>
            <w:r>
              <w:rPr>
                <w:rFonts w:hint="eastAsia"/>
                <w:sz w:val="24"/>
                <w:szCs w:val="24"/>
                <w:highlight w:val="none"/>
              </w:rPr>
              <w:t>支持1路音频输入、1路音频输出</w:t>
            </w:r>
          </w:p>
          <w:p w14:paraId="0B1583BC">
            <w:pPr>
              <w:bidi w:val="0"/>
              <w:rPr>
                <w:rFonts w:hint="eastAsia"/>
                <w:sz w:val="24"/>
                <w:szCs w:val="24"/>
                <w:highlight w:val="none"/>
              </w:rPr>
            </w:pPr>
            <w:r>
              <w:rPr>
                <w:rFonts w:hint="eastAsia"/>
                <w:sz w:val="24"/>
                <w:szCs w:val="24"/>
                <w:highlight w:val="none"/>
              </w:rPr>
              <w:t>支持IK10防暴等级</w:t>
            </w:r>
          </w:p>
          <w:p w14:paraId="00DFC1AD">
            <w:pPr>
              <w:bidi w:val="0"/>
              <w:rPr>
                <w:rFonts w:hint="eastAsia"/>
                <w:sz w:val="24"/>
                <w:szCs w:val="24"/>
                <w:highlight w:val="none"/>
              </w:rPr>
            </w:pPr>
            <w:r>
              <w:rPr>
                <w:rFonts w:hint="eastAsia"/>
                <w:sz w:val="24"/>
                <w:szCs w:val="24"/>
                <w:highlight w:val="none"/>
              </w:rPr>
              <w:t>防雷、防浪涌、防突波，IP66防护等级</w:t>
            </w:r>
          </w:p>
          <w:p w14:paraId="136E76CB">
            <w:pPr>
              <w:bidi w:val="0"/>
              <w:rPr>
                <w:rFonts w:hint="eastAsia"/>
                <w:sz w:val="24"/>
                <w:szCs w:val="24"/>
                <w:highlight w:val="none"/>
              </w:rPr>
            </w:pPr>
            <w:r>
              <w:rPr>
                <w:rFonts w:hint="eastAsia"/>
                <w:sz w:val="24"/>
                <w:szCs w:val="24"/>
                <w:highlight w:val="none"/>
              </w:rPr>
              <w:t>包含：安装支架。</w:t>
            </w:r>
          </w:p>
          <w:p w14:paraId="35D72BD3">
            <w:pPr>
              <w:bidi w:val="0"/>
              <w:rPr>
                <w:rFonts w:ascii="宋体" w:hAnsi="宋体"/>
                <w:szCs w:val="24"/>
                <w:highlight w:val="none"/>
              </w:rPr>
            </w:pPr>
            <w:r>
              <w:rPr>
                <w:rFonts w:hint="eastAsia"/>
                <w:sz w:val="24"/>
                <w:szCs w:val="24"/>
                <w:highlight w:val="none"/>
              </w:rPr>
              <w:t>用于抓取报到人员视频信息</w:t>
            </w:r>
          </w:p>
        </w:tc>
        <w:tc>
          <w:tcPr>
            <w:tcW w:w="765" w:type="dxa"/>
            <w:noWrap w:val="0"/>
            <w:vAlign w:val="center"/>
          </w:tcPr>
          <w:p w14:paraId="0CF05F38">
            <w:pPr>
              <w:spacing w:before="156"/>
              <w:ind w:firstLine="14" w:firstLineChars="6"/>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7EC2042F">
            <w:pPr>
              <w:spacing w:before="156"/>
              <w:ind w:firstLine="14" w:firstLineChars="6"/>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w:t>
            </w:r>
          </w:p>
        </w:tc>
        <w:tc>
          <w:tcPr>
            <w:tcW w:w="757" w:type="dxa"/>
            <w:noWrap w:val="0"/>
            <w:vAlign w:val="center"/>
          </w:tcPr>
          <w:p w14:paraId="74B51508">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1E2C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5D15D2C">
            <w:pPr>
              <w:spacing w:before="156"/>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820" w:type="dxa"/>
            <w:noWrap w:val="0"/>
            <w:vAlign w:val="center"/>
          </w:tcPr>
          <w:p w14:paraId="2EE2CFF7">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报警按钮</w:t>
            </w:r>
          </w:p>
        </w:tc>
        <w:tc>
          <w:tcPr>
            <w:tcW w:w="6063" w:type="dxa"/>
            <w:noWrap w:val="0"/>
            <w:vAlign w:val="center"/>
          </w:tcPr>
          <w:p w14:paraId="719293BB">
            <w:pPr>
              <w:bidi w:val="0"/>
              <w:rPr>
                <w:rFonts w:hint="eastAsia"/>
                <w:sz w:val="24"/>
                <w:szCs w:val="24"/>
                <w:highlight w:val="none"/>
              </w:rPr>
            </w:pPr>
            <w:r>
              <w:rPr>
                <w:rFonts w:hint="eastAsia"/>
                <w:sz w:val="24"/>
                <w:szCs w:val="24"/>
                <w:highlight w:val="none"/>
              </w:rPr>
              <w:t>紧急按钮，采用ABS材质，性能稳定，经久耐用，操作安装简单，实用性强。</w:t>
            </w:r>
          </w:p>
          <w:p w14:paraId="0BD26DC4">
            <w:pPr>
              <w:bidi w:val="0"/>
              <w:rPr>
                <w:rFonts w:hint="eastAsia"/>
                <w:sz w:val="24"/>
                <w:szCs w:val="24"/>
                <w:highlight w:val="none"/>
              </w:rPr>
            </w:pPr>
            <w:r>
              <w:rPr>
                <w:rFonts w:hint="eastAsia"/>
                <w:sz w:val="24"/>
                <w:szCs w:val="24"/>
                <w:highlight w:val="none"/>
              </w:rPr>
              <w:t>外壳材料：ABS</w:t>
            </w:r>
          </w:p>
          <w:p w14:paraId="431BDB43">
            <w:pPr>
              <w:bidi w:val="0"/>
              <w:rPr>
                <w:rFonts w:hint="eastAsia"/>
                <w:sz w:val="24"/>
                <w:szCs w:val="24"/>
                <w:highlight w:val="none"/>
              </w:rPr>
            </w:pPr>
            <w:r>
              <w:rPr>
                <w:rFonts w:hint="eastAsia"/>
                <w:sz w:val="24"/>
                <w:szCs w:val="24"/>
                <w:highlight w:val="none"/>
              </w:rPr>
              <w:t>工作电压（V/DC)：≤250</w:t>
            </w:r>
          </w:p>
          <w:p w14:paraId="161FDAF0">
            <w:pPr>
              <w:bidi w:val="0"/>
              <w:rPr>
                <w:rFonts w:hint="eastAsia"/>
                <w:sz w:val="24"/>
                <w:szCs w:val="24"/>
                <w:highlight w:val="none"/>
              </w:rPr>
            </w:pPr>
            <w:r>
              <w:rPr>
                <w:rFonts w:hint="eastAsia"/>
                <w:sz w:val="24"/>
                <w:szCs w:val="24"/>
                <w:highlight w:val="none"/>
              </w:rPr>
              <w:t>工作电流(mA)：≤300</w:t>
            </w:r>
          </w:p>
          <w:p w14:paraId="68F6E6FE">
            <w:pPr>
              <w:bidi w:val="0"/>
              <w:rPr>
                <w:rFonts w:hint="eastAsia"/>
                <w:sz w:val="24"/>
                <w:szCs w:val="24"/>
                <w:highlight w:val="none"/>
              </w:rPr>
            </w:pPr>
            <w:r>
              <w:rPr>
                <w:rFonts w:hint="eastAsia"/>
                <w:sz w:val="24"/>
                <w:szCs w:val="24"/>
                <w:highlight w:val="none"/>
              </w:rPr>
              <w:t>触点模式(NC\NO)：常开/常闭</w:t>
            </w:r>
          </w:p>
          <w:p w14:paraId="6A4C4637">
            <w:pPr>
              <w:bidi w:val="0"/>
              <w:rPr>
                <w:rFonts w:hint="eastAsia"/>
                <w:sz w:val="24"/>
                <w:szCs w:val="24"/>
                <w:highlight w:val="none"/>
              </w:rPr>
            </w:pPr>
            <w:r>
              <w:rPr>
                <w:rFonts w:hint="eastAsia"/>
                <w:sz w:val="24"/>
                <w:szCs w:val="24"/>
                <w:highlight w:val="none"/>
              </w:rPr>
              <w:t>用作突发情况紧急上报监控指挥室</w:t>
            </w:r>
          </w:p>
        </w:tc>
        <w:tc>
          <w:tcPr>
            <w:tcW w:w="765" w:type="dxa"/>
            <w:noWrap w:val="0"/>
            <w:vAlign w:val="center"/>
          </w:tcPr>
          <w:p w14:paraId="056E25B8">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7252C953">
            <w:pPr>
              <w:spacing w:before="15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w:t>
            </w:r>
          </w:p>
        </w:tc>
        <w:tc>
          <w:tcPr>
            <w:tcW w:w="757" w:type="dxa"/>
            <w:noWrap w:val="0"/>
            <w:vAlign w:val="center"/>
          </w:tcPr>
          <w:p w14:paraId="035599C7">
            <w:pPr>
              <w:spacing w:before="15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选配</w:t>
            </w:r>
          </w:p>
        </w:tc>
      </w:tr>
      <w:tr w14:paraId="7DD6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2684A84E">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1.3</w:t>
            </w:r>
          </w:p>
        </w:tc>
        <w:tc>
          <w:tcPr>
            <w:tcW w:w="820" w:type="dxa"/>
            <w:noWrap w:val="0"/>
            <w:vAlign w:val="center"/>
          </w:tcPr>
          <w:p w14:paraId="1C2978A3">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自助报道终端</w:t>
            </w:r>
          </w:p>
        </w:tc>
        <w:tc>
          <w:tcPr>
            <w:tcW w:w="6063" w:type="dxa"/>
            <w:noWrap w:val="0"/>
            <w:vAlign w:val="center"/>
          </w:tcPr>
          <w:p w14:paraId="7FEB658E">
            <w:pPr>
              <w:bidi w:val="0"/>
              <w:rPr>
                <w:rFonts w:hint="eastAsia"/>
                <w:sz w:val="24"/>
                <w:szCs w:val="24"/>
                <w:highlight w:val="none"/>
              </w:rPr>
            </w:pPr>
            <w:r>
              <w:rPr>
                <w:rFonts w:hint="eastAsia"/>
                <w:sz w:val="24"/>
                <w:szCs w:val="24"/>
                <w:highlight w:val="none"/>
              </w:rPr>
              <w:t>机柜：冷轧钢材质，表面汽车烤漆，颜色可定制，防磁防锈防静电，符合人体工程学,布局合理、工艺精细。</w:t>
            </w:r>
          </w:p>
          <w:p w14:paraId="261E54CE">
            <w:pPr>
              <w:bidi w:val="0"/>
              <w:rPr>
                <w:rFonts w:hint="eastAsia"/>
                <w:sz w:val="24"/>
                <w:szCs w:val="24"/>
                <w:highlight w:val="none"/>
              </w:rPr>
            </w:pPr>
            <w:r>
              <w:rPr>
                <w:rFonts w:hint="eastAsia"/>
                <w:sz w:val="24"/>
                <w:szCs w:val="24"/>
                <w:highlight w:val="none"/>
              </w:rPr>
              <w:t xml:space="preserve">CPU:64位高性能CPU，2.0GHz；内存  16G  ROM 32KB  </w:t>
            </w:r>
          </w:p>
          <w:p w14:paraId="46E135B9">
            <w:pPr>
              <w:bidi w:val="0"/>
              <w:rPr>
                <w:rFonts w:hint="eastAsia"/>
                <w:sz w:val="24"/>
                <w:szCs w:val="24"/>
                <w:highlight w:val="none"/>
              </w:rPr>
            </w:pPr>
            <w:r>
              <w:rPr>
                <w:rFonts w:hint="eastAsia"/>
                <w:sz w:val="24"/>
                <w:szCs w:val="24"/>
                <w:highlight w:val="none"/>
              </w:rPr>
              <w:t>解码分辨率  3840*2160 操作系统 Android 7.1</w:t>
            </w:r>
          </w:p>
          <w:p w14:paraId="3D3914DC">
            <w:pPr>
              <w:bidi w:val="0"/>
              <w:rPr>
                <w:rFonts w:hint="eastAsia"/>
                <w:sz w:val="24"/>
                <w:szCs w:val="24"/>
                <w:highlight w:val="none"/>
              </w:rPr>
            </w:pPr>
            <w:r>
              <w:rPr>
                <w:rFonts w:hint="eastAsia"/>
                <w:sz w:val="24"/>
                <w:szCs w:val="24"/>
                <w:highlight w:val="none"/>
              </w:rPr>
              <w:t>网络支持 4G、以太网、支持WiFi/蓝牙4.0、无线外设扩展 8个USB接口</w:t>
            </w:r>
          </w:p>
          <w:p w14:paraId="7E8F1740">
            <w:pPr>
              <w:bidi w:val="0"/>
              <w:rPr>
                <w:rFonts w:hint="eastAsia"/>
                <w:sz w:val="24"/>
                <w:szCs w:val="24"/>
                <w:highlight w:val="none"/>
              </w:rPr>
            </w:pPr>
            <w:r>
              <w:rPr>
                <w:rFonts w:hint="eastAsia"/>
                <w:sz w:val="24"/>
                <w:szCs w:val="24"/>
                <w:highlight w:val="none"/>
              </w:rPr>
              <w:t xml:space="preserve">显示器：21.5" TFT LED,分辨率1920*1080,亮度250cd/㎡，最大色彩16.7M,响应时间5ms,对比度1000:1,比例16:9, 10点电容触控，响应时间小于3ms,透光率≥95%，莫式7级  </w:t>
            </w:r>
          </w:p>
          <w:p w14:paraId="20F78363">
            <w:pPr>
              <w:bidi w:val="0"/>
              <w:rPr>
                <w:rFonts w:hint="eastAsia"/>
                <w:sz w:val="24"/>
                <w:szCs w:val="24"/>
                <w:highlight w:val="none"/>
              </w:rPr>
            </w:pPr>
            <w:r>
              <w:rPr>
                <w:rFonts w:hint="eastAsia"/>
                <w:sz w:val="24"/>
                <w:szCs w:val="24"/>
                <w:highlight w:val="none"/>
              </w:rPr>
              <w:t>高拍仪：分辨率 3651×2738  双通道 全局智能曝光 无肉眼可识别的闪烁、波纹、噪点等。</w:t>
            </w:r>
          </w:p>
          <w:p w14:paraId="165C4450">
            <w:pPr>
              <w:bidi w:val="0"/>
              <w:rPr>
                <w:rFonts w:hint="eastAsia"/>
                <w:sz w:val="24"/>
                <w:szCs w:val="24"/>
                <w:highlight w:val="none"/>
              </w:rPr>
            </w:pPr>
            <w:r>
              <w:rPr>
                <w:rFonts w:hint="eastAsia"/>
                <w:sz w:val="24"/>
                <w:szCs w:val="24"/>
                <w:highlight w:val="none"/>
              </w:rPr>
              <w:t>可一键拍摄生成PDF文档，具备去黑边及自动矫正功能、智能超边寻边补边  自带ABBYY文字OCR识别引擎调用，一键生成word、excel、txt文档。</w:t>
            </w:r>
          </w:p>
          <w:p w14:paraId="49323E3A">
            <w:pPr>
              <w:bidi w:val="0"/>
              <w:rPr>
                <w:rFonts w:hint="eastAsia"/>
                <w:sz w:val="24"/>
                <w:szCs w:val="24"/>
                <w:highlight w:val="none"/>
              </w:rPr>
            </w:pPr>
            <w:r>
              <w:rPr>
                <w:rFonts w:hint="eastAsia"/>
                <w:sz w:val="24"/>
                <w:szCs w:val="24"/>
                <w:highlight w:val="none"/>
              </w:rPr>
              <w:t>麦克风：集成语音识别功能，可以实现语音识别及语音转写。</w:t>
            </w:r>
          </w:p>
          <w:p w14:paraId="103EA585">
            <w:pPr>
              <w:bidi w:val="0"/>
              <w:rPr>
                <w:rFonts w:hint="eastAsia"/>
                <w:sz w:val="24"/>
                <w:szCs w:val="24"/>
                <w:highlight w:val="none"/>
              </w:rPr>
            </w:pPr>
            <w:r>
              <w:rPr>
                <w:rFonts w:hint="eastAsia"/>
                <w:sz w:val="24"/>
                <w:szCs w:val="24"/>
                <w:highlight w:val="none"/>
              </w:rPr>
              <w:t>集成A4黑白激光打印机 508dpi指纹仪 由公安部认证许可的二代身份证识别仪 人脸识别摄像头等。</w:t>
            </w:r>
          </w:p>
          <w:p w14:paraId="45BA038F">
            <w:pPr>
              <w:bidi w:val="0"/>
              <w:rPr>
                <w:rFonts w:hint="eastAsia"/>
                <w:sz w:val="24"/>
                <w:szCs w:val="24"/>
                <w:highlight w:val="none"/>
              </w:rPr>
            </w:pPr>
            <w:r>
              <w:rPr>
                <w:rFonts w:hint="eastAsia"/>
                <w:sz w:val="24"/>
                <w:szCs w:val="24"/>
                <w:highlight w:val="none"/>
              </w:rPr>
              <w:t>支持面部、指纹、人证比对签到，结合应用场景，支持将报到、报告、学习、社区服务等签到数据自动存入河南省社区矫正管理系统中。</w:t>
            </w:r>
          </w:p>
        </w:tc>
        <w:tc>
          <w:tcPr>
            <w:tcW w:w="765" w:type="dxa"/>
            <w:noWrap w:val="0"/>
            <w:vAlign w:val="center"/>
          </w:tcPr>
          <w:p w14:paraId="2BDC8F5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20636028">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508C584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615D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19568F52">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1.4</w:t>
            </w:r>
          </w:p>
        </w:tc>
        <w:tc>
          <w:tcPr>
            <w:tcW w:w="820" w:type="dxa"/>
            <w:noWrap w:val="0"/>
            <w:vAlign w:val="center"/>
          </w:tcPr>
          <w:p w14:paraId="6D6ED955">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自助矫正终端（桌面式）</w:t>
            </w:r>
          </w:p>
        </w:tc>
        <w:tc>
          <w:tcPr>
            <w:tcW w:w="6063" w:type="dxa"/>
            <w:noWrap w:val="0"/>
            <w:vAlign w:val="center"/>
          </w:tcPr>
          <w:p w14:paraId="7E550E34">
            <w:pPr>
              <w:bidi w:val="0"/>
              <w:rPr>
                <w:rFonts w:hint="eastAsia"/>
                <w:sz w:val="24"/>
                <w:szCs w:val="24"/>
                <w:highlight w:val="none"/>
              </w:rPr>
            </w:pPr>
            <w:r>
              <w:rPr>
                <w:rFonts w:hint="eastAsia"/>
                <w:sz w:val="24"/>
                <w:szCs w:val="24"/>
                <w:highlight w:val="none"/>
              </w:rPr>
              <w:t>1、核心系统：国产CPU，处理器核心数量≥4核，主频≥1.8G，内存≥2G，存储≥16G，采用Android系统，系统版本不低于7.1。</w:t>
            </w:r>
          </w:p>
          <w:p w14:paraId="3E09FF57">
            <w:pPr>
              <w:bidi w:val="0"/>
              <w:rPr>
                <w:rFonts w:hint="eastAsia"/>
                <w:sz w:val="24"/>
                <w:szCs w:val="24"/>
                <w:highlight w:val="none"/>
              </w:rPr>
            </w:pPr>
            <w:r>
              <w:rPr>
                <w:rFonts w:hint="eastAsia"/>
                <w:sz w:val="24"/>
                <w:szCs w:val="24"/>
                <w:highlight w:val="none"/>
              </w:rPr>
              <w:t>2、安全性：内置国密加密芯片；</w:t>
            </w:r>
          </w:p>
          <w:p w14:paraId="41950902">
            <w:pPr>
              <w:bidi w:val="0"/>
              <w:rPr>
                <w:rFonts w:hint="eastAsia"/>
                <w:sz w:val="24"/>
                <w:szCs w:val="24"/>
                <w:highlight w:val="none"/>
              </w:rPr>
            </w:pPr>
            <w:r>
              <w:rPr>
                <w:rFonts w:hint="eastAsia"/>
                <w:sz w:val="24"/>
                <w:szCs w:val="24"/>
                <w:highlight w:val="none"/>
              </w:rPr>
              <w:t>3、确保窗口整洁化，柜面内外双屏集成一体化设计，不可分离。主副交互双屏、二代证识别模块、指纹模块、文件采集模块、双目活体检测摄像头等模块均集成为一体化，高拍仪需要在双屏幕的中心位置，拍摄物体可以在双屏幕的下方，作业面积展开不大于30CMx26CM（减少柜面占地，优化窗口整洁），整机底部防滑。</w:t>
            </w:r>
          </w:p>
          <w:p w14:paraId="49C426EE">
            <w:pPr>
              <w:bidi w:val="0"/>
              <w:rPr>
                <w:rFonts w:hint="eastAsia"/>
                <w:sz w:val="24"/>
                <w:szCs w:val="24"/>
                <w:highlight w:val="none"/>
              </w:rPr>
            </w:pPr>
            <w:r>
              <w:rPr>
                <w:rFonts w:hint="eastAsia"/>
                <w:sz w:val="24"/>
                <w:szCs w:val="24"/>
                <w:highlight w:val="none"/>
              </w:rPr>
              <w:t>4、双屏异显：信息交互双屏可实现异显异触，双屏互为独立操作功能，并可扩展实现主屏实时查看指导副屏的使用情况,可实现同显同触和异显异触;</w:t>
            </w:r>
          </w:p>
          <w:p w14:paraId="6ABDD0E1">
            <w:pPr>
              <w:bidi w:val="0"/>
              <w:rPr>
                <w:rFonts w:hint="eastAsia"/>
                <w:sz w:val="24"/>
                <w:szCs w:val="24"/>
                <w:highlight w:val="none"/>
              </w:rPr>
            </w:pPr>
            <w:r>
              <w:rPr>
                <w:rFonts w:hint="eastAsia"/>
                <w:sz w:val="24"/>
                <w:szCs w:val="24"/>
                <w:highlight w:val="none"/>
              </w:rPr>
              <w:t>5、人机交互(工作端)：采用电容屏，屏幕≥10.1寸，分辨率≥1280x800，亮度&gt;=250cd/m²，对比度&gt;=800:1。</w:t>
            </w:r>
          </w:p>
          <w:p w14:paraId="3CAFCD41">
            <w:pPr>
              <w:bidi w:val="0"/>
              <w:rPr>
                <w:rFonts w:hint="eastAsia"/>
                <w:sz w:val="24"/>
                <w:szCs w:val="24"/>
                <w:highlight w:val="none"/>
              </w:rPr>
            </w:pPr>
            <w:r>
              <w:rPr>
                <w:rFonts w:hint="eastAsia"/>
                <w:sz w:val="24"/>
                <w:szCs w:val="24"/>
                <w:highlight w:val="none"/>
              </w:rPr>
              <w:t>6、人机交互(自助端)：副屏支持电磁电容双控屏并采用无源电磁笔，屏幕≥10.1寸，分辨率≥1280x800，电子签名感应方式，电子签名压感≥2048，亮度&gt;=250cd/m²，对比度&gt;=800:1。</w:t>
            </w:r>
          </w:p>
          <w:p w14:paraId="147F567C">
            <w:pPr>
              <w:bidi w:val="0"/>
              <w:rPr>
                <w:rFonts w:hint="eastAsia"/>
                <w:sz w:val="24"/>
                <w:szCs w:val="24"/>
                <w:highlight w:val="none"/>
              </w:rPr>
            </w:pPr>
            <w:r>
              <w:rPr>
                <w:rFonts w:hint="eastAsia"/>
                <w:sz w:val="24"/>
                <w:szCs w:val="24"/>
                <w:highlight w:val="none"/>
              </w:rPr>
              <w:t>7、支持多种手写签名方式： 一名一签、一名多签、多名多签、随意位置签名捺印、指定位置签名捺印等。同时支持签名过程实时回显；支持文档预览，文档查看可提供“大”，“中”，“标准”三种大小档位；支持手指滑动查看文档。</w:t>
            </w:r>
          </w:p>
          <w:p w14:paraId="013A29FA">
            <w:pPr>
              <w:bidi w:val="0"/>
              <w:rPr>
                <w:rFonts w:hint="eastAsia"/>
                <w:sz w:val="24"/>
                <w:szCs w:val="24"/>
                <w:highlight w:val="none"/>
              </w:rPr>
            </w:pPr>
            <w:r>
              <w:rPr>
                <w:rFonts w:hint="eastAsia"/>
                <w:sz w:val="24"/>
                <w:szCs w:val="24"/>
                <w:highlight w:val="none"/>
              </w:rPr>
              <w:t>★8、双目活体检测：像素：200万（WDR），200万（B/W），分辨率：1920*1080（WDR），1920*1080（B/W），支持活体检测，支持人脸比对，品牌厂商具有相关活体检测及人证比对系统软件著作权（需提供著作权证书复印件并盖章）。</w:t>
            </w:r>
          </w:p>
          <w:p w14:paraId="1506B5C7">
            <w:pPr>
              <w:bidi w:val="0"/>
              <w:rPr>
                <w:rFonts w:hint="eastAsia"/>
                <w:sz w:val="24"/>
                <w:szCs w:val="24"/>
                <w:highlight w:val="none"/>
              </w:rPr>
            </w:pPr>
            <w:r>
              <w:rPr>
                <w:rFonts w:hint="eastAsia"/>
                <w:sz w:val="24"/>
                <w:szCs w:val="24"/>
                <w:highlight w:val="none"/>
              </w:rPr>
              <w:t>9、文件采集模块：面向客户与业务办理人员均为半开放开口设计，便于客户与业务办理人员放置文件以及证件材料。文件摄像头参数：传感器尺寸：1/4”，分辨率：2592*1944，像素：500万，帧率：2592*1944/15fps，拍摄幅面：A4，拍摄介质：文件、证件及立体实物，至少高于10CM的立体实物。</w:t>
            </w:r>
          </w:p>
          <w:p w14:paraId="592ACF2A">
            <w:pPr>
              <w:bidi w:val="0"/>
              <w:rPr>
                <w:rFonts w:hint="eastAsia"/>
                <w:sz w:val="24"/>
                <w:szCs w:val="24"/>
                <w:highlight w:val="none"/>
              </w:rPr>
            </w:pPr>
            <w:r>
              <w:rPr>
                <w:rFonts w:hint="eastAsia"/>
                <w:sz w:val="24"/>
                <w:szCs w:val="24"/>
                <w:highlight w:val="none"/>
              </w:rPr>
              <w:t>11、二代证阅读器：符合GA450-2013台式居民身份证阅读器通用技术要求，阅读距离：0-30mm，读卡响应速度：&lt;1s。</w:t>
            </w:r>
          </w:p>
          <w:p w14:paraId="4523ECBD">
            <w:pPr>
              <w:bidi w:val="0"/>
              <w:rPr>
                <w:rFonts w:hint="eastAsia"/>
                <w:sz w:val="24"/>
                <w:szCs w:val="24"/>
                <w:highlight w:val="none"/>
              </w:rPr>
            </w:pPr>
            <w:r>
              <w:rPr>
                <w:rFonts w:hint="eastAsia"/>
                <w:sz w:val="24"/>
                <w:szCs w:val="24"/>
                <w:highlight w:val="none"/>
              </w:rPr>
              <w:t>12、指纹识别模块：需通过公安部认证。指纹识别传感器类型：半导体电容式，传感器尺寸：23.0*35.0mm，有效图像尺寸：12.8 *18.0 mm，图像大小：256*360pixel，图像分辨率：508dpi，比对方式：1:1 /1：N，认假率（FAR）：&lt;0.0001% ，集成于一体机上面。</w:t>
            </w:r>
          </w:p>
          <w:p w14:paraId="6469F462">
            <w:pPr>
              <w:bidi w:val="0"/>
              <w:rPr>
                <w:rFonts w:hint="eastAsia"/>
                <w:sz w:val="24"/>
                <w:szCs w:val="24"/>
                <w:highlight w:val="none"/>
              </w:rPr>
            </w:pPr>
            <w:r>
              <w:rPr>
                <w:rFonts w:hint="eastAsia"/>
                <w:sz w:val="24"/>
                <w:szCs w:val="24"/>
                <w:highlight w:val="none"/>
              </w:rPr>
              <w:t>13、接口：USB2.0扩展口≥2，HDMI ≥ 1 个；OTG≥1；以太网接口 1 个，10-1000M 自适应以太网；</w:t>
            </w:r>
          </w:p>
          <w:p w14:paraId="7D33B7AF">
            <w:pPr>
              <w:bidi w:val="0"/>
              <w:rPr>
                <w:rFonts w:hint="eastAsia"/>
                <w:sz w:val="24"/>
                <w:szCs w:val="24"/>
                <w:highlight w:val="none"/>
              </w:rPr>
            </w:pPr>
            <w:r>
              <w:rPr>
                <w:rFonts w:hint="eastAsia"/>
                <w:sz w:val="24"/>
                <w:szCs w:val="24"/>
                <w:highlight w:val="none"/>
              </w:rPr>
              <w:t>14、电源：9V/2.5A 外置电源。</w:t>
            </w:r>
          </w:p>
          <w:p w14:paraId="1EC6E52D">
            <w:pPr>
              <w:bidi w:val="0"/>
              <w:rPr>
                <w:rFonts w:hint="eastAsia"/>
                <w:sz w:val="24"/>
                <w:szCs w:val="24"/>
                <w:highlight w:val="none"/>
              </w:rPr>
            </w:pPr>
            <w:r>
              <w:rPr>
                <w:rFonts w:hint="eastAsia"/>
                <w:sz w:val="24"/>
                <w:szCs w:val="24"/>
                <w:highlight w:val="none"/>
              </w:rPr>
              <w:t>15、支持扬声器、麦克风、蓝牙、WIFI及网口;</w:t>
            </w:r>
          </w:p>
          <w:p w14:paraId="3F9CBA70">
            <w:pPr>
              <w:bidi w:val="0"/>
              <w:rPr>
                <w:rFonts w:hint="eastAsia"/>
                <w:sz w:val="24"/>
                <w:szCs w:val="24"/>
                <w:highlight w:val="none"/>
              </w:rPr>
            </w:pPr>
            <w:r>
              <w:rPr>
                <w:rFonts w:hint="eastAsia"/>
                <w:sz w:val="24"/>
                <w:szCs w:val="24"/>
                <w:highlight w:val="none"/>
              </w:rPr>
              <w:t xml:space="preserve">16、开关方式 ：船型开关; </w:t>
            </w:r>
          </w:p>
          <w:p w14:paraId="55224696">
            <w:pPr>
              <w:bidi w:val="0"/>
              <w:rPr>
                <w:rFonts w:hint="eastAsia"/>
                <w:sz w:val="24"/>
                <w:szCs w:val="24"/>
                <w:highlight w:val="none"/>
              </w:rPr>
            </w:pPr>
            <w:r>
              <w:rPr>
                <w:rFonts w:hint="eastAsia"/>
                <w:sz w:val="24"/>
                <w:szCs w:val="24"/>
                <w:highlight w:val="none"/>
              </w:rPr>
              <w:t>★17、提供中国国家强制性产品认证证书（3C）,（需提证书复印件并盖章）。</w:t>
            </w:r>
          </w:p>
        </w:tc>
        <w:tc>
          <w:tcPr>
            <w:tcW w:w="765" w:type="dxa"/>
            <w:noWrap w:val="0"/>
            <w:vAlign w:val="center"/>
          </w:tcPr>
          <w:p w14:paraId="2357EECB">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5594EDA4">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6DE2D2E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73A7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3A06F465">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820" w:type="dxa"/>
            <w:noWrap w:val="0"/>
            <w:vAlign w:val="center"/>
          </w:tcPr>
          <w:p w14:paraId="50F8A73E">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自助矫正终端（移动式矫正终端）</w:t>
            </w:r>
          </w:p>
        </w:tc>
        <w:tc>
          <w:tcPr>
            <w:tcW w:w="6063" w:type="dxa"/>
            <w:noWrap w:val="0"/>
            <w:vAlign w:val="center"/>
          </w:tcPr>
          <w:p w14:paraId="1C9F67C0">
            <w:pPr>
              <w:bidi w:val="0"/>
              <w:rPr>
                <w:rFonts w:hint="eastAsia"/>
                <w:sz w:val="24"/>
                <w:szCs w:val="24"/>
                <w:highlight w:val="none"/>
              </w:rPr>
            </w:pPr>
            <w:r>
              <w:rPr>
                <w:rFonts w:hint="eastAsia"/>
                <w:sz w:val="24"/>
                <w:szCs w:val="24"/>
                <w:highlight w:val="none"/>
              </w:rPr>
              <w:t>1、核心系统：国产CPU，处理器核心数量≥4核，主频≥1.8G，内存≥2G，存储≥16G，采用Android系统，系统版本不低于7.1。</w:t>
            </w:r>
          </w:p>
          <w:p w14:paraId="4AEAE8B5">
            <w:pPr>
              <w:bidi w:val="0"/>
              <w:rPr>
                <w:rFonts w:hint="eastAsia"/>
                <w:sz w:val="24"/>
                <w:szCs w:val="24"/>
                <w:highlight w:val="none"/>
              </w:rPr>
            </w:pPr>
            <w:r>
              <w:rPr>
                <w:rFonts w:hint="eastAsia"/>
                <w:sz w:val="24"/>
                <w:szCs w:val="24"/>
                <w:highlight w:val="none"/>
              </w:rPr>
              <w:t>2、安全性：内置国密加密芯片；</w:t>
            </w:r>
          </w:p>
          <w:p w14:paraId="4907464E">
            <w:pPr>
              <w:bidi w:val="0"/>
              <w:rPr>
                <w:rFonts w:hint="eastAsia"/>
                <w:sz w:val="24"/>
                <w:szCs w:val="24"/>
                <w:highlight w:val="none"/>
              </w:rPr>
            </w:pPr>
            <w:r>
              <w:rPr>
                <w:rFonts w:hint="eastAsia"/>
                <w:sz w:val="24"/>
                <w:szCs w:val="24"/>
                <w:highlight w:val="none"/>
              </w:rPr>
              <w:t>3、显示屏：支持电磁电容双控屏并采用无源电磁笔，屏幕≥10.1寸，分辨率≥1280x800，电子签名感应方式，电子签名压感≥2048，亮度&gt;=250cd/m²，对比度&gt;=800:1。</w:t>
            </w:r>
          </w:p>
          <w:p w14:paraId="1BD37028">
            <w:pPr>
              <w:bidi w:val="0"/>
              <w:rPr>
                <w:rFonts w:hint="eastAsia"/>
                <w:sz w:val="24"/>
                <w:szCs w:val="24"/>
                <w:highlight w:val="none"/>
              </w:rPr>
            </w:pPr>
            <w:r>
              <w:rPr>
                <w:rFonts w:hint="eastAsia"/>
                <w:sz w:val="24"/>
                <w:szCs w:val="24"/>
                <w:highlight w:val="none"/>
              </w:rPr>
              <w:t>4、支持多种手写签名方式： 一名一签、一名多签、多名多签、随意位置签名捺印、指定位置签名捺印等。同时支持签名过程实时回显；支持文档预览，文档查看可提供“大”，“中”，“标准”三种大小档位；支持手指滑动查看文档。</w:t>
            </w:r>
          </w:p>
          <w:p w14:paraId="2370BDB7">
            <w:pPr>
              <w:bidi w:val="0"/>
              <w:rPr>
                <w:rFonts w:hint="eastAsia"/>
                <w:sz w:val="24"/>
                <w:szCs w:val="24"/>
                <w:highlight w:val="none"/>
              </w:rPr>
            </w:pPr>
            <w:r>
              <w:rPr>
                <w:rFonts w:hint="eastAsia"/>
                <w:sz w:val="24"/>
                <w:szCs w:val="24"/>
                <w:highlight w:val="none"/>
              </w:rPr>
              <w:t>★5、双目活体检测：像素：300万（WDR），130万（B/W），分辨率：2048*1536（WDR），1280*960（B/W），最大帧率：20fps（2048*1536 WDR）,30fps（1280*960 B/W），支持活体检测，支持人脸比对，品牌厂商具有相关活体检测及人证比对系统软件著作权，（需提供著作权证书复印件并盖章）。</w:t>
            </w:r>
          </w:p>
          <w:p w14:paraId="7E9226C4">
            <w:pPr>
              <w:bidi w:val="0"/>
              <w:rPr>
                <w:rFonts w:hint="eastAsia"/>
                <w:sz w:val="24"/>
                <w:szCs w:val="24"/>
                <w:highlight w:val="none"/>
              </w:rPr>
            </w:pPr>
            <w:r>
              <w:rPr>
                <w:rFonts w:hint="eastAsia"/>
                <w:sz w:val="24"/>
                <w:szCs w:val="24"/>
                <w:highlight w:val="none"/>
              </w:rPr>
              <w:t>6、二代证阅读器：符合GA450-2013台式居民身份证阅读器通用技术要求，阅读距离：0-30mm，读卡响应速度：&lt;1s。</w:t>
            </w:r>
          </w:p>
          <w:p w14:paraId="53093AEF">
            <w:pPr>
              <w:bidi w:val="0"/>
              <w:rPr>
                <w:rFonts w:hint="eastAsia"/>
                <w:sz w:val="24"/>
                <w:szCs w:val="24"/>
                <w:highlight w:val="none"/>
              </w:rPr>
            </w:pPr>
            <w:r>
              <w:rPr>
                <w:rFonts w:hint="eastAsia"/>
                <w:sz w:val="24"/>
                <w:szCs w:val="24"/>
                <w:highlight w:val="none"/>
              </w:rPr>
              <w:t>7、指纹识别模块：需通过公安部认证。指纹识别传感器类型：半导体电容式，传感器尺寸：23.0*35.0mm，有效图像尺寸：12.8 *18.0 mm，图像大小：256*360pixel，图像分辨率：508dpi，比对方式：1:1 /1：N，认假率（FAR）：&lt;0.0001% ，集成于一体机上面。</w:t>
            </w:r>
          </w:p>
          <w:p w14:paraId="14006C9E">
            <w:pPr>
              <w:bidi w:val="0"/>
              <w:rPr>
                <w:rFonts w:hint="eastAsia"/>
                <w:sz w:val="24"/>
                <w:szCs w:val="24"/>
                <w:highlight w:val="none"/>
              </w:rPr>
            </w:pPr>
            <w:r>
              <w:rPr>
                <w:rFonts w:hint="eastAsia"/>
                <w:sz w:val="24"/>
                <w:szCs w:val="24"/>
                <w:highlight w:val="none"/>
              </w:rPr>
              <w:t>8、内置电池，电池容量≥7.4V@6000mAh，工作时长≥8H；</w:t>
            </w:r>
          </w:p>
          <w:p w14:paraId="6DE2983F">
            <w:pPr>
              <w:bidi w:val="0"/>
              <w:rPr>
                <w:rFonts w:hint="eastAsia"/>
                <w:sz w:val="24"/>
                <w:szCs w:val="24"/>
                <w:highlight w:val="none"/>
              </w:rPr>
            </w:pPr>
            <w:r>
              <w:rPr>
                <w:rFonts w:hint="eastAsia"/>
                <w:sz w:val="24"/>
                <w:szCs w:val="24"/>
                <w:highlight w:val="none"/>
              </w:rPr>
              <w:t xml:space="preserve">9、接口：USB2.0扩展口≥1，支持HID免驱连接； </w:t>
            </w:r>
          </w:p>
          <w:p w14:paraId="544AFB5B">
            <w:pPr>
              <w:bidi w:val="0"/>
              <w:rPr>
                <w:rFonts w:hint="eastAsia"/>
                <w:sz w:val="24"/>
                <w:szCs w:val="24"/>
                <w:highlight w:val="none"/>
              </w:rPr>
            </w:pPr>
            <w:r>
              <w:rPr>
                <w:rFonts w:hint="eastAsia"/>
                <w:sz w:val="24"/>
                <w:szCs w:val="24"/>
                <w:highlight w:val="none"/>
              </w:rPr>
              <w:t>10、支持扬声器、麦克风、蓝牙、WIFI、4G全网通；</w:t>
            </w:r>
          </w:p>
          <w:p w14:paraId="659C6DF6">
            <w:pPr>
              <w:bidi w:val="0"/>
              <w:rPr>
                <w:rFonts w:hint="eastAsia"/>
                <w:sz w:val="24"/>
                <w:szCs w:val="24"/>
                <w:highlight w:val="none"/>
              </w:rPr>
            </w:pPr>
            <w:r>
              <w:rPr>
                <w:rFonts w:hint="eastAsia"/>
                <w:sz w:val="24"/>
                <w:szCs w:val="24"/>
                <w:highlight w:val="none"/>
              </w:rPr>
              <w:t>★11、提供中国国家强制性产品认证证书（3C）（需提证书复印件并盖章）。</w:t>
            </w:r>
          </w:p>
          <w:p w14:paraId="7A8072CB">
            <w:pPr>
              <w:bidi w:val="0"/>
              <w:rPr>
                <w:rFonts w:hint="eastAsia"/>
                <w:sz w:val="24"/>
                <w:szCs w:val="24"/>
                <w:highlight w:val="none"/>
              </w:rPr>
            </w:pPr>
            <w:r>
              <w:rPr>
                <w:rFonts w:hint="eastAsia"/>
                <w:sz w:val="24"/>
                <w:szCs w:val="24"/>
                <w:highlight w:val="none"/>
              </w:rPr>
              <w:t>12、技术支持与对接。</w:t>
            </w:r>
          </w:p>
        </w:tc>
        <w:tc>
          <w:tcPr>
            <w:tcW w:w="765" w:type="dxa"/>
            <w:noWrap w:val="0"/>
            <w:vAlign w:val="center"/>
          </w:tcPr>
          <w:p w14:paraId="289373B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台</w:t>
            </w:r>
          </w:p>
        </w:tc>
        <w:tc>
          <w:tcPr>
            <w:tcW w:w="747" w:type="dxa"/>
            <w:noWrap w:val="0"/>
            <w:vAlign w:val="center"/>
          </w:tcPr>
          <w:p w14:paraId="552C15A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269FBF5C">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02A6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65" w:type="dxa"/>
            <w:gridSpan w:val="6"/>
            <w:noWrap w:val="0"/>
            <w:vAlign w:val="center"/>
          </w:tcPr>
          <w:p w14:paraId="02A53514">
            <w:pPr>
              <w:spacing w:before="156"/>
              <w:ind w:firstLine="14" w:firstLineChars="6"/>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二、宣告室设备系统</w:t>
            </w:r>
          </w:p>
        </w:tc>
      </w:tr>
      <w:tr w14:paraId="1FE8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80D9FB8">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4796D6D2">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4C682EBD">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28115B3D">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5C13A715">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0459DCF8">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6A3A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22738C5D">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2.1</w:t>
            </w:r>
          </w:p>
        </w:tc>
        <w:tc>
          <w:tcPr>
            <w:tcW w:w="820" w:type="dxa"/>
            <w:noWrap w:val="0"/>
            <w:vAlign w:val="center"/>
          </w:tcPr>
          <w:p w14:paraId="54601BC6">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663FB944">
            <w:pPr>
              <w:bidi w:val="0"/>
              <w:rPr>
                <w:rFonts w:hint="eastAsia"/>
                <w:sz w:val="24"/>
                <w:szCs w:val="24"/>
                <w:highlight w:val="none"/>
              </w:rPr>
            </w:pPr>
            <w:r>
              <w:rPr>
                <w:rFonts w:hint="eastAsia"/>
                <w:sz w:val="24"/>
                <w:szCs w:val="24"/>
                <w:highlight w:val="none"/>
              </w:rPr>
              <w:t>要求采用200万像素及以上设备</w:t>
            </w:r>
          </w:p>
          <w:p w14:paraId="1A9DEF65">
            <w:pPr>
              <w:bidi w:val="0"/>
              <w:rPr>
                <w:rFonts w:hint="eastAsia"/>
                <w:sz w:val="24"/>
                <w:szCs w:val="24"/>
                <w:highlight w:val="none"/>
              </w:rPr>
            </w:pPr>
            <w:r>
              <w:rPr>
                <w:rFonts w:hint="eastAsia"/>
                <w:sz w:val="24"/>
                <w:szCs w:val="24"/>
                <w:highlight w:val="none"/>
              </w:rPr>
              <w:t>支持国标GB/T28181</w:t>
            </w:r>
          </w:p>
          <w:p w14:paraId="70EF23FE">
            <w:pPr>
              <w:bidi w:val="0"/>
              <w:rPr>
                <w:rFonts w:hint="eastAsia"/>
                <w:sz w:val="24"/>
                <w:szCs w:val="24"/>
                <w:highlight w:val="none"/>
              </w:rPr>
            </w:pPr>
            <w:r>
              <w:rPr>
                <w:rFonts w:hint="eastAsia"/>
                <w:sz w:val="24"/>
                <w:szCs w:val="24"/>
                <w:highlight w:val="none"/>
              </w:rPr>
              <w:t>支持1920×1080@25fps高清画面输出</w:t>
            </w:r>
          </w:p>
          <w:p w14:paraId="6792A9B7">
            <w:pPr>
              <w:bidi w:val="0"/>
              <w:rPr>
                <w:rFonts w:hint="eastAsia"/>
                <w:sz w:val="24"/>
                <w:szCs w:val="24"/>
                <w:highlight w:val="none"/>
              </w:rPr>
            </w:pPr>
            <w:r>
              <w:rPr>
                <w:rFonts w:hint="eastAsia"/>
                <w:sz w:val="24"/>
                <w:szCs w:val="24"/>
                <w:highlight w:val="none"/>
              </w:rPr>
              <w:t>支持H.265高效压缩算法，可较大节省存储空间</w:t>
            </w:r>
          </w:p>
          <w:p w14:paraId="205810E0">
            <w:pPr>
              <w:bidi w:val="0"/>
              <w:rPr>
                <w:rFonts w:hint="eastAsia"/>
                <w:sz w:val="24"/>
                <w:szCs w:val="24"/>
                <w:highlight w:val="none"/>
              </w:rPr>
            </w:pPr>
            <w:r>
              <w:rPr>
                <w:rFonts w:hint="eastAsia"/>
                <w:sz w:val="24"/>
                <w:szCs w:val="24"/>
                <w:highlight w:val="none"/>
              </w:rPr>
              <w:t>支持红外补光距离不小于40米</w:t>
            </w:r>
          </w:p>
          <w:p w14:paraId="23FB18C4">
            <w:pPr>
              <w:bidi w:val="0"/>
              <w:rPr>
                <w:rFonts w:hint="eastAsia"/>
                <w:sz w:val="24"/>
                <w:szCs w:val="24"/>
                <w:highlight w:val="none"/>
              </w:rPr>
            </w:pPr>
            <w:r>
              <w:rPr>
                <w:rFonts w:hint="eastAsia"/>
                <w:sz w:val="24"/>
                <w:szCs w:val="24"/>
                <w:highlight w:val="none"/>
              </w:rPr>
              <w:t>支持区域入侵侦测、越界侦测、移动侦测等智能侦测功能</w:t>
            </w:r>
          </w:p>
          <w:p w14:paraId="1AEF9F8E">
            <w:pPr>
              <w:bidi w:val="0"/>
              <w:rPr>
                <w:rFonts w:hint="eastAsia"/>
                <w:sz w:val="24"/>
                <w:szCs w:val="24"/>
                <w:highlight w:val="none"/>
              </w:rPr>
            </w:pPr>
            <w:r>
              <w:rPr>
                <w:rFonts w:hint="eastAsia"/>
                <w:sz w:val="24"/>
                <w:szCs w:val="24"/>
                <w:highlight w:val="none"/>
              </w:rPr>
              <w:t>支持宽动态，适合逆光环境监控</w:t>
            </w:r>
          </w:p>
          <w:p w14:paraId="15881F85">
            <w:pPr>
              <w:bidi w:val="0"/>
              <w:rPr>
                <w:rFonts w:hint="eastAsia"/>
                <w:sz w:val="24"/>
                <w:szCs w:val="24"/>
                <w:highlight w:val="none"/>
              </w:rPr>
            </w:pPr>
            <w:r>
              <w:rPr>
                <w:rFonts w:hint="eastAsia"/>
                <w:sz w:val="24"/>
                <w:szCs w:val="24"/>
                <w:highlight w:val="none"/>
              </w:rPr>
              <w:t>支持 POE+（802.3at）供电</w:t>
            </w:r>
          </w:p>
          <w:p w14:paraId="2352E95B">
            <w:pPr>
              <w:bidi w:val="0"/>
              <w:rPr>
                <w:rFonts w:hint="eastAsia"/>
                <w:sz w:val="24"/>
                <w:szCs w:val="24"/>
                <w:highlight w:val="none"/>
              </w:rPr>
            </w:pPr>
            <w:r>
              <w:rPr>
                <w:rFonts w:hint="eastAsia"/>
                <w:sz w:val="24"/>
                <w:szCs w:val="24"/>
                <w:highlight w:val="none"/>
              </w:rPr>
              <w:t>内置麦克风和扬声器</w:t>
            </w:r>
          </w:p>
          <w:p w14:paraId="6CB5F9F1">
            <w:pPr>
              <w:bidi w:val="0"/>
              <w:rPr>
                <w:rFonts w:hint="eastAsia"/>
                <w:sz w:val="24"/>
                <w:szCs w:val="24"/>
                <w:highlight w:val="none"/>
              </w:rPr>
            </w:pPr>
            <w:r>
              <w:rPr>
                <w:rFonts w:hint="eastAsia"/>
                <w:sz w:val="24"/>
                <w:szCs w:val="24"/>
                <w:highlight w:val="none"/>
              </w:rPr>
              <w:t>支持1路音频输入、1路音频输出</w:t>
            </w:r>
          </w:p>
          <w:p w14:paraId="4552983B">
            <w:pPr>
              <w:bidi w:val="0"/>
              <w:rPr>
                <w:rFonts w:hint="eastAsia"/>
                <w:sz w:val="24"/>
                <w:szCs w:val="24"/>
                <w:highlight w:val="none"/>
              </w:rPr>
            </w:pPr>
            <w:r>
              <w:rPr>
                <w:rFonts w:hint="eastAsia"/>
                <w:sz w:val="24"/>
                <w:szCs w:val="24"/>
                <w:highlight w:val="none"/>
              </w:rPr>
              <w:t>支持IK10防暴等级</w:t>
            </w:r>
          </w:p>
          <w:p w14:paraId="1B7D95EF">
            <w:pPr>
              <w:bidi w:val="0"/>
              <w:rPr>
                <w:rFonts w:hint="eastAsia"/>
                <w:sz w:val="24"/>
                <w:szCs w:val="24"/>
                <w:highlight w:val="none"/>
              </w:rPr>
            </w:pPr>
            <w:r>
              <w:rPr>
                <w:rFonts w:hint="eastAsia"/>
                <w:sz w:val="24"/>
                <w:szCs w:val="24"/>
                <w:highlight w:val="none"/>
              </w:rPr>
              <w:t>防雷、防浪涌、防突波，IP66防护等级</w:t>
            </w:r>
          </w:p>
          <w:p w14:paraId="68270252">
            <w:pPr>
              <w:bidi w:val="0"/>
              <w:rPr>
                <w:rFonts w:hint="eastAsia"/>
                <w:sz w:val="24"/>
                <w:szCs w:val="24"/>
                <w:highlight w:val="none"/>
              </w:rPr>
            </w:pPr>
            <w:r>
              <w:rPr>
                <w:rFonts w:hint="eastAsia"/>
                <w:sz w:val="24"/>
                <w:szCs w:val="24"/>
                <w:highlight w:val="none"/>
              </w:rPr>
              <w:t>包含：安装支架。</w:t>
            </w:r>
          </w:p>
          <w:p w14:paraId="65136A47">
            <w:pPr>
              <w:bidi w:val="0"/>
              <w:rPr>
                <w:rFonts w:hint="eastAsia"/>
                <w:sz w:val="24"/>
                <w:szCs w:val="24"/>
                <w:highlight w:val="none"/>
              </w:rPr>
            </w:pPr>
            <w:r>
              <w:rPr>
                <w:rFonts w:hint="eastAsia"/>
                <w:sz w:val="24"/>
                <w:szCs w:val="24"/>
                <w:highlight w:val="none"/>
              </w:rPr>
              <w:t>实现对矫正对象、宣告过程的监控和录像。</w:t>
            </w:r>
          </w:p>
        </w:tc>
        <w:tc>
          <w:tcPr>
            <w:tcW w:w="765" w:type="dxa"/>
            <w:noWrap w:val="0"/>
            <w:vAlign w:val="center"/>
          </w:tcPr>
          <w:p w14:paraId="28644043">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641DFBA1">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13CA9541">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2C4D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E1BB9D8">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w:t>
            </w:r>
          </w:p>
        </w:tc>
        <w:tc>
          <w:tcPr>
            <w:tcW w:w="820" w:type="dxa"/>
            <w:noWrap w:val="0"/>
            <w:vAlign w:val="center"/>
          </w:tcPr>
          <w:p w14:paraId="2631D96E">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报警按钮</w:t>
            </w:r>
          </w:p>
        </w:tc>
        <w:tc>
          <w:tcPr>
            <w:tcW w:w="6063" w:type="dxa"/>
            <w:noWrap w:val="0"/>
            <w:vAlign w:val="center"/>
          </w:tcPr>
          <w:p w14:paraId="18E0C038">
            <w:pPr>
              <w:bidi w:val="0"/>
              <w:rPr>
                <w:rFonts w:hint="eastAsia"/>
                <w:sz w:val="24"/>
                <w:szCs w:val="24"/>
                <w:highlight w:val="none"/>
              </w:rPr>
            </w:pPr>
            <w:r>
              <w:rPr>
                <w:rFonts w:hint="eastAsia"/>
                <w:sz w:val="24"/>
                <w:szCs w:val="24"/>
                <w:highlight w:val="none"/>
              </w:rPr>
              <w:t>紧急按钮，采用ABS材质，性能稳定，经久耐用，操作安装简单，实用性强。</w:t>
            </w:r>
          </w:p>
          <w:p w14:paraId="6A2934BC">
            <w:pPr>
              <w:bidi w:val="0"/>
              <w:rPr>
                <w:rFonts w:hint="eastAsia"/>
                <w:sz w:val="24"/>
                <w:szCs w:val="24"/>
                <w:highlight w:val="none"/>
              </w:rPr>
            </w:pPr>
            <w:r>
              <w:rPr>
                <w:rFonts w:hint="eastAsia"/>
                <w:sz w:val="24"/>
                <w:szCs w:val="24"/>
                <w:highlight w:val="none"/>
              </w:rPr>
              <w:t>外壳材料：ABS</w:t>
            </w:r>
          </w:p>
          <w:p w14:paraId="62C5426B">
            <w:pPr>
              <w:bidi w:val="0"/>
              <w:rPr>
                <w:rFonts w:hint="eastAsia"/>
                <w:sz w:val="24"/>
                <w:szCs w:val="24"/>
                <w:highlight w:val="none"/>
              </w:rPr>
            </w:pPr>
            <w:r>
              <w:rPr>
                <w:rFonts w:hint="eastAsia"/>
                <w:sz w:val="24"/>
                <w:szCs w:val="24"/>
                <w:highlight w:val="none"/>
              </w:rPr>
              <w:t>工作电压（V/DC)：≤250</w:t>
            </w:r>
          </w:p>
          <w:p w14:paraId="0AFDCAA5">
            <w:pPr>
              <w:bidi w:val="0"/>
              <w:rPr>
                <w:rFonts w:hint="eastAsia"/>
                <w:sz w:val="24"/>
                <w:szCs w:val="24"/>
                <w:highlight w:val="none"/>
              </w:rPr>
            </w:pPr>
            <w:r>
              <w:rPr>
                <w:rFonts w:hint="eastAsia"/>
                <w:sz w:val="24"/>
                <w:szCs w:val="24"/>
                <w:highlight w:val="none"/>
              </w:rPr>
              <w:t>工作电流(mA)：≤300</w:t>
            </w:r>
          </w:p>
          <w:p w14:paraId="4376F67F">
            <w:pPr>
              <w:bidi w:val="0"/>
              <w:rPr>
                <w:rFonts w:hint="eastAsia"/>
                <w:sz w:val="24"/>
                <w:szCs w:val="24"/>
                <w:highlight w:val="none"/>
              </w:rPr>
            </w:pPr>
            <w:r>
              <w:rPr>
                <w:rFonts w:hint="eastAsia"/>
                <w:sz w:val="24"/>
                <w:szCs w:val="24"/>
                <w:highlight w:val="none"/>
              </w:rPr>
              <w:t>触点模式(NC\NO)：常开/常闭</w:t>
            </w:r>
          </w:p>
          <w:p w14:paraId="220323C4">
            <w:pPr>
              <w:bidi w:val="0"/>
              <w:rPr>
                <w:rFonts w:hint="eastAsia"/>
                <w:sz w:val="24"/>
                <w:szCs w:val="24"/>
                <w:highlight w:val="none"/>
              </w:rPr>
            </w:pPr>
            <w:r>
              <w:rPr>
                <w:rFonts w:hint="eastAsia"/>
                <w:sz w:val="24"/>
                <w:szCs w:val="24"/>
                <w:highlight w:val="none"/>
              </w:rPr>
              <w:t>用作突发情况上报监控指挥室</w:t>
            </w:r>
          </w:p>
        </w:tc>
        <w:tc>
          <w:tcPr>
            <w:tcW w:w="765" w:type="dxa"/>
            <w:noWrap w:val="0"/>
            <w:vAlign w:val="center"/>
          </w:tcPr>
          <w:p w14:paraId="5D301EA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38AD5CC6">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30077B02">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选配</w:t>
            </w:r>
          </w:p>
        </w:tc>
      </w:tr>
      <w:tr w14:paraId="3C14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7B0669E4">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2.3</w:t>
            </w:r>
          </w:p>
        </w:tc>
        <w:tc>
          <w:tcPr>
            <w:tcW w:w="820" w:type="dxa"/>
            <w:noWrap w:val="0"/>
            <w:vAlign w:val="center"/>
          </w:tcPr>
          <w:p w14:paraId="3123A8A5">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显示屏</w:t>
            </w:r>
          </w:p>
        </w:tc>
        <w:tc>
          <w:tcPr>
            <w:tcW w:w="6063" w:type="dxa"/>
            <w:noWrap w:val="0"/>
            <w:vAlign w:val="center"/>
          </w:tcPr>
          <w:p w14:paraId="45040913">
            <w:pPr>
              <w:bidi w:val="0"/>
              <w:rPr>
                <w:rFonts w:hint="eastAsia"/>
                <w:sz w:val="24"/>
                <w:szCs w:val="24"/>
                <w:highlight w:val="none"/>
              </w:rPr>
            </w:pPr>
            <w:r>
              <w:rPr>
                <w:rFonts w:hint="eastAsia"/>
                <w:sz w:val="24"/>
                <w:szCs w:val="24"/>
                <w:highlight w:val="none"/>
              </w:rPr>
              <w:t>液晶电视</w:t>
            </w:r>
          </w:p>
          <w:p w14:paraId="079D221B">
            <w:pPr>
              <w:bidi w:val="0"/>
              <w:rPr>
                <w:rFonts w:hint="eastAsia"/>
                <w:sz w:val="24"/>
                <w:szCs w:val="24"/>
                <w:highlight w:val="none"/>
              </w:rPr>
            </w:pPr>
            <w:r>
              <w:rPr>
                <w:rFonts w:hint="eastAsia"/>
                <w:sz w:val="24"/>
                <w:szCs w:val="24"/>
                <w:highlight w:val="none"/>
              </w:rPr>
              <w:t>屏幕尺寸：不小于43英寸</w:t>
            </w:r>
          </w:p>
          <w:p w14:paraId="7FAE10B1">
            <w:pPr>
              <w:bidi w:val="0"/>
              <w:rPr>
                <w:rFonts w:hint="eastAsia"/>
                <w:sz w:val="24"/>
                <w:szCs w:val="24"/>
                <w:highlight w:val="none"/>
              </w:rPr>
            </w:pPr>
            <w:r>
              <w:rPr>
                <w:rFonts w:hint="eastAsia"/>
                <w:sz w:val="24"/>
                <w:szCs w:val="24"/>
                <w:highlight w:val="none"/>
              </w:rPr>
              <w:t>显示：LED背光</w:t>
            </w:r>
          </w:p>
          <w:p w14:paraId="5F192A35">
            <w:pPr>
              <w:bidi w:val="0"/>
              <w:rPr>
                <w:rFonts w:hint="eastAsia"/>
                <w:sz w:val="24"/>
                <w:szCs w:val="24"/>
                <w:highlight w:val="none"/>
              </w:rPr>
            </w:pPr>
            <w:r>
              <w:rPr>
                <w:rFonts w:hint="eastAsia"/>
                <w:sz w:val="24"/>
                <w:szCs w:val="24"/>
                <w:highlight w:val="none"/>
              </w:rPr>
              <w:t>分辨率：不小于1920×1080</w:t>
            </w:r>
          </w:p>
          <w:p w14:paraId="6FDE5312">
            <w:pPr>
              <w:bidi w:val="0"/>
              <w:rPr>
                <w:rFonts w:hint="eastAsia"/>
                <w:sz w:val="24"/>
                <w:szCs w:val="24"/>
                <w:highlight w:val="none"/>
              </w:rPr>
            </w:pPr>
            <w:r>
              <w:rPr>
                <w:rFonts w:hint="eastAsia"/>
                <w:sz w:val="24"/>
                <w:szCs w:val="24"/>
                <w:highlight w:val="none"/>
              </w:rPr>
              <w:t>对比度：不小于800:1</w:t>
            </w:r>
          </w:p>
          <w:p w14:paraId="184F4FAE">
            <w:pPr>
              <w:bidi w:val="0"/>
              <w:rPr>
                <w:rFonts w:hint="eastAsia"/>
                <w:sz w:val="24"/>
                <w:szCs w:val="24"/>
                <w:highlight w:val="none"/>
              </w:rPr>
            </w:pPr>
            <w:r>
              <w:rPr>
                <w:rFonts w:hint="eastAsia"/>
                <w:sz w:val="24"/>
                <w:szCs w:val="24"/>
                <w:highlight w:val="none"/>
              </w:rPr>
              <w:t xml:space="preserve">屏幕亮度：不小于200cd/㎡ </w:t>
            </w:r>
          </w:p>
          <w:p w14:paraId="2A3923D6">
            <w:pPr>
              <w:bidi w:val="0"/>
              <w:rPr>
                <w:rFonts w:hint="eastAsia"/>
                <w:sz w:val="24"/>
                <w:szCs w:val="24"/>
                <w:highlight w:val="none"/>
              </w:rPr>
            </w:pPr>
            <w:r>
              <w:rPr>
                <w:rFonts w:hint="eastAsia"/>
                <w:sz w:val="24"/>
                <w:szCs w:val="24"/>
                <w:highlight w:val="none"/>
              </w:rPr>
              <w:t xml:space="preserve">HDMI接口：2*HDMI1.4 </w:t>
            </w:r>
          </w:p>
          <w:p w14:paraId="34227D99">
            <w:pPr>
              <w:bidi w:val="0"/>
              <w:rPr>
                <w:rFonts w:hint="eastAsia"/>
                <w:sz w:val="24"/>
                <w:szCs w:val="24"/>
                <w:highlight w:val="none"/>
              </w:rPr>
            </w:pPr>
            <w:r>
              <w:rPr>
                <w:rFonts w:hint="eastAsia"/>
                <w:sz w:val="24"/>
                <w:szCs w:val="24"/>
                <w:highlight w:val="none"/>
              </w:rPr>
              <w:t>其他接口：1×AV输入、1×VGA接口</w:t>
            </w:r>
          </w:p>
          <w:p w14:paraId="23CED13F">
            <w:pPr>
              <w:bidi w:val="0"/>
              <w:rPr>
                <w:rFonts w:hint="eastAsia"/>
                <w:sz w:val="24"/>
                <w:szCs w:val="24"/>
                <w:highlight w:val="none"/>
              </w:rPr>
            </w:pPr>
            <w:r>
              <w:rPr>
                <w:rFonts w:hint="eastAsia"/>
                <w:sz w:val="24"/>
                <w:szCs w:val="24"/>
                <w:highlight w:val="none"/>
              </w:rPr>
              <w:t>功耗≤115W</w:t>
            </w:r>
          </w:p>
          <w:p w14:paraId="69861E17">
            <w:pPr>
              <w:bidi w:val="0"/>
              <w:rPr>
                <w:rFonts w:hint="eastAsia"/>
                <w:sz w:val="24"/>
                <w:szCs w:val="24"/>
                <w:highlight w:val="none"/>
              </w:rPr>
            </w:pPr>
            <w:r>
              <w:rPr>
                <w:rFonts w:hint="eastAsia"/>
                <w:sz w:val="24"/>
                <w:szCs w:val="24"/>
                <w:highlight w:val="none"/>
              </w:rPr>
              <w:t>安装方式：内置底座，可壁挂。配备壁挂支架</w:t>
            </w:r>
          </w:p>
          <w:p w14:paraId="70C82B94">
            <w:pPr>
              <w:bidi w:val="0"/>
              <w:rPr>
                <w:rFonts w:hint="eastAsia"/>
                <w:sz w:val="24"/>
                <w:szCs w:val="24"/>
                <w:highlight w:val="none"/>
              </w:rPr>
            </w:pPr>
            <w:r>
              <w:rPr>
                <w:rFonts w:hint="eastAsia"/>
                <w:sz w:val="24"/>
                <w:szCs w:val="24"/>
                <w:highlight w:val="none"/>
              </w:rPr>
              <w:t>用于展示本所的矫情动态</w:t>
            </w:r>
          </w:p>
        </w:tc>
        <w:tc>
          <w:tcPr>
            <w:tcW w:w="765" w:type="dxa"/>
            <w:noWrap w:val="0"/>
            <w:vAlign w:val="center"/>
          </w:tcPr>
          <w:p w14:paraId="1D446532">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67F45060">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16F17C33">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4006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65" w:type="dxa"/>
            <w:gridSpan w:val="6"/>
            <w:noWrap w:val="0"/>
            <w:vAlign w:val="center"/>
          </w:tcPr>
          <w:p w14:paraId="599EE100">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三、谈话训诫室设备系统</w:t>
            </w:r>
          </w:p>
        </w:tc>
      </w:tr>
      <w:tr w14:paraId="6B5A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48C74FF5">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44DD2D28">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6CDFD9C3">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5E68C796">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09DA6B7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1A00D8D8">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31B4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08A70B85">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3.1</w:t>
            </w:r>
          </w:p>
        </w:tc>
        <w:tc>
          <w:tcPr>
            <w:tcW w:w="820" w:type="dxa"/>
            <w:noWrap w:val="0"/>
            <w:vAlign w:val="center"/>
          </w:tcPr>
          <w:p w14:paraId="79DDC804">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2B93F115">
            <w:pPr>
              <w:bidi w:val="0"/>
              <w:rPr>
                <w:rFonts w:hint="eastAsia"/>
                <w:sz w:val="24"/>
                <w:szCs w:val="24"/>
                <w:highlight w:val="none"/>
              </w:rPr>
            </w:pPr>
            <w:r>
              <w:rPr>
                <w:rFonts w:hint="eastAsia"/>
                <w:sz w:val="24"/>
                <w:szCs w:val="24"/>
                <w:highlight w:val="none"/>
              </w:rPr>
              <w:t>要求采用200万像素及以上设备</w:t>
            </w:r>
          </w:p>
          <w:p w14:paraId="39FF1FB3">
            <w:pPr>
              <w:bidi w:val="0"/>
              <w:rPr>
                <w:rFonts w:hint="eastAsia"/>
                <w:sz w:val="24"/>
                <w:szCs w:val="24"/>
                <w:highlight w:val="none"/>
              </w:rPr>
            </w:pPr>
            <w:r>
              <w:rPr>
                <w:rFonts w:hint="eastAsia"/>
                <w:sz w:val="24"/>
                <w:szCs w:val="24"/>
                <w:highlight w:val="none"/>
              </w:rPr>
              <w:t>支持国标GB/T28181</w:t>
            </w:r>
          </w:p>
          <w:p w14:paraId="09102C84">
            <w:pPr>
              <w:bidi w:val="0"/>
              <w:rPr>
                <w:rFonts w:hint="eastAsia"/>
                <w:sz w:val="24"/>
                <w:szCs w:val="24"/>
                <w:highlight w:val="none"/>
              </w:rPr>
            </w:pPr>
            <w:r>
              <w:rPr>
                <w:rFonts w:hint="eastAsia"/>
                <w:sz w:val="24"/>
                <w:szCs w:val="24"/>
                <w:highlight w:val="none"/>
              </w:rPr>
              <w:t>支持1920×1080@25fps高清画面输出</w:t>
            </w:r>
          </w:p>
          <w:p w14:paraId="443AACC0">
            <w:pPr>
              <w:bidi w:val="0"/>
              <w:rPr>
                <w:rFonts w:hint="eastAsia"/>
                <w:sz w:val="24"/>
                <w:szCs w:val="24"/>
                <w:highlight w:val="none"/>
              </w:rPr>
            </w:pPr>
            <w:r>
              <w:rPr>
                <w:rFonts w:hint="eastAsia"/>
                <w:sz w:val="24"/>
                <w:szCs w:val="24"/>
                <w:highlight w:val="none"/>
              </w:rPr>
              <w:t>支持H.265高效压缩算法，可较大节省存储空间</w:t>
            </w:r>
          </w:p>
          <w:p w14:paraId="3D146CF8">
            <w:pPr>
              <w:bidi w:val="0"/>
              <w:rPr>
                <w:rFonts w:hint="eastAsia"/>
                <w:sz w:val="24"/>
                <w:szCs w:val="24"/>
                <w:highlight w:val="none"/>
              </w:rPr>
            </w:pPr>
            <w:r>
              <w:rPr>
                <w:rFonts w:hint="eastAsia"/>
                <w:sz w:val="24"/>
                <w:szCs w:val="24"/>
                <w:highlight w:val="none"/>
              </w:rPr>
              <w:t>支持红外补光距离不小于40米</w:t>
            </w:r>
          </w:p>
          <w:p w14:paraId="3A4FBD92">
            <w:pPr>
              <w:bidi w:val="0"/>
              <w:rPr>
                <w:rFonts w:hint="eastAsia"/>
                <w:sz w:val="24"/>
                <w:szCs w:val="24"/>
                <w:highlight w:val="none"/>
              </w:rPr>
            </w:pPr>
            <w:r>
              <w:rPr>
                <w:rFonts w:hint="eastAsia"/>
                <w:sz w:val="24"/>
                <w:szCs w:val="24"/>
                <w:highlight w:val="none"/>
              </w:rPr>
              <w:t>支持区域入侵侦测、越界侦测、移动侦测等智能侦测功能</w:t>
            </w:r>
          </w:p>
          <w:p w14:paraId="1CC8F8A5">
            <w:pPr>
              <w:bidi w:val="0"/>
              <w:rPr>
                <w:rFonts w:hint="eastAsia"/>
                <w:sz w:val="24"/>
                <w:szCs w:val="24"/>
                <w:highlight w:val="none"/>
              </w:rPr>
            </w:pPr>
            <w:r>
              <w:rPr>
                <w:rFonts w:hint="eastAsia"/>
                <w:sz w:val="24"/>
                <w:szCs w:val="24"/>
                <w:highlight w:val="none"/>
              </w:rPr>
              <w:t>支持宽动态，适合逆光环境监控</w:t>
            </w:r>
          </w:p>
          <w:p w14:paraId="6C082EB1">
            <w:pPr>
              <w:bidi w:val="0"/>
              <w:rPr>
                <w:rFonts w:hint="eastAsia"/>
                <w:sz w:val="24"/>
                <w:szCs w:val="24"/>
                <w:highlight w:val="none"/>
              </w:rPr>
            </w:pPr>
            <w:r>
              <w:rPr>
                <w:rFonts w:hint="eastAsia"/>
                <w:sz w:val="24"/>
                <w:szCs w:val="24"/>
                <w:highlight w:val="none"/>
              </w:rPr>
              <w:t>支持 POE+（802.3at）供电</w:t>
            </w:r>
          </w:p>
          <w:p w14:paraId="5887C1CD">
            <w:pPr>
              <w:bidi w:val="0"/>
              <w:rPr>
                <w:rFonts w:hint="eastAsia"/>
                <w:sz w:val="24"/>
                <w:szCs w:val="24"/>
                <w:highlight w:val="none"/>
              </w:rPr>
            </w:pPr>
            <w:r>
              <w:rPr>
                <w:rFonts w:hint="eastAsia"/>
                <w:sz w:val="24"/>
                <w:szCs w:val="24"/>
                <w:highlight w:val="none"/>
              </w:rPr>
              <w:t>内置麦克风和扬声器</w:t>
            </w:r>
          </w:p>
          <w:p w14:paraId="52C597DD">
            <w:pPr>
              <w:bidi w:val="0"/>
              <w:rPr>
                <w:rFonts w:hint="eastAsia"/>
                <w:sz w:val="24"/>
                <w:szCs w:val="24"/>
                <w:highlight w:val="none"/>
              </w:rPr>
            </w:pPr>
            <w:r>
              <w:rPr>
                <w:rFonts w:hint="eastAsia"/>
                <w:sz w:val="24"/>
                <w:szCs w:val="24"/>
                <w:highlight w:val="none"/>
              </w:rPr>
              <w:t>支持1路音频输入、1路音频输出</w:t>
            </w:r>
          </w:p>
          <w:p w14:paraId="1FB1054B">
            <w:pPr>
              <w:bidi w:val="0"/>
              <w:rPr>
                <w:rFonts w:hint="eastAsia"/>
                <w:sz w:val="24"/>
                <w:szCs w:val="24"/>
                <w:highlight w:val="none"/>
              </w:rPr>
            </w:pPr>
            <w:r>
              <w:rPr>
                <w:rFonts w:hint="eastAsia"/>
                <w:sz w:val="24"/>
                <w:szCs w:val="24"/>
                <w:highlight w:val="none"/>
              </w:rPr>
              <w:t>支持IK10防暴等级</w:t>
            </w:r>
          </w:p>
          <w:p w14:paraId="3518B00D">
            <w:pPr>
              <w:bidi w:val="0"/>
              <w:rPr>
                <w:rFonts w:hint="eastAsia"/>
                <w:sz w:val="24"/>
                <w:szCs w:val="24"/>
                <w:highlight w:val="none"/>
              </w:rPr>
            </w:pPr>
            <w:r>
              <w:rPr>
                <w:rFonts w:hint="eastAsia"/>
                <w:sz w:val="24"/>
                <w:szCs w:val="24"/>
                <w:highlight w:val="none"/>
              </w:rPr>
              <w:t>防雷、防浪涌、防突波，IP66防护等级</w:t>
            </w:r>
          </w:p>
          <w:p w14:paraId="7AA4B615">
            <w:pPr>
              <w:bidi w:val="0"/>
              <w:rPr>
                <w:rFonts w:hint="eastAsia"/>
                <w:sz w:val="24"/>
                <w:szCs w:val="24"/>
                <w:highlight w:val="none"/>
              </w:rPr>
            </w:pPr>
            <w:r>
              <w:rPr>
                <w:rFonts w:hint="eastAsia"/>
                <w:sz w:val="24"/>
                <w:szCs w:val="24"/>
                <w:highlight w:val="none"/>
              </w:rPr>
              <w:t>包含：安装支架。</w:t>
            </w:r>
          </w:p>
          <w:p w14:paraId="20144C06">
            <w:pPr>
              <w:bidi w:val="0"/>
              <w:rPr>
                <w:rFonts w:hint="eastAsia"/>
                <w:sz w:val="24"/>
                <w:szCs w:val="24"/>
                <w:highlight w:val="none"/>
              </w:rPr>
            </w:pPr>
            <w:r>
              <w:rPr>
                <w:rFonts w:hint="eastAsia"/>
                <w:sz w:val="24"/>
                <w:szCs w:val="24"/>
                <w:highlight w:val="none"/>
              </w:rPr>
              <w:t>实现对矫正对象训诫、谈话过程的监控和录像。</w:t>
            </w:r>
          </w:p>
        </w:tc>
        <w:tc>
          <w:tcPr>
            <w:tcW w:w="765" w:type="dxa"/>
            <w:noWrap w:val="0"/>
            <w:vAlign w:val="center"/>
          </w:tcPr>
          <w:p w14:paraId="493CBA6A">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07D1288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2812EAD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4BC3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42054683">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3.2</w:t>
            </w:r>
          </w:p>
        </w:tc>
        <w:tc>
          <w:tcPr>
            <w:tcW w:w="820" w:type="dxa"/>
            <w:noWrap w:val="0"/>
            <w:vAlign w:val="center"/>
          </w:tcPr>
          <w:p w14:paraId="1798861C">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报警按钮</w:t>
            </w:r>
          </w:p>
        </w:tc>
        <w:tc>
          <w:tcPr>
            <w:tcW w:w="6063" w:type="dxa"/>
            <w:noWrap w:val="0"/>
            <w:vAlign w:val="center"/>
          </w:tcPr>
          <w:p w14:paraId="50F30DEF">
            <w:pPr>
              <w:bidi w:val="0"/>
              <w:rPr>
                <w:rFonts w:hint="eastAsia"/>
                <w:sz w:val="24"/>
                <w:szCs w:val="24"/>
                <w:highlight w:val="none"/>
              </w:rPr>
            </w:pPr>
            <w:r>
              <w:rPr>
                <w:rFonts w:hint="eastAsia"/>
                <w:sz w:val="24"/>
                <w:szCs w:val="24"/>
                <w:highlight w:val="none"/>
              </w:rPr>
              <w:t>紧急按钮，采用ABS材质，性能稳定，经久耐用，操作安装简单，实用性强。</w:t>
            </w:r>
          </w:p>
          <w:p w14:paraId="5CCE0D96">
            <w:pPr>
              <w:bidi w:val="0"/>
              <w:rPr>
                <w:rFonts w:hint="eastAsia"/>
                <w:sz w:val="24"/>
                <w:szCs w:val="24"/>
                <w:highlight w:val="none"/>
              </w:rPr>
            </w:pPr>
            <w:r>
              <w:rPr>
                <w:rFonts w:hint="eastAsia"/>
                <w:sz w:val="24"/>
                <w:szCs w:val="24"/>
                <w:highlight w:val="none"/>
              </w:rPr>
              <w:t>外壳材料：ABS</w:t>
            </w:r>
          </w:p>
          <w:p w14:paraId="4A32F8AE">
            <w:pPr>
              <w:bidi w:val="0"/>
              <w:rPr>
                <w:rFonts w:hint="eastAsia"/>
                <w:sz w:val="24"/>
                <w:szCs w:val="24"/>
                <w:highlight w:val="none"/>
              </w:rPr>
            </w:pPr>
            <w:r>
              <w:rPr>
                <w:rFonts w:hint="eastAsia"/>
                <w:sz w:val="24"/>
                <w:szCs w:val="24"/>
                <w:highlight w:val="none"/>
              </w:rPr>
              <w:t>工作电压（V/DC)：≤250</w:t>
            </w:r>
          </w:p>
          <w:p w14:paraId="1F1A5827">
            <w:pPr>
              <w:bidi w:val="0"/>
              <w:rPr>
                <w:rFonts w:hint="eastAsia"/>
                <w:sz w:val="24"/>
                <w:szCs w:val="24"/>
                <w:highlight w:val="none"/>
              </w:rPr>
            </w:pPr>
            <w:r>
              <w:rPr>
                <w:rFonts w:hint="eastAsia"/>
                <w:sz w:val="24"/>
                <w:szCs w:val="24"/>
                <w:highlight w:val="none"/>
              </w:rPr>
              <w:t>工作电流(mA)：≤300</w:t>
            </w:r>
          </w:p>
          <w:p w14:paraId="568400DA">
            <w:pPr>
              <w:bidi w:val="0"/>
              <w:rPr>
                <w:rFonts w:hint="eastAsia"/>
                <w:sz w:val="24"/>
                <w:szCs w:val="24"/>
                <w:highlight w:val="none"/>
              </w:rPr>
            </w:pPr>
            <w:r>
              <w:rPr>
                <w:rFonts w:hint="eastAsia"/>
                <w:sz w:val="24"/>
                <w:szCs w:val="24"/>
                <w:highlight w:val="none"/>
              </w:rPr>
              <w:t>触点模式(NC\NO)：常开/常闭</w:t>
            </w:r>
          </w:p>
          <w:p w14:paraId="30C5797F">
            <w:pPr>
              <w:bidi w:val="0"/>
              <w:rPr>
                <w:rFonts w:hint="eastAsia"/>
                <w:sz w:val="24"/>
                <w:szCs w:val="24"/>
                <w:highlight w:val="none"/>
              </w:rPr>
            </w:pPr>
            <w:r>
              <w:rPr>
                <w:rFonts w:hint="eastAsia"/>
                <w:sz w:val="24"/>
                <w:szCs w:val="24"/>
                <w:highlight w:val="none"/>
              </w:rPr>
              <w:t>用于突发情况上报监控指挥室。</w:t>
            </w:r>
          </w:p>
        </w:tc>
        <w:tc>
          <w:tcPr>
            <w:tcW w:w="765" w:type="dxa"/>
            <w:noWrap w:val="0"/>
            <w:vAlign w:val="center"/>
          </w:tcPr>
          <w:p w14:paraId="2F11B945">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7B8711D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5AF139C2">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选配</w:t>
            </w:r>
          </w:p>
        </w:tc>
      </w:tr>
      <w:tr w14:paraId="79FF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65" w:type="dxa"/>
            <w:gridSpan w:val="6"/>
            <w:noWrap w:val="0"/>
            <w:vAlign w:val="center"/>
          </w:tcPr>
          <w:p w14:paraId="6608BD10">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四、办公室设备系统</w:t>
            </w:r>
          </w:p>
        </w:tc>
      </w:tr>
      <w:tr w14:paraId="5CB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2CD79069">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4F32ADE8">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0747317E">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047CFA6E">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5F019BD6">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1A064C73">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13A9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7D46A110">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4.1</w:t>
            </w:r>
          </w:p>
        </w:tc>
        <w:tc>
          <w:tcPr>
            <w:tcW w:w="820" w:type="dxa"/>
            <w:noWrap w:val="0"/>
            <w:vAlign w:val="center"/>
          </w:tcPr>
          <w:p w14:paraId="7EDCEBE3">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移动执法终端</w:t>
            </w:r>
          </w:p>
        </w:tc>
        <w:tc>
          <w:tcPr>
            <w:tcW w:w="6063" w:type="dxa"/>
            <w:noWrap w:val="0"/>
            <w:vAlign w:val="center"/>
          </w:tcPr>
          <w:p w14:paraId="0330F70C">
            <w:pPr>
              <w:bidi w:val="0"/>
              <w:rPr>
                <w:rFonts w:hint="eastAsia"/>
                <w:sz w:val="24"/>
                <w:szCs w:val="24"/>
                <w:highlight w:val="none"/>
              </w:rPr>
            </w:pPr>
            <w:r>
              <w:rPr>
                <w:rFonts w:hint="eastAsia"/>
                <w:sz w:val="24"/>
                <w:szCs w:val="24"/>
                <w:highlight w:val="none"/>
              </w:rPr>
              <w:t>双系统手机</w:t>
            </w:r>
          </w:p>
          <w:p w14:paraId="060CA48B">
            <w:pPr>
              <w:bidi w:val="0"/>
              <w:rPr>
                <w:rFonts w:hint="eastAsia"/>
                <w:sz w:val="24"/>
                <w:szCs w:val="24"/>
                <w:highlight w:val="none"/>
              </w:rPr>
            </w:pPr>
            <w:r>
              <w:rPr>
                <w:rFonts w:hint="eastAsia"/>
                <w:sz w:val="24"/>
                <w:szCs w:val="24"/>
                <w:highlight w:val="none"/>
              </w:rPr>
              <w:t>屏幕分辨率≥1280*720 ；</w:t>
            </w:r>
          </w:p>
          <w:p w14:paraId="353EFB81">
            <w:pPr>
              <w:bidi w:val="0"/>
              <w:rPr>
                <w:rFonts w:hint="eastAsia"/>
                <w:sz w:val="24"/>
                <w:szCs w:val="24"/>
                <w:highlight w:val="none"/>
              </w:rPr>
            </w:pPr>
            <w:r>
              <w:rPr>
                <w:rFonts w:hint="eastAsia"/>
                <w:sz w:val="24"/>
                <w:szCs w:val="24"/>
                <w:highlight w:val="none"/>
              </w:rPr>
              <w:t>操作系统：安卓6.0以上；</w:t>
            </w:r>
          </w:p>
          <w:p w14:paraId="0DD18AF0">
            <w:pPr>
              <w:bidi w:val="0"/>
              <w:rPr>
                <w:rFonts w:hint="eastAsia"/>
                <w:sz w:val="24"/>
                <w:szCs w:val="24"/>
                <w:highlight w:val="none"/>
              </w:rPr>
            </w:pPr>
            <w:r>
              <w:rPr>
                <w:rFonts w:hint="eastAsia"/>
                <w:sz w:val="24"/>
                <w:szCs w:val="24"/>
                <w:highlight w:val="none"/>
              </w:rPr>
              <w:t>内存≥2G RAM+16G ROM；</w:t>
            </w:r>
          </w:p>
          <w:p w14:paraId="6B068244">
            <w:pPr>
              <w:bidi w:val="0"/>
              <w:rPr>
                <w:rFonts w:hint="eastAsia"/>
                <w:sz w:val="24"/>
                <w:szCs w:val="24"/>
                <w:highlight w:val="none"/>
              </w:rPr>
            </w:pPr>
            <w:r>
              <w:rPr>
                <w:rFonts w:hint="eastAsia"/>
                <w:sz w:val="24"/>
                <w:szCs w:val="24"/>
                <w:highlight w:val="none"/>
              </w:rPr>
              <w:t>支持4G全网通；</w:t>
            </w:r>
          </w:p>
          <w:p w14:paraId="6FE61792">
            <w:pPr>
              <w:bidi w:val="0"/>
              <w:rPr>
                <w:rFonts w:hint="eastAsia"/>
                <w:sz w:val="24"/>
                <w:szCs w:val="24"/>
                <w:highlight w:val="none"/>
              </w:rPr>
            </w:pPr>
            <w:r>
              <w:rPr>
                <w:rFonts w:hint="eastAsia"/>
                <w:sz w:val="24"/>
                <w:szCs w:val="24"/>
                <w:highlight w:val="none"/>
              </w:rPr>
              <w:t>支持两张micro sim卡；</w:t>
            </w:r>
          </w:p>
          <w:p w14:paraId="021A19E0">
            <w:pPr>
              <w:bidi w:val="0"/>
              <w:rPr>
                <w:rFonts w:hint="eastAsia"/>
                <w:sz w:val="24"/>
                <w:szCs w:val="24"/>
                <w:highlight w:val="none"/>
              </w:rPr>
            </w:pPr>
            <w:r>
              <w:rPr>
                <w:rFonts w:hint="eastAsia"/>
                <w:sz w:val="24"/>
                <w:szCs w:val="24"/>
                <w:highlight w:val="none"/>
              </w:rPr>
              <w:t>支持GPS+北斗（选配）双模定位；</w:t>
            </w:r>
          </w:p>
          <w:p w14:paraId="64997C20">
            <w:pPr>
              <w:bidi w:val="0"/>
              <w:rPr>
                <w:rFonts w:hint="eastAsia"/>
                <w:sz w:val="24"/>
                <w:szCs w:val="24"/>
                <w:highlight w:val="none"/>
              </w:rPr>
            </w:pPr>
            <w:r>
              <w:rPr>
                <w:rFonts w:hint="eastAsia"/>
                <w:sz w:val="24"/>
                <w:szCs w:val="24"/>
                <w:highlight w:val="none"/>
              </w:rPr>
              <w:t>支持蓝牙打印机（选配）；</w:t>
            </w:r>
          </w:p>
          <w:p w14:paraId="61C46DE7">
            <w:pPr>
              <w:bidi w:val="0"/>
              <w:rPr>
                <w:rFonts w:hint="eastAsia"/>
                <w:sz w:val="24"/>
                <w:szCs w:val="24"/>
                <w:highlight w:val="none"/>
              </w:rPr>
            </w:pPr>
            <w:r>
              <w:rPr>
                <w:rFonts w:hint="eastAsia"/>
                <w:sz w:val="24"/>
                <w:szCs w:val="24"/>
                <w:highlight w:val="none"/>
              </w:rPr>
              <w:t>具备豫矫通软件应用功能，并扩展指纹、身份证识别功能，适用于外出办公，实现对矫正对象的身份信息采集和验证，实现对相应业务场景录音录像，实现与指挥中心的音视频通讯。</w:t>
            </w:r>
          </w:p>
        </w:tc>
        <w:tc>
          <w:tcPr>
            <w:tcW w:w="765" w:type="dxa"/>
            <w:noWrap w:val="0"/>
            <w:vAlign w:val="center"/>
          </w:tcPr>
          <w:p w14:paraId="6E3CD2A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台</w:t>
            </w:r>
          </w:p>
        </w:tc>
        <w:tc>
          <w:tcPr>
            <w:tcW w:w="747" w:type="dxa"/>
            <w:noWrap w:val="0"/>
            <w:vAlign w:val="center"/>
          </w:tcPr>
          <w:p w14:paraId="3B349485">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67A88F2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098F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14:paraId="56F8DE34">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4.2</w:t>
            </w:r>
          </w:p>
        </w:tc>
        <w:tc>
          <w:tcPr>
            <w:tcW w:w="820" w:type="dxa"/>
            <w:noWrap w:val="0"/>
            <w:vAlign w:val="center"/>
          </w:tcPr>
          <w:p w14:paraId="06AE14A4">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手环</w:t>
            </w:r>
          </w:p>
        </w:tc>
        <w:tc>
          <w:tcPr>
            <w:tcW w:w="6063" w:type="dxa"/>
            <w:noWrap w:val="0"/>
            <w:vAlign w:val="center"/>
          </w:tcPr>
          <w:p w14:paraId="370B96A9">
            <w:pPr>
              <w:bidi w:val="0"/>
              <w:rPr>
                <w:rFonts w:hint="eastAsia"/>
                <w:sz w:val="24"/>
                <w:szCs w:val="24"/>
                <w:highlight w:val="none"/>
              </w:rPr>
            </w:pPr>
            <w:r>
              <w:rPr>
                <w:rFonts w:hint="eastAsia"/>
                <w:sz w:val="24"/>
                <w:szCs w:val="24"/>
                <w:highlight w:val="none"/>
              </w:rPr>
              <w:t>应具备内置电池、防拆报警、防尘防水、违规报警、人力识别等功能，支持实时定位等功能</w:t>
            </w:r>
          </w:p>
        </w:tc>
        <w:tc>
          <w:tcPr>
            <w:tcW w:w="765" w:type="dxa"/>
            <w:noWrap w:val="0"/>
            <w:vAlign w:val="center"/>
          </w:tcPr>
          <w:p w14:paraId="3143FFC6">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1071994B">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00691F5E">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3A65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65" w:type="dxa"/>
            <w:gridSpan w:val="6"/>
            <w:noWrap w:val="0"/>
            <w:vAlign w:val="center"/>
          </w:tcPr>
          <w:p w14:paraId="6A1F43D8">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五、监控指挥室设备系统</w:t>
            </w:r>
          </w:p>
        </w:tc>
      </w:tr>
      <w:tr w14:paraId="76EA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45682C7F">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470964A7">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3675210C">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29444197">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465EE99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313C6633">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5CB1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2B538743">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5.1</w:t>
            </w:r>
          </w:p>
        </w:tc>
        <w:tc>
          <w:tcPr>
            <w:tcW w:w="820" w:type="dxa"/>
            <w:noWrap w:val="0"/>
            <w:vAlign w:val="center"/>
          </w:tcPr>
          <w:p w14:paraId="48764228">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智慧社区矫正督查指挥管理智能融合终端</w:t>
            </w:r>
          </w:p>
        </w:tc>
        <w:tc>
          <w:tcPr>
            <w:tcW w:w="6063" w:type="dxa"/>
            <w:noWrap w:val="0"/>
            <w:vAlign w:val="center"/>
          </w:tcPr>
          <w:p w14:paraId="70CA192D">
            <w:pPr>
              <w:bidi w:val="0"/>
              <w:rPr>
                <w:rFonts w:hint="eastAsia"/>
                <w:sz w:val="24"/>
                <w:szCs w:val="24"/>
                <w:highlight w:val="none"/>
              </w:rPr>
            </w:pPr>
            <w:r>
              <w:rPr>
                <w:rFonts w:hint="eastAsia"/>
                <w:sz w:val="24"/>
                <w:szCs w:val="24"/>
                <w:highlight w:val="none"/>
              </w:rPr>
              <w:t>一软件指标1性能指标：业务督查指挥智能融合终端可以作为业务终端直接遂行指挥调度、视频会议、视频监控、语音对讲、协同办公、任务流程、视频点名、值班呼点值班备勤、矫情上报包含手工填写和自动上报等核心业务；可以作为管理终端组织指挥调度、视频会议、任务流程等三大业务的开展，对业务中的指挥组、会议组、值班组进行分组设定，并对音视频资源进行再分配；也可以作为保障终端完成日常检查、大厅控制、专线使用、状态监控等各类保障。根据登录用户的角色、权限不同，呈现不同资源、实现不同功能、开展不同业务。具备指挥呼点、视频监控、视频指挥、视频会议、智能导播等业务功能，根据登录用户的角色、权限不同，呈现不同资源、实现不同功能、开展不同业务。具备展现电视电话会议终端资源信息，提供一键呼叫功能；具备展现电话资源信息，提供一键电话呼叫功能；具备通过拨号键盘进行电话呼叫功能；具备视频输出显示OSD字幕叠加，提供对OSD内容、字体、大小、颜色、位置等进行设置；具备录制管理功能，提供制订录制计划或手动临时录制；具备历史录像文件的检索、回放与控制功能；具备录像文件、媒体文件的导入导入功能；具备对解码器的点播、停电、声音开关、切屏等控制功能；具备大厅导调和可视化导播管理，提供临机导播或制订导播计划，全部视频资源均可导调，并提供导播预览功能；具备服务、用户、设备的在线状态监测，提供服务异常下线告警；具备云镜控制、预置点、图像轮巡、即时通讯、语音对讲、音频广播、即时通讯、电子白板、分屏控制、图像抓拍等功能；具备对终端界面布局、功能布局等进行自定义设置；具备终端自检功能，提供对本地绑定的摄像机、音箱、话筒运行状态进行一键自检；具备端口复用能力，使用精简可控的端口完成数据通信。视频格式支持H.265、H.264；音频格式支持G.711、AAC等；具备1、4、9路1080P及以下视频同时解码并分屏显示；具备7*24小时稳定持续工作。具备16路4CIF视频同时解码并分屏显示；具备1、2、4、画中画、6、1+5、9、12、16分屏控制；.支持与省厅。市级。县级社区矫正中心督查指挥管理系统互联互通，信令互通、媒体互通，支持指挥中遂行监控和视频会商；</w:t>
            </w:r>
          </w:p>
          <w:p w14:paraId="251205B7">
            <w:pPr>
              <w:bidi w:val="0"/>
              <w:rPr>
                <w:rFonts w:hint="eastAsia"/>
                <w:sz w:val="24"/>
                <w:szCs w:val="24"/>
                <w:highlight w:val="none"/>
              </w:rPr>
            </w:pPr>
            <w:r>
              <w:rPr>
                <w:rFonts w:hint="eastAsia"/>
                <w:sz w:val="24"/>
                <w:szCs w:val="24"/>
                <w:highlight w:val="none"/>
              </w:rPr>
              <w:t>2功能指标：支持对本级社区矫正当日矫情的整体态势感知以及对下级各单位实时矫情的动态获取，包含社区矫正对象综合信息、当日矫正人员流动情况、实时定位分布情况、社矫对象分级管制情况、社矫对象禁止令执行情况、外来社矫人员情况、重点关注社矫对象情况、今日值班人员情况、预测预警情况、实时报警情况等，实现对社区矫正工作值班、监管和安全防范态势矫情的整体感知；支持对本级和下级单位社区矫正日常工作规范、刑罚执行规范、应急事件处置规范和指挥中心日常值班规范的远程视频督察、督察情况实时督办和督察过程证据保全。支持通过智能融合视频监控、定位监管、人证比对、生物识别、人工智能分析多项技术手段，结合社区矫正一体化大平台业务综合信息建立社区矫正对象在社矫工作场所开展的报到、矫正宣告、训诫、集中教育、个别教育、社区服务、点验等工作活动过程的音视频档案记录；社区矫正工作人员矫正工作活动、视频督察、视频点名等工作活动的音视频档案记录；社区矫正工作场所各类突发事件的音视频档案记录；支持基于GIS地理信息、移动互联、通讯调度、安防集成等技术，智能融合一体化大平台业务信息，结合大数据分析研判实现对社区矫正日常监管的预测预警和应急处突分级分层指挥协调；支持推送本级社区矫正重点音视频到上级指挥中心；支持与司法所、市司法局、省司法厅双向音视频通话。支持与司法所、市司法局、省司法厅进行视频会议；支持用户管理功能，系统可根据不同的权限、不同的角色进行授权，系统登录时需要身份验证，验证通过才能登录系统，才能使用权限范围内的功能；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二硬件最低配置要求：软硬一体化专用设备，处理器：    Intel(R) Core(TM) i7-8700@3.20GHz；内存： 16 GB  DDR4-2400 DDR4(双通道）；GTX1050ti;3年保修； 显示器21.5寸 ；含话筒、音箱等设备；</w:t>
            </w:r>
          </w:p>
        </w:tc>
        <w:tc>
          <w:tcPr>
            <w:tcW w:w="765" w:type="dxa"/>
            <w:noWrap w:val="0"/>
            <w:vAlign w:val="center"/>
          </w:tcPr>
          <w:p w14:paraId="72B548D2">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台</w:t>
            </w:r>
          </w:p>
        </w:tc>
        <w:tc>
          <w:tcPr>
            <w:tcW w:w="747" w:type="dxa"/>
            <w:noWrap w:val="0"/>
            <w:vAlign w:val="center"/>
          </w:tcPr>
          <w:p w14:paraId="3E55AAA6">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5A47E221">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6745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1B601C38">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5.2</w:t>
            </w:r>
          </w:p>
        </w:tc>
        <w:tc>
          <w:tcPr>
            <w:tcW w:w="820" w:type="dxa"/>
            <w:noWrap w:val="0"/>
            <w:vAlign w:val="center"/>
          </w:tcPr>
          <w:p w14:paraId="476DF60B">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窄带高清编解码</w:t>
            </w:r>
          </w:p>
        </w:tc>
        <w:tc>
          <w:tcPr>
            <w:tcW w:w="6063" w:type="dxa"/>
            <w:noWrap w:val="0"/>
            <w:vAlign w:val="center"/>
          </w:tcPr>
          <w:p w14:paraId="5FC5D7FB">
            <w:pPr>
              <w:bidi w:val="0"/>
              <w:rPr>
                <w:rFonts w:hint="eastAsia"/>
                <w:sz w:val="24"/>
                <w:szCs w:val="24"/>
                <w:highlight w:val="none"/>
              </w:rPr>
            </w:pPr>
            <w:r>
              <w:rPr>
                <w:rFonts w:hint="eastAsia"/>
                <w:sz w:val="24"/>
                <w:szCs w:val="24"/>
                <w:highlight w:val="none"/>
              </w:rPr>
              <w:t>1功能指标：为确保编解码效果完美兼容，编码器应与本次督查指挥平台无缝对接</w:t>
            </w:r>
          </w:p>
          <w:p w14:paraId="252B6FF7">
            <w:pPr>
              <w:bidi w:val="0"/>
              <w:rPr>
                <w:rFonts w:hint="eastAsia"/>
                <w:sz w:val="24"/>
                <w:szCs w:val="24"/>
                <w:highlight w:val="none"/>
              </w:rPr>
            </w:pPr>
            <w:r>
              <w:rPr>
                <w:rFonts w:hint="eastAsia"/>
                <w:sz w:val="24"/>
                <w:szCs w:val="24"/>
                <w:highlight w:val="none"/>
              </w:rPr>
              <w:t>2性能指标：(1)支持H.264/265视频编码标准；(2) 支持G.711、AAC音频编码标准； 支持采集：HD-SDI、VGA、DVI-I等视频信号；支持：D1、4CIF、720i、720P、1080i、1080P等多种分辨率； 支持采集计算机分辨率最大可达1920*1200支持编码输出分辨率与采集分辨不同；支持主流云镜控制协议； 支持多个服务节点进行注册； 支持编码带宽动态可调节； 符合ONVIF规范、SIP标准； 支持标准RTP媒体传输协议；支持WEB、CLI、远程管理； 支持快速参数设置； 支持在线程序升级 支持冗余电源设计、模块化设计，可热拔插支持1路编码或解码扩展（3）支持高清窄带传输能力，具备在1Mbps网络带宽下传输1080P高清视频图像，，具备在1Mbps网络带宽下传输1080P高清视频图像，在512Kbps带宽下传输720P高清视频图像；）视频编码H.264、H.2652）视频输入接口：支持1路HD-SDI、1路DVI-I接口输入3）视频环出接口：支持1路HD-SDI、1路DVI4）音频输入：1个6.35mm TRS母口，支持立体声5）控制接口：1个RS-485；6）网口：1个10M/100M/1000M 自适应以太网口，机架式，2路编码输入，至少2路解码输出（视拼控的输入数量而定，暂按两路解码）</w:t>
            </w:r>
          </w:p>
        </w:tc>
        <w:tc>
          <w:tcPr>
            <w:tcW w:w="765" w:type="dxa"/>
            <w:noWrap w:val="0"/>
            <w:vAlign w:val="center"/>
          </w:tcPr>
          <w:p w14:paraId="02A6E4D9">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台</w:t>
            </w:r>
          </w:p>
        </w:tc>
        <w:tc>
          <w:tcPr>
            <w:tcW w:w="747" w:type="dxa"/>
            <w:noWrap w:val="0"/>
            <w:vAlign w:val="center"/>
          </w:tcPr>
          <w:p w14:paraId="0008AA28">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7D193AD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7B8B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6" w:hRule="atLeast"/>
          <w:jc w:val="center"/>
        </w:trPr>
        <w:tc>
          <w:tcPr>
            <w:tcW w:w="713" w:type="dxa"/>
            <w:noWrap w:val="0"/>
            <w:vAlign w:val="center"/>
          </w:tcPr>
          <w:p w14:paraId="484C5256">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5.3</w:t>
            </w:r>
          </w:p>
        </w:tc>
        <w:tc>
          <w:tcPr>
            <w:tcW w:w="820" w:type="dxa"/>
            <w:noWrap w:val="0"/>
            <w:vAlign w:val="center"/>
          </w:tcPr>
          <w:p w14:paraId="321F0D0E">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LED大屏</w:t>
            </w:r>
          </w:p>
        </w:tc>
        <w:tc>
          <w:tcPr>
            <w:tcW w:w="6063" w:type="dxa"/>
            <w:noWrap w:val="0"/>
            <w:vAlign w:val="center"/>
          </w:tcPr>
          <w:p w14:paraId="03507008">
            <w:pPr>
              <w:bidi w:val="0"/>
              <w:rPr>
                <w:rFonts w:hint="eastAsia"/>
                <w:sz w:val="24"/>
                <w:szCs w:val="24"/>
                <w:highlight w:val="none"/>
              </w:rPr>
            </w:pPr>
            <w:r>
              <w:rPr>
                <w:rFonts w:hint="eastAsia"/>
                <w:sz w:val="24"/>
                <w:szCs w:val="24"/>
                <w:highlight w:val="none"/>
              </w:rPr>
              <w:t>像素结构 表贴三合一 SMD2121黑灯</w:t>
            </w:r>
          </w:p>
          <w:p w14:paraId="338D646A">
            <w:pPr>
              <w:bidi w:val="0"/>
              <w:rPr>
                <w:rFonts w:hint="eastAsia"/>
                <w:sz w:val="24"/>
                <w:szCs w:val="24"/>
                <w:highlight w:val="none"/>
              </w:rPr>
            </w:pPr>
            <w:r>
              <w:rPr>
                <w:rFonts w:hint="eastAsia"/>
                <w:sz w:val="24"/>
                <w:szCs w:val="24"/>
                <w:highlight w:val="none"/>
              </w:rPr>
              <w:t>像素间距（mm） 2.5</w:t>
            </w:r>
          </w:p>
          <w:p w14:paraId="6CF374FB">
            <w:pPr>
              <w:bidi w:val="0"/>
              <w:rPr>
                <w:rFonts w:hint="eastAsia"/>
                <w:sz w:val="24"/>
                <w:szCs w:val="24"/>
                <w:highlight w:val="none"/>
              </w:rPr>
            </w:pPr>
            <w:r>
              <w:rPr>
                <w:rFonts w:hint="eastAsia"/>
                <w:sz w:val="24"/>
                <w:szCs w:val="24"/>
                <w:highlight w:val="none"/>
              </w:rPr>
              <w:t>模组分辨率（W×H） 128×64</w:t>
            </w:r>
          </w:p>
          <w:p w14:paraId="57A804BF">
            <w:pPr>
              <w:bidi w:val="0"/>
              <w:rPr>
                <w:rFonts w:hint="eastAsia"/>
                <w:sz w:val="24"/>
                <w:szCs w:val="24"/>
                <w:highlight w:val="none"/>
              </w:rPr>
            </w:pPr>
            <w:r>
              <w:rPr>
                <w:rFonts w:hint="eastAsia"/>
                <w:sz w:val="24"/>
                <w:szCs w:val="24"/>
                <w:highlight w:val="none"/>
              </w:rPr>
              <w:t>模组尺寸（mm） 320（W）×160（H）</w:t>
            </w:r>
          </w:p>
          <w:p w14:paraId="19AFB702">
            <w:pPr>
              <w:bidi w:val="0"/>
              <w:rPr>
                <w:rFonts w:hint="eastAsia"/>
                <w:sz w:val="24"/>
                <w:szCs w:val="24"/>
                <w:highlight w:val="none"/>
              </w:rPr>
            </w:pPr>
            <w:r>
              <w:rPr>
                <w:rFonts w:hint="eastAsia"/>
                <w:sz w:val="24"/>
                <w:szCs w:val="24"/>
                <w:highlight w:val="none"/>
              </w:rPr>
              <w:t>模组重量（kg/块） 0.42</w:t>
            </w:r>
          </w:p>
          <w:p w14:paraId="0CBAA7C3">
            <w:pPr>
              <w:bidi w:val="0"/>
              <w:rPr>
                <w:rFonts w:hint="eastAsia"/>
                <w:sz w:val="24"/>
                <w:szCs w:val="24"/>
                <w:highlight w:val="none"/>
              </w:rPr>
            </w:pPr>
            <w:r>
              <w:rPr>
                <w:rFonts w:hint="eastAsia"/>
                <w:sz w:val="24"/>
                <w:szCs w:val="24"/>
                <w:highlight w:val="none"/>
              </w:rPr>
              <w:t>模组最大功耗（W/块） 18</w:t>
            </w:r>
          </w:p>
          <w:p w14:paraId="6DD1BFE7">
            <w:pPr>
              <w:bidi w:val="0"/>
              <w:rPr>
                <w:rFonts w:hint="eastAsia"/>
                <w:sz w:val="24"/>
                <w:szCs w:val="24"/>
                <w:highlight w:val="none"/>
              </w:rPr>
            </w:pPr>
            <w:r>
              <w:rPr>
                <w:rFonts w:hint="eastAsia"/>
                <w:sz w:val="24"/>
                <w:szCs w:val="24"/>
                <w:highlight w:val="none"/>
              </w:rPr>
              <w:t>像素密度（点/m2 ） 160000</w:t>
            </w:r>
          </w:p>
          <w:p w14:paraId="6F3653B9">
            <w:pPr>
              <w:bidi w:val="0"/>
              <w:rPr>
                <w:rFonts w:hint="eastAsia"/>
                <w:sz w:val="24"/>
                <w:szCs w:val="24"/>
                <w:highlight w:val="none"/>
              </w:rPr>
            </w:pPr>
            <w:r>
              <w:rPr>
                <w:rFonts w:hint="eastAsia"/>
                <w:sz w:val="24"/>
                <w:szCs w:val="24"/>
                <w:highlight w:val="none"/>
              </w:rPr>
              <w:t>维护方式 磁吸前维护</w:t>
            </w:r>
          </w:p>
          <w:p w14:paraId="0C8A17AF">
            <w:pPr>
              <w:bidi w:val="0"/>
              <w:rPr>
                <w:rFonts w:hint="eastAsia"/>
                <w:sz w:val="24"/>
                <w:szCs w:val="24"/>
                <w:highlight w:val="none"/>
              </w:rPr>
            </w:pPr>
            <w:r>
              <w:rPr>
                <w:rFonts w:hint="eastAsia"/>
                <w:sz w:val="24"/>
                <w:szCs w:val="24"/>
                <w:highlight w:val="none"/>
              </w:rPr>
              <w:t>显示屏亮度（nits） 600</w:t>
            </w:r>
          </w:p>
          <w:p w14:paraId="2B62109C">
            <w:pPr>
              <w:bidi w:val="0"/>
              <w:rPr>
                <w:rFonts w:hint="eastAsia"/>
                <w:sz w:val="24"/>
                <w:szCs w:val="24"/>
                <w:highlight w:val="none"/>
              </w:rPr>
            </w:pPr>
            <w:r>
              <w:rPr>
                <w:rFonts w:hint="eastAsia"/>
                <w:sz w:val="24"/>
                <w:szCs w:val="24"/>
                <w:highlight w:val="none"/>
              </w:rPr>
              <w:t>色温（K） 8000—19000 可调</w:t>
            </w:r>
          </w:p>
          <w:p w14:paraId="606C964D">
            <w:pPr>
              <w:bidi w:val="0"/>
              <w:rPr>
                <w:rFonts w:hint="eastAsia"/>
                <w:sz w:val="24"/>
                <w:szCs w:val="24"/>
                <w:highlight w:val="none"/>
              </w:rPr>
            </w:pPr>
            <w:r>
              <w:rPr>
                <w:rFonts w:hint="eastAsia"/>
                <w:sz w:val="24"/>
                <w:szCs w:val="24"/>
                <w:highlight w:val="none"/>
              </w:rPr>
              <w:t>水平视角（°） 160</w:t>
            </w:r>
          </w:p>
          <w:p w14:paraId="616261BA">
            <w:pPr>
              <w:bidi w:val="0"/>
              <w:rPr>
                <w:rFonts w:hint="eastAsia"/>
                <w:sz w:val="24"/>
                <w:szCs w:val="24"/>
                <w:highlight w:val="none"/>
              </w:rPr>
            </w:pPr>
            <w:r>
              <w:rPr>
                <w:rFonts w:hint="eastAsia"/>
                <w:sz w:val="24"/>
                <w:szCs w:val="24"/>
                <w:highlight w:val="none"/>
              </w:rPr>
              <w:t>垂直视角（°） 160</w:t>
            </w:r>
          </w:p>
          <w:p w14:paraId="25FCB4F3">
            <w:pPr>
              <w:bidi w:val="0"/>
              <w:rPr>
                <w:rFonts w:hint="eastAsia"/>
                <w:sz w:val="24"/>
                <w:szCs w:val="24"/>
                <w:highlight w:val="none"/>
              </w:rPr>
            </w:pPr>
            <w:r>
              <w:rPr>
                <w:rFonts w:hint="eastAsia"/>
                <w:sz w:val="24"/>
                <w:szCs w:val="24"/>
                <w:highlight w:val="none"/>
              </w:rPr>
              <w:t>对比度 4000:1</w:t>
            </w:r>
          </w:p>
          <w:p w14:paraId="3835E1C2">
            <w:pPr>
              <w:bidi w:val="0"/>
              <w:rPr>
                <w:rFonts w:hint="eastAsia"/>
                <w:sz w:val="24"/>
                <w:szCs w:val="24"/>
                <w:highlight w:val="none"/>
              </w:rPr>
            </w:pPr>
            <w:r>
              <w:rPr>
                <w:rFonts w:hint="eastAsia"/>
                <w:sz w:val="24"/>
                <w:szCs w:val="24"/>
                <w:highlight w:val="none"/>
              </w:rPr>
              <w:t>亮度均匀性 ≥97%</w:t>
            </w:r>
          </w:p>
          <w:p w14:paraId="6608BC8F">
            <w:pPr>
              <w:bidi w:val="0"/>
              <w:rPr>
                <w:rFonts w:hint="eastAsia"/>
                <w:sz w:val="24"/>
                <w:szCs w:val="24"/>
                <w:highlight w:val="none"/>
              </w:rPr>
            </w:pPr>
            <w:r>
              <w:rPr>
                <w:rFonts w:hint="eastAsia"/>
                <w:sz w:val="24"/>
                <w:szCs w:val="24"/>
                <w:highlight w:val="none"/>
              </w:rPr>
              <w:t>色度均匀性 ±0.003Cx,Cy 之内</w:t>
            </w:r>
          </w:p>
          <w:p w14:paraId="1062A7A1">
            <w:pPr>
              <w:bidi w:val="0"/>
              <w:rPr>
                <w:rFonts w:hint="eastAsia"/>
                <w:sz w:val="24"/>
                <w:szCs w:val="24"/>
                <w:highlight w:val="none"/>
              </w:rPr>
            </w:pPr>
            <w:r>
              <w:rPr>
                <w:rFonts w:hint="eastAsia"/>
                <w:sz w:val="24"/>
                <w:szCs w:val="24"/>
                <w:highlight w:val="none"/>
              </w:rPr>
              <w:t>最佳视距（m） ≥2</w:t>
            </w:r>
          </w:p>
          <w:p w14:paraId="769FFAE3">
            <w:pPr>
              <w:bidi w:val="0"/>
              <w:rPr>
                <w:rFonts w:hint="eastAsia"/>
                <w:sz w:val="24"/>
                <w:szCs w:val="24"/>
                <w:highlight w:val="none"/>
              </w:rPr>
            </w:pPr>
            <w:r>
              <w:rPr>
                <w:rFonts w:hint="eastAsia"/>
                <w:sz w:val="24"/>
                <w:szCs w:val="24"/>
                <w:highlight w:val="none"/>
              </w:rPr>
              <w:t>峰值功耗（W/m2） 351</w:t>
            </w:r>
          </w:p>
          <w:p w14:paraId="1786B934">
            <w:pPr>
              <w:bidi w:val="0"/>
              <w:rPr>
                <w:rFonts w:hint="eastAsia"/>
                <w:sz w:val="24"/>
                <w:szCs w:val="24"/>
                <w:highlight w:val="none"/>
              </w:rPr>
            </w:pPr>
            <w:r>
              <w:rPr>
                <w:rFonts w:hint="eastAsia"/>
                <w:sz w:val="24"/>
                <w:szCs w:val="24"/>
                <w:highlight w:val="none"/>
              </w:rPr>
              <w:t>平均功耗（W/m2） 175</w:t>
            </w:r>
          </w:p>
          <w:p w14:paraId="57C84C67">
            <w:pPr>
              <w:bidi w:val="0"/>
              <w:rPr>
                <w:rFonts w:hint="eastAsia"/>
                <w:sz w:val="24"/>
                <w:szCs w:val="24"/>
                <w:highlight w:val="none"/>
              </w:rPr>
            </w:pPr>
            <w:r>
              <w:rPr>
                <w:rFonts w:hint="eastAsia"/>
                <w:sz w:val="24"/>
                <w:szCs w:val="24"/>
                <w:highlight w:val="none"/>
              </w:rPr>
              <w:t>供电要求 AC220-240V</w:t>
            </w:r>
          </w:p>
          <w:p w14:paraId="0AEDF911">
            <w:pPr>
              <w:bidi w:val="0"/>
              <w:rPr>
                <w:rFonts w:hint="eastAsia"/>
                <w:sz w:val="24"/>
                <w:szCs w:val="24"/>
                <w:highlight w:val="none"/>
              </w:rPr>
            </w:pPr>
            <w:r>
              <w:rPr>
                <w:rFonts w:hint="eastAsia"/>
                <w:sz w:val="24"/>
                <w:szCs w:val="24"/>
                <w:highlight w:val="none"/>
              </w:rPr>
              <w:t xml:space="preserve">驱动方式 恒流驱动 </w:t>
            </w:r>
          </w:p>
          <w:p w14:paraId="5A82517E">
            <w:pPr>
              <w:bidi w:val="0"/>
              <w:rPr>
                <w:rFonts w:hint="eastAsia"/>
                <w:sz w:val="24"/>
                <w:szCs w:val="24"/>
                <w:highlight w:val="none"/>
              </w:rPr>
            </w:pPr>
            <w:r>
              <w:rPr>
                <w:rFonts w:hint="eastAsia"/>
                <w:sz w:val="24"/>
                <w:szCs w:val="24"/>
                <w:highlight w:val="none"/>
              </w:rPr>
              <w:t>换帧频率（Hz） 60</w:t>
            </w:r>
          </w:p>
          <w:p w14:paraId="103AD1E6">
            <w:pPr>
              <w:bidi w:val="0"/>
              <w:rPr>
                <w:rFonts w:hint="eastAsia"/>
                <w:sz w:val="24"/>
                <w:szCs w:val="24"/>
                <w:highlight w:val="none"/>
              </w:rPr>
            </w:pPr>
            <w:r>
              <w:rPr>
                <w:rFonts w:hint="eastAsia"/>
                <w:sz w:val="24"/>
                <w:szCs w:val="24"/>
                <w:highlight w:val="none"/>
              </w:rPr>
              <w:t>刷新率（Hz） ≥1920</w:t>
            </w:r>
          </w:p>
          <w:p w14:paraId="3CFFA2A2">
            <w:pPr>
              <w:bidi w:val="0"/>
              <w:rPr>
                <w:rFonts w:hint="eastAsia"/>
                <w:sz w:val="24"/>
                <w:szCs w:val="24"/>
                <w:highlight w:val="none"/>
              </w:rPr>
            </w:pPr>
            <w:r>
              <w:rPr>
                <w:rFonts w:hint="eastAsia"/>
                <w:sz w:val="24"/>
                <w:szCs w:val="24"/>
                <w:highlight w:val="none"/>
              </w:rPr>
              <w:t xml:space="preserve">工作温度范围（℃） -10—40   </w:t>
            </w:r>
          </w:p>
          <w:p w14:paraId="22444FD4">
            <w:pPr>
              <w:bidi w:val="0"/>
              <w:rPr>
                <w:rFonts w:hint="eastAsia"/>
                <w:sz w:val="24"/>
                <w:szCs w:val="24"/>
                <w:highlight w:val="none"/>
              </w:rPr>
            </w:pPr>
            <w:r>
              <w:rPr>
                <w:rFonts w:hint="eastAsia"/>
                <w:sz w:val="24"/>
                <w:szCs w:val="24"/>
                <w:highlight w:val="none"/>
              </w:rPr>
              <w:t>存储温度范围（℃） -20—60</w:t>
            </w:r>
          </w:p>
          <w:p w14:paraId="412EA15A">
            <w:pPr>
              <w:bidi w:val="0"/>
              <w:rPr>
                <w:rFonts w:hint="eastAsia"/>
                <w:sz w:val="24"/>
                <w:szCs w:val="24"/>
                <w:highlight w:val="none"/>
              </w:rPr>
            </w:pPr>
            <w:r>
              <w:rPr>
                <w:rFonts w:hint="eastAsia"/>
                <w:sz w:val="24"/>
                <w:szCs w:val="24"/>
                <w:highlight w:val="none"/>
              </w:rPr>
              <w:t>工作湿度范围（RH）无结露 10-80%</w:t>
            </w:r>
          </w:p>
          <w:p w14:paraId="1520170F">
            <w:pPr>
              <w:bidi w:val="0"/>
              <w:rPr>
                <w:rFonts w:hint="eastAsia"/>
                <w:sz w:val="24"/>
                <w:szCs w:val="24"/>
                <w:highlight w:val="none"/>
              </w:rPr>
            </w:pPr>
            <w:r>
              <w:rPr>
                <w:rFonts w:hint="eastAsia"/>
                <w:sz w:val="24"/>
                <w:szCs w:val="24"/>
                <w:highlight w:val="none"/>
              </w:rPr>
              <w:t>存储湿度范围（RH）无结露 10-85%</w:t>
            </w:r>
          </w:p>
          <w:p w14:paraId="17DC4A61">
            <w:pPr>
              <w:bidi w:val="0"/>
              <w:rPr>
                <w:rFonts w:hint="eastAsia"/>
                <w:sz w:val="24"/>
                <w:szCs w:val="24"/>
                <w:highlight w:val="none"/>
              </w:rPr>
            </w:pPr>
            <w:r>
              <w:rPr>
                <w:rFonts w:hint="eastAsia"/>
                <w:sz w:val="24"/>
                <w:szCs w:val="24"/>
                <w:highlight w:val="none"/>
              </w:rPr>
              <w:t>信号接口 HUB 75E接口</w:t>
            </w:r>
          </w:p>
          <w:p w14:paraId="595A2E1E">
            <w:pPr>
              <w:bidi w:val="0"/>
              <w:rPr>
                <w:rFonts w:hint="eastAsia"/>
                <w:sz w:val="24"/>
                <w:szCs w:val="24"/>
                <w:highlight w:val="none"/>
              </w:rPr>
            </w:pPr>
            <w:r>
              <w:rPr>
                <w:rFonts w:hint="eastAsia"/>
                <w:sz w:val="24"/>
                <w:szCs w:val="24"/>
                <w:highlight w:val="none"/>
              </w:rPr>
              <w:t>电源接口 VH3PIN</w:t>
            </w:r>
          </w:p>
        </w:tc>
        <w:tc>
          <w:tcPr>
            <w:tcW w:w="765" w:type="dxa"/>
            <w:noWrap w:val="0"/>
            <w:vAlign w:val="center"/>
          </w:tcPr>
          <w:p w14:paraId="6BEB4DD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平</w:t>
            </w:r>
          </w:p>
        </w:tc>
        <w:tc>
          <w:tcPr>
            <w:tcW w:w="747" w:type="dxa"/>
            <w:noWrap w:val="0"/>
            <w:vAlign w:val="center"/>
          </w:tcPr>
          <w:p w14:paraId="3025DEA7">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757" w:type="dxa"/>
            <w:noWrap w:val="0"/>
            <w:vAlign w:val="center"/>
          </w:tcPr>
          <w:p w14:paraId="424794E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选配</w:t>
            </w:r>
          </w:p>
        </w:tc>
      </w:tr>
      <w:tr w14:paraId="7914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07B8433B">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5.4</w:t>
            </w:r>
          </w:p>
        </w:tc>
        <w:tc>
          <w:tcPr>
            <w:tcW w:w="820" w:type="dxa"/>
            <w:noWrap w:val="0"/>
            <w:vAlign w:val="center"/>
          </w:tcPr>
          <w:p w14:paraId="13924048">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拼控处理器</w:t>
            </w:r>
          </w:p>
        </w:tc>
        <w:tc>
          <w:tcPr>
            <w:tcW w:w="6063" w:type="dxa"/>
            <w:noWrap w:val="0"/>
            <w:vAlign w:val="center"/>
          </w:tcPr>
          <w:p w14:paraId="194D8B4F">
            <w:pPr>
              <w:bidi w:val="0"/>
              <w:rPr>
                <w:rFonts w:hint="eastAsia"/>
                <w:sz w:val="24"/>
                <w:szCs w:val="24"/>
                <w:highlight w:val="none"/>
              </w:rPr>
            </w:pPr>
            <w:r>
              <w:rPr>
                <w:rFonts w:hint="eastAsia"/>
                <w:sz w:val="24"/>
                <w:szCs w:val="24"/>
                <w:highlight w:val="none"/>
              </w:rPr>
              <w:t>1功能指标：设备支持外接电脑桌面解码输出。</w:t>
            </w:r>
          </w:p>
          <w:p w14:paraId="12607825">
            <w:pPr>
              <w:bidi w:val="0"/>
              <w:rPr>
                <w:rFonts w:hint="eastAsia"/>
                <w:sz w:val="24"/>
                <w:szCs w:val="24"/>
                <w:highlight w:val="none"/>
              </w:rPr>
            </w:pPr>
            <w:r>
              <w:rPr>
                <w:rFonts w:hint="eastAsia"/>
                <w:sz w:val="24"/>
                <w:szCs w:val="24"/>
                <w:highlight w:val="none"/>
              </w:rPr>
              <w:t>设备支持解码显示画面任意设置大小，并可通过客户端软件使显示画面在外接多个显示屏上随意移动并跨屏显示。</w:t>
            </w:r>
          </w:p>
          <w:p w14:paraId="5C009C65">
            <w:pPr>
              <w:bidi w:val="0"/>
              <w:rPr>
                <w:rFonts w:hint="eastAsia"/>
                <w:sz w:val="24"/>
                <w:szCs w:val="24"/>
                <w:highlight w:val="none"/>
              </w:rPr>
            </w:pPr>
            <w:r>
              <w:rPr>
                <w:rFonts w:hint="eastAsia"/>
                <w:sz w:val="24"/>
                <w:szCs w:val="24"/>
                <w:highlight w:val="none"/>
              </w:rPr>
              <w:t>支持对大屏资源的集中管理和控制；</w:t>
            </w:r>
          </w:p>
          <w:p w14:paraId="275056BA">
            <w:pPr>
              <w:bidi w:val="0"/>
              <w:rPr>
                <w:rFonts w:hint="eastAsia"/>
                <w:sz w:val="24"/>
                <w:szCs w:val="24"/>
                <w:highlight w:val="none"/>
              </w:rPr>
            </w:pPr>
            <w:r>
              <w:rPr>
                <w:rFonts w:hint="eastAsia"/>
                <w:sz w:val="24"/>
                <w:szCs w:val="24"/>
                <w:highlight w:val="none"/>
              </w:rPr>
              <w:t>支持大屏方案、轮播方案和拼接方案的一键快速切换；</w:t>
            </w:r>
          </w:p>
          <w:p w14:paraId="1A1195D8">
            <w:pPr>
              <w:bidi w:val="0"/>
              <w:rPr>
                <w:rFonts w:hint="eastAsia"/>
                <w:sz w:val="24"/>
                <w:szCs w:val="24"/>
                <w:highlight w:val="none"/>
              </w:rPr>
            </w:pPr>
            <w:r>
              <w:rPr>
                <w:rFonts w:hint="eastAsia"/>
                <w:sz w:val="24"/>
                <w:szCs w:val="24"/>
                <w:highlight w:val="none"/>
              </w:rPr>
              <w:t>支持大屏方案、拼接方案、轮播方案的快速创建、配置、删除、保存等功能；</w:t>
            </w:r>
          </w:p>
          <w:p w14:paraId="0345138D">
            <w:pPr>
              <w:bidi w:val="0"/>
              <w:rPr>
                <w:rFonts w:hint="eastAsia"/>
                <w:sz w:val="24"/>
                <w:szCs w:val="24"/>
                <w:highlight w:val="none"/>
              </w:rPr>
            </w:pPr>
            <w:r>
              <w:rPr>
                <w:rFonts w:hint="eastAsia"/>
                <w:sz w:val="24"/>
                <w:szCs w:val="24"/>
                <w:highlight w:val="none"/>
              </w:rPr>
              <w:t>支持在接警处置时大屏智能联动功能；</w:t>
            </w:r>
          </w:p>
          <w:p w14:paraId="61615B37">
            <w:pPr>
              <w:bidi w:val="0"/>
              <w:rPr>
                <w:rFonts w:hint="eastAsia"/>
                <w:sz w:val="24"/>
                <w:szCs w:val="24"/>
                <w:highlight w:val="none"/>
              </w:rPr>
            </w:pPr>
            <w:r>
              <w:rPr>
                <w:rFonts w:hint="eastAsia"/>
                <w:sz w:val="24"/>
                <w:szCs w:val="24"/>
                <w:highlight w:val="none"/>
              </w:rPr>
              <w:t>支持在应急预案执行时大屏智能联动功能；</w:t>
            </w:r>
          </w:p>
          <w:p w14:paraId="7274819C">
            <w:pPr>
              <w:bidi w:val="0"/>
              <w:rPr>
                <w:rFonts w:hint="eastAsia"/>
                <w:sz w:val="24"/>
                <w:szCs w:val="24"/>
                <w:highlight w:val="none"/>
              </w:rPr>
            </w:pPr>
            <w:r>
              <w:rPr>
                <w:rFonts w:hint="eastAsia"/>
                <w:sz w:val="24"/>
                <w:szCs w:val="24"/>
                <w:highlight w:val="none"/>
              </w:rPr>
              <w:t xml:space="preserve">支持在重大事件处置过程中推送下级大屏监控资源到上级指挥中心，实现远程指挥功能；音视频处理                                                                                        </w:t>
            </w:r>
          </w:p>
          <w:p w14:paraId="2AE8C232">
            <w:pPr>
              <w:bidi w:val="0"/>
              <w:rPr>
                <w:rFonts w:hint="eastAsia"/>
                <w:sz w:val="24"/>
                <w:szCs w:val="24"/>
                <w:highlight w:val="none"/>
              </w:rPr>
            </w:pPr>
            <w:r>
              <w:rPr>
                <w:rFonts w:hint="eastAsia"/>
                <w:sz w:val="24"/>
                <w:szCs w:val="24"/>
                <w:highlight w:val="none"/>
              </w:rPr>
              <w:t>单个信号可以在任意M×N个显示单元上拼接显示，M、N均为大于等于1的正整数。</w:t>
            </w:r>
          </w:p>
          <w:p w14:paraId="542E79B4">
            <w:pPr>
              <w:bidi w:val="0"/>
              <w:rPr>
                <w:rFonts w:hint="eastAsia"/>
                <w:sz w:val="24"/>
                <w:szCs w:val="24"/>
                <w:highlight w:val="none"/>
              </w:rPr>
            </w:pPr>
            <w:r>
              <w:rPr>
                <w:rFonts w:hint="eastAsia"/>
                <w:sz w:val="24"/>
                <w:szCs w:val="24"/>
                <w:highlight w:val="none"/>
              </w:rPr>
              <w:t>支持输入信号任意开窗、漫游，支持图层叠加，最多支持单屏两图层的任意布局。</w:t>
            </w:r>
          </w:p>
          <w:p w14:paraId="41A8F2D3">
            <w:pPr>
              <w:bidi w:val="0"/>
              <w:rPr>
                <w:rFonts w:hint="eastAsia"/>
                <w:sz w:val="24"/>
                <w:szCs w:val="24"/>
                <w:highlight w:val="none"/>
              </w:rPr>
            </w:pPr>
            <w:r>
              <w:rPr>
                <w:rFonts w:hint="eastAsia"/>
                <w:sz w:val="24"/>
                <w:szCs w:val="24"/>
                <w:highlight w:val="none"/>
              </w:rPr>
              <w:t>智能缩放技术，图像缩放采用智能多相位滤波算法，根据图像特点自动选择最优的滤波系数，图像接近失量级  缩放效果，保证更多细节，边缘无锯齿以及很好的锐度。</w:t>
            </w:r>
          </w:p>
          <w:p w14:paraId="61B82076">
            <w:pPr>
              <w:bidi w:val="0"/>
              <w:rPr>
                <w:rFonts w:hint="eastAsia"/>
                <w:sz w:val="24"/>
                <w:szCs w:val="24"/>
                <w:highlight w:val="none"/>
              </w:rPr>
            </w:pPr>
            <w:r>
              <w:rPr>
                <w:rFonts w:hint="eastAsia"/>
                <w:sz w:val="24"/>
                <w:szCs w:val="24"/>
                <w:highlight w:val="none"/>
              </w:rPr>
              <w:t>支持多路超高分辨率底图</w:t>
            </w:r>
          </w:p>
          <w:p w14:paraId="13BC6D14">
            <w:pPr>
              <w:bidi w:val="0"/>
              <w:rPr>
                <w:rFonts w:hint="eastAsia"/>
                <w:sz w:val="24"/>
                <w:szCs w:val="24"/>
                <w:highlight w:val="none"/>
              </w:rPr>
            </w:pPr>
            <w:r>
              <w:rPr>
                <w:rFonts w:hint="eastAsia"/>
                <w:sz w:val="24"/>
                <w:szCs w:val="24"/>
                <w:highlight w:val="none"/>
              </w:rPr>
              <w:t>支持多路矢量虚拟LED，同时支持动态和静态两种显示方式，可任意编辑显示内容、字体、颜色、速度等参数。</w:t>
            </w:r>
          </w:p>
          <w:p w14:paraId="7D81851A">
            <w:pPr>
              <w:bidi w:val="0"/>
              <w:rPr>
                <w:rFonts w:hint="eastAsia"/>
                <w:sz w:val="24"/>
                <w:szCs w:val="24"/>
                <w:highlight w:val="none"/>
              </w:rPr>
            </w:pPr>
            <w:r>
              <w:rPr>
                <w:rFonts w:hint="eastAsia"/>
                <w:sz w:val="24"/>
                <w:szCs w:val="24"/>
                <w:highlight w:val="none"/>
              </w:rPr>
              <w:t>支持AI级图像一键处理引擎，采用人工智能级图像处理技术，能实现一键补光、一键去雾等图像智能处理。</w:t>
            </w:r>
          </w:p>
          <w:p w14:paraId="2DC47BC6">
            <w:pPr>
              <w:bidi w:val="0"/>
              <w:rPr>
                <w:rFonts w:hint="eastAsia"/>
                <w:sz w:val="24"/>
                <w:szCs w:val="24"/>
                <w:highlight w:val="none"/>
              </w:rPr>
            </w:pPr>
            <w:r>
              <w:rPr>
                <w:rFonts w:hint="eastAsia"/>
                <w:sz w:val="24"/>
                <w:szCs w:val="24"/>
                <w:highlight w:val="none"/>
              </w:rPr>
              <w:t>支持无缝切换，处理器内部集成高清信号处理机制，保证信号切换时无延时、无蓝屏、无黑屏等中间过渡状态。</w:t>
            </w:r>
          </w:p>
          <w:p w14:paraId="55D28F09">
            <w:pPr>
              <w:bidi w:val="0"/>
              <w:rPr>
                <w:rFonts w:hint="eastAsia"/>
                <w:sz w:val="24"/>
                <w:szCs w:val="24"/>
                <w:highlight w:val="none"/>
              </w:rPr>
            </w:pPr>
            <w:r>
              <w:rPr>
                <w:rFonts w:hint="eastAsia"/>
                <w:sz w:val="24"/>
                <w:szCs w:val="24"/>
                <w:highlight w:val="none"/>
              </w:rPr>
              <w:t>支持智能去黑边（输入图像任意裁剪），边缘屏蔽，区域放大等画面实时处理功能。</w:t>
            </w:r>
          </w:p>
          <w:p w14:paraId="23E986C8">
            <w:pPr>
              <w:bidi w:val="0"/>
              <w:rPr>
                <w:rFonts w:hint="eastAsia"/>
                <w:sz w:val="24"/>
                <w:szCs w:val="24"/>
                <w:highlight w:val="none"/>
              </w:rPr>
            </w:pPr>
            <w:r>
              <w:rPr>
                <w:rFonts w:hint="eastAsia"/>
                <w:sz w:val="24"/>
                <w:szCs w:val="24"/>
                <w:highlight w:val="none"/>
              </w:rPr>
              <w:t>支持输入信号的字符叠加，可以通过控制软件更改字体类型、大小、背景色、前景色、显示位置等参数。</w:t>
            </w:r>
          </w:p>
          <w:p w14:paraId="274D9FC6">
            <w:pPr>
              <w:bidi w:val="0"/>
              <w:rPr>
                <w:rFonts w:hint="eastAsia"/>
                <w:sz w:val="24"/>
                <w:szCs w:val="24"/>
                <w:highlight w:val="none"/>
              </w:rPr>
            </w:pPr>
            <w:r>
              <w:rPr>
                <w:rFonts w:hint="eastAsia"/>
                <w:sz w:val="24"/>
                <w:szCs w:val="24"/>
                <w:highlight w:val="none"/>
              </w:rPr>
              <w:t>支持输入信号自动探测，实时探测每一个输入端口是否有信号接入，输入板卡及客户端软件均有状态指示。</w:t>
            </w:r>
          </w:p>
          <w:p w14:paraId="561F66EA">
            <w:pPr>
              <w:bidi w:val="0"/>
              <w:rPr>
                <w:rFonts w:hint="eastAsia"/>
                <w:sz w:val="24"/>
                <w:szCs w:val="24"/>
                <w:highlight w:val="none"/>
              </w:rPr>
            </w:pPr>
            <w:r>
              <w:rPr>
                <w:rFonts w:hint="eastAsia"/>
                <w:sz w:val="24"/>
                <w:szCs w:val="24"/>
                <w:highlight w:val="none"/>
              </w:rPr>
              <w:t xml:space="preserve">支持矩阵切换，处理器内部集成矩阵功能，支持单个信号源开多个窗口同时显示。                                                                                </w:t>
            </w:r>
          </w:p>
          <w:p w14:paraId="71F9C617">
            <w:pPr>
              <w:bidi w:val="0"/>
              <w:rPr>
                <w:rFonts w:hint="eastAsia"/>
                <w:sz w:val="24"/>
                <w:szCs w:val="24"/>
                <w:highlight w:val="none"/>
              </w:rPr>
            </w:pPr>
            <w:r>
              <w:rPr>
                <w:rFonts w:hint="eastAsia"/>
                <w:sz w:val="24"/>
                <w:szCs w:val="24"/>
                <w:highlight w:val="none"/>
              </w:rPr>
              <w:t>支持冗余电源，一个正常使用电源，一个备份电源。正常电源出现故障时，自动切换至备用电源。</w:t>
            </w:r>
          </w:p>
          <w:p w14:paraId="69F1C16C">
            <w:pPr>
              <w:bidi w:val="0"/>
              <w:rPr>
                <w:rFonts w:hint="eastAsia"/>
                <w:sz w:val="24"/>
                <w:szCs w:val="24"/>
                <w:highlight w:val="none"/>
              </w:rPr>
            </w:pPr>
            <w:r>
              <w:rPr>
                <w:rFonts w:hint="eastAsia"/>
                <w:sz w:val="24"/>
                <w:szCs w:val="24"/>
                <w:highlight w:val="none"/>
              </w:rPr>
              <w:t>支持BS控制/支持跨平台控制</w:t>
            </w:r>
          </w:p>
          <w:p w14:paraId="49CC24EA">
            <w:pPr>
              <w:bidi w:val="0"/>
              <w:rPr>
                <w:rFonts w:hint="eastAsia"/>
                <w:sz w:val="24"/>
                <w:szCs w:val="24"/>
                <w:highlight w:val="none"/>
              </w:rPr>
            </w:pPr>
            <w:r>
              <w:rPr>
                <w:rFonts w:hint="eastAsia"/>
                <w:sz w:val="24"/>
                <w:szCs w:val="24"/>
                <w:highlight w:val="none"/>
              </w:rPr>
              <w:t>无需安装任何客户端软件，支持网页登录控制；支持windows、IOS、MAC OS、Android、Linux等各类操作系统 跨平台控制及可视化管理。</w:t>
            </w:r>
          </w:p>
          <w:p w14:paraId="59595440">
            <w:pPr>
              <w:bidi w:val="0"/>
              <w:rPr>
                <w:rFonts w:hint="eastAsia"/>
                <w:sz w:val="24"/>
                <w:szCs w:val="24"/>
                <w:highlight w:val="none"/>
              </w:rPr>
            </w:pPr>
            <w:r>
              <w:rPr>
                <w:rFonts w:hint="eastAsia"/>
                <w:sz w:val="24"/>
                <w:szCs w:val="24"/>
                <w:highlight w:val="none"/>
              </w:rPr>
              <w:t>机箱风扇转速根据设备温度自适应。</w:t>
            </w:r>
          </w:p>
          <w:p w14:paraId="2099B962">
            <w:pPr>
              <w:bidi w:val="0"/>
              <w:rPr>
                <w:rFonts w:hint="eastAsia"/>
                <w:sz w:val="24"/>
                <w:szCs w:val="24"/>
                <w:highlight w:val="none"/>
              </w:rPr>
            </w:pPr>
            <w:r>
              <w:rPr>
                <w:rFonts w:hint="eastAsia"/>
                <w:sz w:val="24"/>
                <w:szCs w:val="24"/>
                <w:highlight w:val="none"/>
              </w:rPr>
              <w:t>支持预操作模式，开启该功能后，所有窗口的操作将不会立马生效，需点击确认后，再一次性将所有操作生效。</w:t>
            </w:r>
          </w:p>
          <w:p w14:paraId="5ADB5A93">
            <w:pPr>
              <w:bidi w:val="0"/>
              <w:rPr>
                <w:rFonts w:hint="eastAsia"/>
                <w:sz w:val="24"/>
                <w:szCs w:val="24"/>
                <w:highlight w:val="none"/>
              </w:rPr>
            </w:pPr>
            <w:r>
              <w:rPr>
                <w:rFonts w:hint="eastAsia"/>
                <w:sz w:val="24"/>
                <w:szCs w:val="24"/>
                <w:highlight w:val="none"/>
              </w:rPr>
              <w:t>2性能指标：1.5U  2.5U  4U ；单屏最大两图层；网络控制：1个10/100M网口  串口控制：1个DB9接口（RS232）、1个RJ45接口（RS485） 中控控制：1个RJ45接口（同时支持RS232和RS485环出）；；AC100~240V，50/60Hz；支持超高分辨率静态图像叠加显示。开启底图时，默认占用最底层窗口通道。底图显示支持3种模式：所有屏幕单屏显示、所有屏幕拼接显示、部分连续区域拼接显示。超高清点对点矢量字幕，支持动态字幕和静态字幕，可以任意编辑显示内容、字体、颜色等参数；常规输出端口：HDMI Type A接口（母头），支持HDMI1.3 和数字信号保护协议 HDCP，最大支持分辨率1920*1080@60Hz；常规输入端口，HDMI1.3数字接口，支持HDCP，最大支持分辨率1920*1080@60Hz；DVI-D数字接口，最大支持分辨率1920*1080@60Hz；</w:t>
            </w:r>
          </w:p>
        </w:tc>
        <w:tc>
          <w:tcPr>
            <w:tcW w:w="765" w:type="dxa"/>
            <w:noWrap w:val="0"/>
            <w:vAlign w:val="center"/>
          </w:tcPr>
          <w:p w14:paraId="4A691A9C">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台</w:t>
            </w:r>
          </w:p>
        </w:tc>
        <w:tc>
          <w:tcPr>
            <w:tcW w:w="747" w:type="dxa"/>
            <w:noWrap w:val="0"/>
            <w:vAlign w:val="center"/>
          </w:tcPr>
          <w:p w14:paraId="73EEEA9D">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29C96829">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6272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090B3347">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5.5</w:t>
            </w:r>
          </w:p>
        </w:tc>
        <w:tc>
          <w:tcPr>
            <w:tcW w:w="820" w:type="dxa"/>
            <w:noWrap w:val="0"/>
            <w:vAlign w:val="center"/>
          </w:tcPr>
          <w:p w14:paraId="1975EB70">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366F2899">
            <w:pPr>
              <w:bidi w:val="0"/>
              <w:rPr>
                <w:rFonts w:hint="eastAsia"/>
                <w:sz w:val="24"/>
                <w:szCs w:val="24"/>
                <w:highlight w:val="none"/>
              </w:rPr>
            </w:pPr>
            <w:r>
              <w:rPr>
                <w:rFonts w:hint="eastAsia"/>
                <w:sz w:val="24"/>
                <w:szCs w:val="24"/>
                <w:highlight w:val="none"/>
              </w:rPr>
              <w:t>要求采用200万像素及以上设备</w:t>
            </w:r>
          </w:p>
          <w:p w14:paraId="2AA0C6E2">
            <w:pPr>
              <w:bidi w:val="0"/>
              <w:rPr>
                <w:rFonts w:hint="eastAsia"/>
                <w:sz w:val="24"/>
                <w:szCs w:val="24"/>
                <w:highlight w:val="none"/>
              </w:rPr>
            </w:pPr>
            <w:r>
              <w:rPr>
                <w:rFonts w:hint="eastAsia"/>
                <w:sz w:val="24"/>
                <w:szCs w:val="24"/>
                <w:highlight w:val="none"/>
              </w:rPr>
              <w:t>支持国标GB/T28181</w:t>
            </w:r>
          </w:p>
          <w:p w14:paraId="0D8D477A">
            <w:pPr>
              <w:bidi w:val="0"/>
              <w:rPr>
                <w:rFonts w:hint="eastAsia"/>
                <w:sz w:val="24"/>
                <w:szCs w:val="24"/>
                <w:highlight w:val="none"/>
              </w:rPr>
            </w:pPr>
            <w:r>
              <w:rPr>
                <w:rFonts w:hint="eastAsia"/>
                <w:sz w:val="24"/>
                <w:szCs w:val="24"/>
                <w:highlight w:val="none"/>
              </w:rPr>
              <w:t>支持1920×1080@25fps高清画面输出</w:t>
            </w:r>
          </w:p>
          <w:p w14:paraId="3E989CB5">
            <w:pPr>
              <w:bidi w:val="0"/>
              <w:rPr>
                <w:rFonts w:hint="eastAsia"/>
                <w:sz w:val="24"/>
                <w:szCs w:val="24"/>
                <w:highlight w:val="none"/>
              </w:rPr>
            </w:pPr>
            <w:r>
              <w:rPr>
                <w:rFonts w:hint="eastAsia"/>
                <w:sz w:val="24"/>
                <w:szCs w:val="24"/>
                <w:highlight w:val="none"/>
              </w:rPr>
              <w:t>支持H.265高效压缩算法，可较大节省存储空间</w:t>
            </w:r>
          </w:p>
          <w:p w14:paraId="44361F95">
            <w:pPr>
              <w:bidi w:val="0"/>
              <w:rPr>
                <w:rFonts w:hint="eastAsia"/>
                <w:sz w:val="24"/>
                <w:szCs w:val="24"/>
                <w:highlight w:val="none"/>
              </w:rPr>
            </w:pPr>
            <w:r>
              <w:rPr>
                <w:rFonts w:hint="eastAsia"/>
                <w:sz w:val="24"/>
                <w:szCs w:val="24"/>
                <w:highlight w:val="none"/>
              </w:rPr>
              <w:t>支持红外补光距离不小于40米</w:t>
            </w:r>
          </w:p>
          <w:p w14:paraId="2B1502D0">
            <w:pPr>
              <w:bidi w:val="0"/>
              <w:rPr>
                <w:rFonts w:hint="eastAsia"/>
                <w:sz w:val="24"/>
                <w:szCs w:val="24"/>
                <w:highlight w:val="none"/>
              </w:rPr>
            </w:pPr>
            <w:r>
              <w:rPr>
                <w:rFonts w:hint="eastAsia"/>
                <w:sz w:val="24"/>
                <w:szCs w:val="24"/>
                <w:highlight w:val="none"/>
              </w:rPr>
              <w:t>支持区域入侵侦测、越界侦测、移动侦测等智能侦测功能</w:t>
            </w:r>
          </w:p>
          <w:p w14:paraId="0B5EC4F4">
            <w:pPr>
              <w:bidi w:val="0"/>
              <w:rPr>
                <w:rFonts w:hint="eastAsia"/>
                <w:sz w:val="24"/>
                <w:szCs w:val="24"/>
                <w:highlight w:val="none"/>
              </w:rPr>
            </w:pPr>
            <w:r>
              <w:rPr>
                <w:rFonts w:hint="eastAsia"/>
                <w:sz w:val="24"/>
                <w:szCs w:val="24"/>
                <w:highlight w:val="none"/>
              </w:rPr>
              <w:t>支持宽动态，适合逆光环境监控</w:t>
            </w:r>
          </w:p>
          <w:p w14:paraId="330DD8B4">
            <w:pPr>
              <w:bidi w:val="0"/>
              <w:rPr>
                <w:rFonts w:hint="eastAsia"/>
                <w:sz w:val="24"/>
                <w:szCs w:val="24"/>
                <w:highlight w:val="none"/>
              </w:rPr>
            </w:pPr>
            <w:r>
              <w:rPr>
                <w:rFonts w:hint="eastAsia"/>
                <w:sz w:val="24"/>
                <w:szCs w:val="24"/>
                <w:highlight w:val="none"/>
              </w:rPr>
              <w:t>支持 POE+（802.3at）供电</w:t>
            </w:r>
          </w:p>
          <w:p w14:paraId="573B7F74">
            <w:pPr>
              <w:bidi w:val="0"/>
              <w:rPr>
                <w:rFonts w:hint="eastAsia"/>
                <w:sz w:val="24"/>
                <w:szCs w:val="24"/>
                <w:highlight w:val="none"/>
              </w:rPr>
            </w:pPr>
            <w:r>
              <w:rPr>
                <w:rFonts w:hint="eastAsia"/>
                <w:sz w:val="24"/>
                <w:szCs w:val="24"/>
                <w:highlight w:val="none"/>
              </w:rPr>
              <w:t>内置麦克风和扬声器</w:t>
            </w:r>
          </w:p>
          <w:p w14:paraId="048070D0">
            <w:pPr>
              <w:bidi w:val="0"/>
              <w:rPr>
                <w:rFonts w:hint="eastAsia"/>
                <w:sz w:val="24"/>
                <w:szCs w:val="24"/>
                <w:highlight w:val="none"/>
              </w:rPr>
            </w:pPr>
            <w:r>
              <w:rPr>
                <w:rFonts w:hint="eastAsia"/>
                <w:sz w:val="24"/>
                <w:szCs w:val="24"/>
                <w:highlight w:val="none"/>
              </w:rPr>
              <w:t>支持1路音频输入、1路音频输出</w:t>
            </w:r>
          </w:p>
          <w:p w14:paraId="089F36C4">
            <w:pPr>
              <w:bidi w:val="0"/>
              <w:rPr>
                <w:rFonts w:hint="eastAsia"/>
                <w:sz w:val="24"/>
                <w:szCs w:val="24"/>
                <w:highlight w:val="none"/>
              </w:rPr>
            </w:pPr>
            <w:r>
              <w:rPr>
                <w:rFonts w:hint="eastAsia"/>
                <w:sz w:val="24"/>
                <w:szCs w:val="24"/>
                <w:highlight w:val="none"/>
              </w:rPr>
              <w:t>支持IK10防暴等级</w:t>
            </w:r>
          </w:p>
          <w:p w14:paraId="6F0C4C76">
            <w:pPr>
              <w:bidi w:val="0"/>
              <w:rPr>
                <w:rFonts w:hint="eastAsia"/>
                <w:sz w:val="24"/>
                <w:szCs w:val="24"/>
                <w:highlight w:val="none"/>
              </w:rPr>
            </w:pPr>
            <w:r>
              <w:rPr>
                <w:rFonts w:hint="eastAsia"/>
                <w:sz w:val="24"/>
                <w:szCs w:val="24"/>
                <w:highlight w:val="none"/>
              </w:rPr>
              <w:t>防雷、防浪涌、防突波，IP66防护等级</w:t>
            </w:r>
          </w:p>
          <w:p w14:paraId="2FC52F41">
            <w:pPr>
              <w:bidi w:val="0"/>
              <w:rPr>
                <w:rFonts w:hint="eastAsia"/>
                <w:sz w:val="24"/>
                <w:szCs w:val="24"/>
                <w:highlight w:val="none"/>
              </w:rPr>
            </w:pPr>
            <w:r>
              <w:rPr>
                <w:rFonts w:hint="eastAsia"/>
                <w:sz w:val="24"/>
                <w:szCs w:val="24"/>
                <w:highlight w:val="none"/>
              </w:rPr>
              <w:t>包含：安装支架。</w:t>
            </w:r>
          </w:p>
          <w:p w14:paraId="22E48918">
            <w:pPr>
              <w:bidi w:val="0"/>
              <w:rPr>
                <w:rFonts w:hint="eastAsia"/>
                <w:sz w:val="24"/>
                <w:szCs w:val="24"/>
                <w:highlight w:val="none"/>
              </w:rPr>
            </w:pPr>
            <w:r>
              <w:rPr>
                <w:rFonts w:hint="eastAsia"/>
                <w:sz w:val="24"/>
                <w:szCs w:val="24"/>
                <w:highlight w:val="none"/>
              </w:rPr>
              <w:t>用于对场所监控</w:t>
            </w:r>
          </w:p>
        </w:tc>
        <w:tc>
          <w:tcPr>
            <w:tcW w:w="765" w:type="dxa"/>
            <w:noWrap w:val="0"/>
            <w:vAlign w:val="center"/>
          </w:tcPr>
          <w:p w14:paraId="770E9876">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0AF495E8">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6002499C">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665C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6C9DAA6C">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5.6</w:t>
            </w:r>
          </w:p>
        </w:tc>
        <w:tc>
          <w:tcPr>
            <w:tcW w:w="820" w:type="dxa"/>
            <w:noWrap w:val="0"/>
            <w:vAlign w:val="center"/>
          </w:tcPr>
          <w:p w14:paraId="79301257">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网络报警系统</w:t>
            </w:r>
          </w:p>
        </w:tc>
        <w:tc>
          <w:tcPr>
            <w:tcW w:w="6063" w:type="dxa"/>
            <w:noWrap w:val="0"/>
            <w:vAlign w:val="center"/>
          </w:tcPr>
          <w:p w14:paraId="6908DE93">
            <w:pPr>
              <w:bidi w:val="0"/>
              <w:rPr>
                <w:rFonts w:hint="eastAsia"/>
                <w:sz w:val="24"/>
                <w:szCs w:val="24"/>
                <w:highlight w:val="none"/>
              </w:rPr>
            </w:pPr>
            <w:r>
              <w:rPr>
                <w:rFonts w:hint="eastAsia"/>
                <w:sz w:val="24"/>
                <w:szCs w:val="24"/>
                <w:highlight w:val="none"/>
              </w:rPr>
              <w:t>社区矫正系统报警，含网络报警模块软硬件，实现各功能区室及司法所的警情一键上传，语音提示，告警消警处理。</w:t>
            </w:r>
          </w:p>
        </w:tc>
        <w:tc>
          <w:tcPr>
            <w:tcW w:w="765" w:type="dxa"/>
            <w:noWrap w:val="0"/>
            <w:vAlign w:val="center"/>
          </w:tcPr>
          <w:p w14:paraId="061A412B">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6C5239F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5318703A">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798A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1433329C">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5.7</w:t>
            </w:r>
          </w:p>
        </w:tc>
        <w:tc>
          <w:tcPr>
            <w:tcW w:w="820" w:type="dxa"/>
            <w:noWrap w:val="0"/>
            <w:vAlign w:val="center"/>
          </w:tcPr>
          <w:p w14:paraId="67799BE9">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报警按钮</w:t>
            </w:r>
          </w:p>
        </w:tc>
        <w:tc>
          <w:tcPr>
            <w:tcW w:w="6063" w:type="dxa"/>
            <w:noWrap w:val="0"/>
            <w:vAlign w:val="center"/>
          </w:tcPr>
          <w:p w14:paraId="70E4CA57">
            <w:pPr>
              <w:bidi w:val="0"/>
              <w:rPr>
                <w:rFonts w:hint="eastAsia"/>
                <w:sz w:val="24"/>
                <w:szCs w:val="24"/>
                <w:highlight w:val="none"/>
              </w:rPr>
            </w:pPr>
            <w:r>
              <w:rPr>
                <w:rFonts w:hint="eastAsia"/>
                <w:sz w:val="24"/>
                <w:szCs w:val="24"/>
                <w:highlight w:val="none"/>
              </w:rPr>
              <w:t>紧急按钮，采用ABS材质，性能稳定，经久耐用，操作安装简单，实用性强。</w:t>
            </w:r>
          </w:p>
          <w:p w14:paraId="06141E87">
            <w:pPr>
              <w:bidi w:val="0"/>
              <w:rPr>
                <w:rFonts w:hint="eastAsia"/>
                <w:sz w:val="24"/>
                <w:szCs w:val="24"/>
                <w:highlight w:val="none"/>
              </w:rPr>
            </w:pPr>
            <w:r>
              <w:rPr>
                <w:rFonts w:hint="eastAsia"/>
                <w:sz w:val="24"/>
                <w:szCs w:val="24"/>
                <w:highlight w:val="none"/>
              </w:rPr>
              <w:t>外壳材料：ABS</w:t>
            </w:r>
          </w:p>
          <w:p w14:paraId="55305963">
            <w:pPr>
              <w:bidi w:val="0"/>
              <w:rPr>
                <w:rFonts w:hint="eastAsia"/>
                <w:sz w:val="24"/>
                <w:szCs w:val="24"/>
                <w:highlight w:val="none"/>
              </w:rPr>
            </w:pPr>
            <w:r>
              <w:rPr>
                <w:rFonts w:hint="eastAsia"/>
                <w:sz w:val="24"/>
                <w:szCs w:val="24"/>
                <w:highlight w:val="none"/>
              </w:rPr>
              <w:t>工作电压（V/DC)：≤250</w:t>
            </w:r>
          </w:p>
          <w:p w14:paraId="77A59EF3">
            <w:pPr>
              <w:bidi w:val="0"/>
              <w:rPr>
                <w:rFonts w:hint="eastAsia"/>
                <w:sz w:val="24"/>
                <w:szCs w:val="24"/>
                <w:highlight w:val="none"/>
              </w:rPr>
            </w:pPr>
            <w:r>
              <w:rPr>
                <w:rFonts w:hint="eastAsia"/>
                <w:sz w:val="24"/>
                <w:szCs w:val="24"/>
                <w:highlight w:val="none"/>
              </w:rPr>
              <w:t>工作电流(mA)：≤300</w:t>
            </w:r>
          </w:p>
          <w:p w14:paraId="3399E6B1">
            <w:pPr>
              <w:bidi w:val="0"/>
              <w:rPr>
                <w:rFonts w:hint="eastAsia"/>
                <w:sz w:val="24"/>
                <w:szCs w:val="24"/>
                <w:highlight w:val="none"/>
              </w:rPr>
            </w:pPr>
            <w:r>
              <w:rPr>
                <w:rFonts w:hint="eastAsia"/>
                <w:sz w:val="24"/>
                <w:szCs w:val="24"/>
                <w:highlight w:val="none"/>
              </w:rPr>
              <w:t>触点模式(NC\NO)：常开/常闭</w:t>
            </w:r>
          </w:p>
          <w:p w14:paraId="1D54BB5F">
            <w:pPr>
              <w:bidi w:val="0"/>
              <w:rPr>
                <w:rFonts w:hint="eastAsia"/>
                <w:sz w:val="24"/>
                <w:szCs w:val="24"/>
                <w:highlight w:val="none"/>
              </w:rPr>
            </w:pPr>
            <w:r>
              <w:rPr>
                <w:rFonts w:hint="eastAsia"/>
                <w:sz w:val="24"/>
                <w:szCs w:val="24"/>
                <w:highlight w:val="none"/>
              </w:rPr>
              <w:t>用作突发情况上报上级监控指挥室、公安、警务室等</w:t>
            </w:r>
          </w:p>
        </w:tc>
        <w:tc>
          <w:tcPr>
            <w:tcW w:w="765" w:type="dxa"/>
            <w:noWrap w:val="0"/>
            <w:vAlign w:val="center"/>
          </w:tcPr>
          <w:p w14:paraId="3079D03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3DF16A11">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476F4E96">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0EC3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617CA7A0">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5.8</w:t>
            </w:r>
          </w:p>
        </w:tc>
        <w:tc>
          <w:tcPr>
            <w:tcW w:w="820" w:type="dxa"/>
            <w:noWrap w:val="0"/>
            <w:vAlign w:val="center"/>
          </w:tcPr>
          <w:p w14:paraId="7B46C0D8">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音响和麦克风</w:t>
            </w:r>
          </w:p>
        </w:tc>
        <w:tc>
          <w:tcPr>
            <w:tcW w:w="6063" w:type="dxa"/>
            <w:noWrap w:val="0"/>
            <w:vAlign w:val="center"/>
          </w:tcPr>
          <w:p w14:paraId="1AFB2EF7">
            <w:pPr>
              <w:bidi w:val="0"/>
              <w:rPr>
                <w:rFonts w:hint="eastAsia"/>
                <w:sz w:val="24"/>
                <w:szCs w:val="24"/>
                <w:highlight w:val="none"/>
              </w:rPr>
            </w:pPr>
            <w:r>
              <w:rPr>
                <w:rFonts w:hint="eastAsia"/>
                <w:sz w:val="24"/>
                <w:szCs w:val="24"/>
                <w:highlight w:val="none"/>
              </w:rPr>
              <w:t>一拖四无线麦克风，鹅颈式，单体结构电容式，电源220v，失真率＜0.5％，工作距离：无阻隔干扰下30M；80°× 60°型恒指向号角具有出色的指向控制和低失真特性。</w:t>
            </w:r>
          </w:p>
          <w:p w14:paraId="10DE485F">
            <w:pPr>
              <w:bidi w:val="0"/>
              <w:rPr>
                <w:rFonts w:hint="eastAsia"/>
                <w:sz w:val="24"/>
                <w:szCs w:val="24"/>
                <w:highlight w:val="none"/>
              </w:rPr>
            </w:pPr>
            <w:r>
              <w:rPr>
                <w:rFonts w:hint="eastAsia"/>
                <w:sz w:val="24"/>
                <w:szCs w:val="24"/>
                <w:highlight w:val="none"/>
              </w:rPr>
              <w:t>可配置底部支持垂直及水平吊挂配件，便于多角度安装。紧凑型梯形箱体结构，利于不同应用场所的便捷安装和组合应用。</w:t>
            </w:r>
          </w:p>
          <w:p w14:paraId="34FD7F24">
            <w:pPr>
              <w:bidi w:val="0"/>
              <w:rPr>
                <w:rFonts w:hint="eastAsia"/>
                <w:sz w:val="24"/>
                <w:szCs w:val="24"/>
                <w:highlight w:val="none"/>
              </w:rPr>
            </w:pPr>
            <w:r>
              <w:rPr>
                <w:rFonts w:hint="eastAsia"/>
                <w:sz w:val="24"/>
                <w:szCs w:val="24"/>
                <w:highlight w:val="none"/>
              </w:rPr>
              <w:t>系统长期额定功率 (IEC)：被动分频模式: 200 W</w:t>
            </w:r>
          </w:p>
        </w:tc>
        <w:tc>
          <w:tcPr>
            <w:tcW w:w="765" w:type="dxa"/>
            <w:noWrap w:val="0"/>
            <w:vAlign w:val="center"/>
          </w:tcPr>
          <w:p w14:paraId="26DC8F32">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5DC6AB57">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7E8213CB">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609A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65" w:type="dxa"/>
            <w:gridSpan w:val="6"/>
            <w:noWrap w:val="0"/>
            <w:vAlign w:val="center"/>
          </w:tcPr>
          <w:p w14:paraId="72DAA52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六、教育培训室设备系统</w:t>
            </w:r>
          </w:p>
        </w:tc>
      </w:tr>
      <w:tr w14:paraId="387A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67AD63CE">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3A986C35">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2B8826A9">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3F0057F2">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5807A483">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38024BD1">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671C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7A4BA86C">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6.1</w:t>
            </w:r>
          </w:p>
        </w:tc>
        <w:tc>
          <w:tcPr>
            <w:tcW w:w="820" w:type="dxa"/>
            <w:noWrap w:val="0"/>
            <w:vAlign w:val="center"/>
          </w:tcPr>
          <w:p w14:paraId="7C209AE7">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4A215E92">
            <w:pPr>
              <w:bidi w:val="0"/>
              <w:rPr>
                <w:rFonts w:hint="eastAsia"/>
                <w:sz w:val="24"/>
                <w:szCs w:val="24"/>
                <w:highlight w:val="none"/>
              </w:rPr>
            </w:pPr>
            <w:r>
              <w:rPr>
                <w:rFonts w:hint="eastAsia"/>
                <w:sz w:val="24"/>
                <w:szCs w:val="24"/>
                <w:highlight w:val="none"/>
              </w:rPr>
              <w:t>要求采用200万像素及以上设备</w:t>
            </w:r>
          </w:p>
          <w:p w14:paraId="69AD1176">
            <w:pPr>
              <w:bidi w:val="0"/>
              <w:rPr>
                <w:rFonts w:hint="eastAsia"/>
                <w:sz w:val="24"/>
                <w:szCs w:val="24"/>
                <w:highlight w:val="none"/>
              </w:rPr>
            </w:pPr>
            <w:r>
              <w:rPr>
                <w:rFonts w:hint="eastAsia"/>
                <w:sz w:val="24"/>
                <w:szCs w:val="24"/>
                <w:highlight w:val="none"/>
              </w:rPr>
              <w:t>支持国标GB/T28181</w:t>
            </w:r>
          </w:p>
          <w:p w14:paraId="1C75294A">
            <w:pPr>
              <w:bidi w:val="0"/>
              <w:rPr>
                <w:rFonts w:hint="eastAsia"/>
                <w:sz w:val="24"/>
                <w:szCs w:val="24"/>
                <w:highlight w:val="none"/>
              </w:rPr>
            </w:pPr>
            <w:r>
              <w:rPr>
                <w:rFonts w:hint="eastAsia"/>
                <w:sz w:val="24"/>
                <w:szCs w:val="24"/>
                <w:highlight w:val="none"/>
              </w:rPr>
              <w:t>支持1920×1080@25fps高清画面输出</w:t>
            </w:r>
          </w:p>
          <w:p w14:paraId="6DE51B50">
            <w:pPr>
              <w:bidi w:val="0"/>
              <w:rPr>
                <w:rFonts w:hint="eastAsia"/>
                <w:sz w:val="24"/>
                <w:szCs w:val="24"/>
                <w:highlight w:val="none"/>
              </w:rPr>
            </w:pPr>
            <w:r>
              <w:rPr>
                <w:rFonts w:hint="eastAsia"/>
                <w:sz w:val="24"/>
                <w:szCs w:val="24"/>
                <w:highlight w:val="none"/>
              </w:rPr>
              <w:t>支持H.265高效压缩算法，可较大节省存储空间</w:t>
            </w:r>
          </w:p>
          <w:p w14:paraId="375D82FD">
            <w:pPr>
              <w:bidi w:val="0"/>
              <w:rPr>
                <w:rFonts w:hint="eastAsia"/>
                <w:sz w:val="24"/>
                <w:szCs w:val="24"/>
                <w:highlight w:val="none"/>
              </w:rPr>
            </w:pPr>
            <w:r>
              <w:rPr>
                <w:rFonts w:hint="eastAsia"/>
                <w:sz w:val="24"/>
                <w:szCs w:val="24"/>
                <w:highlight w:val="none"/>
              </w:rPr>
              <w:t>支持红外补光距离不小于40米</w:t>
            </w:r>
          </w:p>
          <w:p w14:paraId="7220D3B4">
            <w:pPr>
              <w:bidi w:val="0"/>
              <w:rPr>
                <w:rFonts w:hint="eastAsia"/>
                <w:sz w:val="24"/>
                <w:szCs w:val="24"/>
                <w:highlight w:val="none"/>
              </w:rPr>
            </w:pPr>
            <w:r>
              <w:rPr>
                <w:rFonts w:hint="eastAsia"/>
                <w:sz w:val="24"/>
                <w:szCs w:val="24"/>
                <w:highlight w:val="none"/>
              </w:rPr>
              <w:t>支持区域入侵侦测、越界侦测、移动侦测等智能侦测功能</w:t>
            </w:r>
          </w:p>
          <w:p w14:paraId="66D5BD07">
            <w:pPr>
              <w:bidi w:val="0"/>
              <w:rPr>
                <w:rFonts w:hint="eastAsia"/>
                <w:sz w:val="24"/>
                <w:szCs w:val="24"/>
                <w:highlight w:val="none"/>
              </w:rPr>
            </w:pPr>
            <w:r>
              <w:rPr>
                <w:rFonts w:hint="eastAsia"/>
                <w:sz w:val="24"/>
                <w:szCs w:val="24"/>
                <w:highlight w:val="none"/>
              </w:rPr>
              <w:t>支持宽动态，适合逆光环境监控</w:t>
            </w:r>
          </w:p>
          <w:p w14:paraId="0A87481D">
            <w:pPr>
              <w:bidi w:val="0"/>
              <w:rPr>
                <w:rFonts w:hint="eastAsia"/>
                <w:sz w:val="24"/>
                <w:szCs w:val="24"/>
                <w:highlight w:val="none"/>
              </w:rPr>
            </w:pPr>
            <w:r>
              <w:rPr>
                <w:rFonts w:hint="eastAsia"/>
                <w:sz w:val="24"/>
                <w:szCs w:val="24"/>
                <w:highlight w:val="none"/>
              </w:rPr>
              <w:t>支持 POE+（802.3at）供电</w:t>
            </w:r>
          </w:p>
          <w:p w14:paraId="468C5C70">
            <w:pPr>
              <w:bidi w:val="0"/>
              <w:rPr>
                <w:rFonts w:hint="eastAsia"/>
                <w:sz w:val="24"/>
                <w:szCs w:val="24"/>
                <w:highlight w:val="none"/>
              </w:rPr>
            </w:pPr>
            <w:r>
              <w:rPr>
                <w:rFonts w:hint="eastAsia"/>
                <w:sz w:val="24"/>
                <w:szCs w:val="24"/>
                <w:highlight w:val="none"/>
              </w:rPr>
              <w:t>内置麦克风和扬声器</w:t>
            </w:r>
          </w:p>
          <w:p w14:paraId="0F9F3C46">
            <w:pPr>
              <w:bidi w:val="0"/>
              <w:rPr>
                <w:rFonts w:hint="eastAsia"/>
                <w:sz w:val="24"/>
                <w:szCs w:val="24"/>
                <w:highlight w:val="none"/>
              </w:rPr>
            </w:pPr>
            <w:r>
              <w:rPr>
                <w:rFonts w:hint="eastAsia"/>
                <w:sz w:val="24"/>
                <w:szCs w:val="24"/>
                <w:highlight w:val="none"/>
              </w:rPr>
              <w:t>支持1路音频输入、1路音频输出</w:t>
            </w:r>
          </w:p>
          <w:p w14:paraId="1308A315">
            <w:pPr>
              <w:bidi w:val="0"/>
              <w:rPr>
                <w:rFonts w:hint="eastAsia"/>
                <w:sz w:val="24"/>
                <w:szCs w:val="24"/>
                <w:highlight w:val="none"/>
              </w:rPr>
            </w:pPr>
            <w:r>
              <w:rPr>
                <w:rFonts w:hint="eastAsia"/>
                <w:sz w:val="24"/>
                <w:szCs w:val="24"/>
                <w:highlight w:val="none"/>
              </w:rPr>
              <w:t>支持IK10防暴等级</w:t>
            </w:r>
          </w:p>
          <w:p w14:paraId="26FB4F06">
            <w:pPr>
              <w:bidi w:val="0"/>
              <w:rPr>
                <w:rFonts w:hint="eastAsia"/>
                <w:sz w:val="24"/>
                <w:szCs w:val="24"/>
                <w:highlight w:val="none"/>
              </w:rPr>
            </w:pPr>
            <w:r>
              <w:rPr>
                <w:rFonts w:hint="eastAsia"/>
                <w:sz w:val="24"/>
                <w:szCs w:val="24"/>
                <w:highlight w:val="none"/>
              </w:rPr>
              <w:t>防雷、防浪涌、防突波，IP66防护等级</w:t>
            </w:r>
          </w:p>
          <w:p w14:paraId="42626D7D">
            <w:pPr>
              <w:bidi w:val="0"/>
              <w:rPr>
                <w:rFonts w:hint="eastAsia"/>
                <w:sz w:val="24"/>
                <w:szCs w:val="24"/>
                <w:highlight w:val="none"/>
              </w:rPr>
            </w:pPr>
            <w:r>
              <w:rPr>
                <w:rFonts w:hint="eastAsia"/>
                <w:sz w:val="24"/>
                <w:szCs w:val="24"/>
                <w:highlight w:val="none"/>
              </w:rPr>
              <w:t>包含：安装支架。</w:t>
            </w:r>
          </w:p>
          <w:p w14:paraId="2A8532FD">
            <w:pPr>
              <w:bidi w:val="0"/>
              <w:rPr>
                <w:rFonts w:hint="eastAsia"/>
                <w:sz w:val="24"/>
                <w:szCs w:val="24"/>
                <w:highlight w:val="none"/>
              </w:rPr>
            </w:pPr>
            <w:r>
              <w:rPr>
                <w:rFonts w:hint="eastAsia"/>
                <w:sz w:val="24"/>
                <w:szCs w:val="24"/>
                <w:highlight w:val="none"/>
              </w:rPr>
              <w:t>实现对矫正对象教育培训过程的监控和录像。</w:t>
            </w:r>
          </w:p>
        </w:tc>
        <w:tc>
          <w:tcPr>
            <w:tcW w:w="765" w:type="dxa"/>
            <w:noWrap w:val="0"/>
            <w:vAlign w:val="center"/>
          </w:tcPr>
          <w:p w14:paraId="079AC40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0CD01D20">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66296C5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必配（数量依据现场大小配置）</w:t>
            </w:r>
          </w:p>
        </w:tc>
      </w:tr>
      <w:tr w14:paraId="387E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17145114">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6.2</w:t>
            </w:r>
          </w:p>
        </w:tc>
        <w:tc>
          <w:tcPr>
            <w:tcW w:w="820" w:type="dxa"/>
            <w:noWrap w:val="0"/>
            <w:vAlign w:val="center"/>
          </w:tcPr>
          <w:p w14:paraId="24248EDE">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报警按钮</w:t>
            </w:r>
          </w:p>
        </w:tc>
        <w:tc>
          <w:tcPr>
            <w:tcW w:w="6063" w:type="dxa"/>
            <w:noWrap w:val="0"/>
            <w:vAlign w:val="center"/>
          </w:tcPr>
          <w:p w14:paraId="0DC5B373">
            <w:pPr>
              <w:bidi w:val="0"/>
              <w:rPr>
                <w:rFonts w:hint="eastAsia"/>
                <w:sz w:val="24"/>
                <w:szCs w:val="24"/>
                <w:highlight w:val="none"/>
              </w:rPr>
            </w:pPr>
            <w:r>
              <w:rPr>
                <w:rFonts w:hint="eastAsia"/>
                <w:sz w:val="24"/>
                <w:szCs w:val="24"/>
                <w:highlight w:val="none"/>
              </w:rPr>
              <w:t>紧急按钮，采用ABS材质，性能稳定，经久耐用，操作安装简单，实用性强。</w:t>
            </w:r>
          </w:p>
          <w:p w14:paraId="5EF40FAC">
            <w:pPr>
              <w:bidi w:val="0"/>
              <w:rPr>
                <w:rFonts w:hint="eastAsia"/>
                <w:sz w:val="24"/>
                <w:szCs w:val="24"/>
                <w:highlight w:val="none"/>
              </w:rPr>
            </w:pPr>
            <w:r>
              <w:rPr>
                <w:rFonts w:hint="eastAsia"/>
                <w:sz w:val="24"/>
                <w:szCs w:val="24"/>
                <w:highlight w:val="none"/>
              </w:rPr>
              <w:t>外壳材料：ABS</w:t>
            </w:r>
          </w:p>
          <w:p w14:paraId="39C1ED89">
            <w:pPr>
              <w:bidi w:val="0"/>
              <w:rPr>
                <w:rFonts w:hint="eastAsia"/>
                <w:sz w:val="24"/>
                <w:szCs w:val="24"/>
                <w:highlight w:val="none"/>
              </w:rPr>
            </w:pPr>
            <w:r>
              <w:rPr>
                <w:rFonts w:hint="eastAsia"/>
                <w:sz w:val="24"/>
                <w:szCs w:val="24"/>
                <w:highlight w:val="none"/>
              </w:rPr>
              <w:t>工作电压（V/DC)：≤250</w:t>
            </w:r>
          </w:p>
          <w:p w14:paraId="5FC718DD">
            <w:pPr>
              <w:bidi w:val="0"/>
              <w:rPr>
                <w:rFonts w:hint="eastAsia"/>
                <w:sz w:val="24"/>
                <w:szCs w:val="24"/>
                <w:highlight w:val="none"/>
              </w:rPr>
            </w:pPr>
            <w:r>
              <w:rPr>
                <w:rFonts w:hint="eastAsia"/>
                <w:sz w:val="24"/>
                <w:szCs w:val="24"/>
                <w:highlight w:val="none"/>
              </w:rPr>
              <w:t>工作电流(mA)：≤300</w:t>
            </w:r>
          </w:p>
          <w:p w14:paraId="1F47BABA">
            <w:pPr>
              <w:bidi w:val="0"/>
              <w:rPr>
                <w:rFonts w:hint="eastAsia"/>
                <w:sz w:val="24"/>
                <w:szCs w:val="24"/>
                <w:highlight w:val="none"/>
              </w:rPr>
            </w:pPr>
            <w:r>
              <w:rPr>
                <w:rFonts w:hint="eastAsia"/>
                <w:sz w:val="24"/>
                <w:szCs w:val="24"/>
                <w:highlight w:val="none"/>
              </w:rPr>
              <w:t>触点模式(NC\NO)：常开/常闭</w:t>
            </w:r>
          </w:p>
          <w:p w14:paraId="2AB83248">
            <w:pPr>
              <w:bidi w:val="0"/>
              <w:rPr>
                <w:rFonts w:hint="eastAsia"/>
                <w:sz w:val="24"/>
                <w:szCs w:val="24"/>
                <w:highlight w:val="none"/>
              </w:rPr>
            </w:pPr>
            <w:r>
              <w:rPr>
                <w:rFonts w:hint="eastAsia"/>
                <w:sz w:val="24"/>
                <w:szCs w:val="24"/>
                <w:highlight w:val="none"/>
              </w:rPr>
              <w:t>用作突发情况上报监控指挥室</w:t>
            </w:r>
          </w:p>
        </w:tc>
        <w:tc>
          <w:tcPr>
            <w:tcW w:w="765" w:type="dxa"/>
            <w:noWrap w:val="0"/>
            <w:vAlign w:val="center"/>
          </w:tcPr>
          <w:p w14:paraId="1236764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3CB1E1A5">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374DE95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选配</w:t>
            </w:r>
          </w:p>
        </w:tc>
      </w:tr>
      <w:tr w14:paraId="117E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A20F492">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6.3</w:t>
            </w:r>
          </w:p>
        </w:tc>
        <w:tc>
          <w:tcPr>
            <w:tcW w:w="820" w:type="dxa"/>
            <w:noWrap w:val="0"/>
            <w:vAlign w:val="center"/>
          </w:tcPr>
          <w:p w14:paraId="4CB309A5">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VR</w:t>
            </w:r>
          </w:p>
        </w:tc>
        <w:tc>
          <w:tcPr>
            <w:tcW w:w="6063" w:type="dxa"/>
            <w:noWrap w:val="0"/>
            <w:vAlign w:val="center"/>
          </w:tcPr>
          <w:p w14:paraId="5CA4F8EA">
            <w:pPr>
              <w:bidi w:val="0"/>
              <w:rPr>
                <w:rFonts w:hint="eastAsia"/>
                <w:sz w:val="24"/>
                <w:szCs w:val="24"/>
                <w:highlight w:val="none"/>
              </w:rPr>
            </w:pPr>
            <w:r>
              <w:rPr>
                <w:rFonts w:hint="eastAsia"/>
                <w:sz w:val="24"/>
                <w:szCs w:val="24"/>
                <w:highlight w:val="none"/>
              </w:rPr>
              <w:t>1、电压/功率：220V/1000W；2、尺寸：约长2000mm×宽2000mm×高2500mm；3、头显品牌：VR头盔；4、屏幕：不低于55英寸；</w:t>
            </w:r>
          </w:p>
          <w:p w14:paraId="7F3ECEF9">
            <w:pPr>
              <w:bidi w:val="0"/>
              <w:rPr>
                <w:rFonts w:hint="eastAsia"/>
                <w:sz w:val="24"/>
                <w:szCs w:val="24"/>
                <w:highlight w:val="none"/>
              </w:rPr>
            </w:pPr>
            <w:r>
              <w:rPr>
                <w:rFonts w:hint="eastAsia"/>
                <w:sz w:val="24"/>
                <w:szCs w:val="24"/>
                <w:highlight w:val="none"/>
              </w:rPr>
              <w:t>5、软件功能：1）【模拟法庭】①连环杀人案：模拟法庭审判连环杀人案案件。②贩毒案：模拟法庭审判贩毒案案件。</w:t>
            </w:r>
          </w:p>
          <w:p w14:paraId="32667EFB">
            <w:pPr>
              <w:bidi w:val="0"/>
              <w:rPr>
                <w:rFonts w:hint="eastAsia"/>
                <w:sz w:val="24"/>
                <w:szCs w:val="24"/>
                <w:highlight w:val="none"/>
              </w:rPr>
            </w:pPr>
            <w:r>
              <w:rPr>
                <w:rFonts w:hint="eastAsia"/>
                <w:sz w:val="24"/>
                <w:szCs w:val="24"/>
                <w:highlight w:val="none"/>
              </w:rPr>
              <w:t>2）【监狱模拟】①监狱牢房生活：模拟体验监狱牢房日常生活。②监狱车间劳作：模拟体验监狱车间劳作内容。</w:t>
            </w:r>
          </w:p>
          <w:p w14:paraId="5DD0BDB6">
            <w:pPr>
              <w:bidi w:val="0"/>
              <w:rPr>
                <w:rFonts w:hint="eastAsia"/>
                <w:sz w:val="24"/>
                <w:szCs w:val="24"/>
                <w:highlight w:val="none"/>
              </w:rPr>
            </w:pPr>
            <w:r>
              <w:rPr>
                <w:rFonts w:hint="eastAsia"/>
                <w:sz w:val="24"/>
                <w:szCs w:val="24"/>
                <w:highlight w:val="none"/>
              </w:rPr>
              <w:t>③监狱学习：模拟体验监狱内学习环境及十道考核题。④监狱探监制度：模拟体验家人到监狱探监情景。</w:t>
            </w:r>
          </w:p>
          <w:p w14:paraId="100F1721">
            <w:pPr>
              <w:bidi w:val="0"/>
              <w:rPr>
                <w:rFonts w:hint="eastAsia"/>
                <w:sz w:val="24"/>
                <w:szCs w:val="24"/>
                <w:highlight w:val="none"/>
              </w:rPr>
            </w:pPr>
            <w:r>
              <w:rPr>
                <w:rFonts w:hint="eastAsia"/>
                <w:sz w:val="24"/>
                <w:szCs w:val="24"/>
                <w:highlight w:val="none"/>
              </w:rPr>
              <w:t>3）【心理放松】①心理压力测试：答完全部题目系统给出评分结果，并给出心理调节建议。②休闲体验：模拟体验户外露营放松内心。③音乐室：模拟体验茶室中品茶并欣赏音乐的情景。</w:t>
            </w:r>
          </w:p>
          <w:p w14:paraId="04AE359D">
            <w:pPr>
              <w:bidi w:val="0"/>
              <w:rPr>
                <w:rFonts w:hint="eastAsia"/>
                <w:sz w:val="24"/>
                <w:szCs w:val="24"/>
                <w:highlight w:val="none"/>
              </w:rPr>
            </w:pPr>
            <w:r>
              <w:rPr>
                <w:rFonts w:hint="eastAsia"/>
                <w:sz w:val="24"/>
                <w:szCs w:val="24"/>
                <w:highlight w:val="none"/>
              </w:rPr>
              <w:t>④想象放松：模拟体验在海边观看大海，放松内心。⑤肌肉放松：模拟体验静坐冥想的方式放松内心。</w:t>
            </w:r>
          </w:p>
          <w:p w14:paraId="17B2DF73">
            <w:pPr>
              <w:bidi w:val="0"/>
              <w:rPr>
                <w:rFonts w:hint="eastAsia"/>
                <w:sz w:val="24"/>
                <w:szCs w:val="24"/>
                <w:highlight w:val="none"/>
              </w:rPr>
            </w:pPr>
            <w:r>
              <w:rPr>
                <w:rFonts w:hint="eastAsia"/>
                <w:sz w:val="24"/>
                <w:szCs w:val="24"/>
                <w:highlight w:val="none"/>
              </w:rPr>
              <w:t>4）【禁毒认知】①禁毒认知：了解毒品相关知识点及毒品的分类。</w:t>
            </w:r>
          </w:p>
          <w:p w14:paraId="6D135ADF">
            <w:pPr>
              <w:bidi w:val="0"/>
              <w:rPr>
                <w:rFonts w:hint="eastAsia"/>
                <w:sz w:val="24"/>
                <w:szCs w:val="24"/>
                <w:highlight w:val="none"/>
              </w:rPr>
            </w:pPr>
            <w:r>
              <w:rPr>
                <w:rFonts w:hint="eastAsia"/>
                <w:sz w:val="24"/>
                <w:szCs w:val="24"/>
                <w:highlight w:val="none"/>
              </w:rPr>
              <w:t>5）【酒驾】①酒驾：模拟体验酒驾事件及相关知识点科普。</w:t>
            </w:r>
          </w:p>
          <w:p w14:paraId="178C145D">
            <w:pPr>
              <w:bidi w:val="0"/>
              <w:rPr>
                <w:rFonts w:hint="eastAsia"/>
                <w:sz w:val="24"/>
                <w:szCs w:val="24"/>
                <w:highlight w:val="none"/>
              </w:rPr>
            </w:pPr>
            <w:r>
              <w:rPr>
                <w:rFonts w:hint="eastAsia"/>
                <w:sz w:val="24"/>
                <w:szCs w:val="24"/>
                <w:highlight w:val="none"/>
              </w:rPr>
              <w:t>6）【教育帮扶】①电子支付：模拟体验超市中用电子支付购买商品。</w:t>
            </w:r>
          </w:p>
          <w:p w14:paraId="5269B580">
            <w:pPr>
              <w:bidi w:val="0"/>
              <w:rPr>
                <w:rFonts w:hint="eastAsia"/>
                <w:sz w:val="24"/>
                <w:szCs w:val="24"/>
                <w:highlight w:val="none"/>
              </w:rPr>
            </w:pPr>
            <w:r>
              <w:rPr>
                <w:rFonts w:hint="eastAsia"/>
                <w:sz w:val="24"/>
                <w:szCs w:val="24"/>
                <w:highlight w:val="none"/>
              </w:rPr>
              <w:t>②共享单车：模拟使用手机扫码体验共享单车。③网购：模拟使用手机进行网购体验。④公交乘车码：模拟体验使用公交乘车码乘坐公交车。</w:t>
            </w:r>
          </w:p>
          <w:p w14:paraId="7E5599CF">
            <w:pPr>
              <w:bidi w:val="0"/>
              <w:rPr>
                <w:rFonts w:hint="eastAsia"/>
                <w:sz w:val="24"/>
                <w:szCs w:val="24"/>
                <w:highlight w:val="none"/>
              </w:rPr>
            </w:pPr>
            <w:r>
              <w:rPr>
                <w:rFonts w:hint="eastAsia"/>
                <w:sz w:val="24"/>
                <w:szCs w:val="24"/>
                <w:highlight w:val="none"/>
              </w:rPr>
              <w:t>7）【抗疫成就展】①抗疫成就展：展馆内展示抗疫期间所获得的部分成就。</w:t>
            </w:r>
          </w:p>
          <w:p w14:paraId="32CA41A7">
            <w:pPr>
              <w:bidi w:val="0"/>
              <w:rPr>
                <w:rFonts w:hint="eastAsia"/>
                <w:sz w:val="24"/>
                <w:szCs w:val="24"/>
                <w:highlight w:val="none"/>
              </w:rPr>
            </w:pPr>
            <w:r>
              <w:rPr>
                <w:rFonts w:hint="eastAsia"/>
                <w:sz w:val="24"/>
                <w:szCs w:val="24"/>
                <w:highlight w:val="none"/>
              </w:rPr>
              <w:t>包含设备安装、调试、通网、通电和配套辅材。</w:t>
            </w:r>
          </w:p>
          <w:p w14:paraId="4BB0DAEA">
            <w:pPr>
              <w:bidi w:val="0"/>
              <w:rPr>
                <w:rFonts w:hint="eastAsia"/>
                <w:sz w:val="24"/>
                <w:szCs w:val="24"/>
                <w:highlight w:val="none"/>
              </w:rPr>
            </w:pPr>
            <w:r>
              <w:rPr>
                <w:rFonts w:hint="eastAsia"/>
                <w:sz w:val="24"/>
                <w:szCs w:val="24"/>
                <w:highlight w:val="none"/>
              </w:rPr>
              <w:t>二、蛋椅参数：</w:t>
            </w:r>
          </w:p>
          <w:p w14:paraId="6233B9CC">
            <w:pPr>
              <w:bidi w:val="0"/>
              <w:rPr>
                <w:rFonts w:hint="eastAsia"/>
                <w:sz w:val="24"/>
                <w:szCs w:val="24"/>
                <w:highlight w:val="none"/>
              </w:rPr>
            </w:pPr>
            <w:r>
              <w:rPr>
                <w:rFonts w:hint="eastAsia"/>
                <w:sz w:val="24"/>
                <w:szCs w:val="24"/>
                <w:highlight w:val="none"/>
              </w:rPr>
              <w:t>1、尺寸：约长100cm×宽100cm×高180cm；2、电压：AC220V，功率：2000W；3、头显： VR头盔；</w:t>
            </w:r>
          </w:p>
          <w:p w14:paraId="3BEC878A">
            <w:pPr>
              <w:bidi w:val="0"/>
              <w:rPr>
                <w:rFonts w:hint="eastAsia"/>
                <w:sz w:val="24"/>
                <w:szCs w:val="24"/>
                <w:highlight w:val="none"/>
              </w:rPr>
            </w:pPr>
            <w:r>
              <w:rPr>
                <w:rFonts w:hint="eastAsia"/>
                <w:sz w:val="24"/>
                <w:szCs w:val="24"/>
                <w:highlight w:val="none"/>
              </w:rPr>
              <w:t>4软件：1）体验吸毒后眩晕效果2）常见吸毒方式展示3）认知各类毒品4）毒品的形态及危害介绍</w:t>
            </w:r>
          </w:p>
          <w:p w14:paraId="2B60B7B3">
            <w:pPr>
              <w:bidi w:val="0"/>
              <w:rPr>
                <w:rFonts w:hint="eastAsia"/>
                <w:sz w:val="24"/>
                <w:szCs w:val="24"/>
                <w:highlight w:val="none"/>
              </w:rPr>
            </w:pPr>
            <w:r>
              <w:rPr>
                <w:rFonts w:hint="eastAsia"/>
                <w:sz w:val="24"/>
                <w:szCs w:val="24"/>
                <w:highlight w:val="none"/>
              </w:rPr>
              <w:t>5）模拟酒后开车第一人称视角6.)模糊、眩晕感7)事故发生现场第三人称展示8)相关法律法规学习。</w:t>
            </w:r>
          </w:p>
          <w:p w14:paraId="3D9CECC1">
            <w:pPr>
              <w:bidi w:val="0"/>
              <w:rPr>
                <w:rFonts w:hint="eastAsia"/>
                <w:sz w:val="24"/>
                <w:szCs w:val="24"/>
                <w:highlight w:val="none"/>
              </w:rPr>
            </w:pPr>
            <w:r>
              <w:rPr>
                <w:rFonts w:hint="eastAsia"/>
                <w:sz w:val="24"/>
                <w:szCs w:val="24"/>
                <w:highlight w:val="none"/>
              </w:rPr>
              <w:t>包含设备安装、调试、通网、通电和配套辅材。</w:t>
            </w:r>
          </w:p>
        </w:tc>
        <w:tc>
          <w:tcPr>
            <w:tcW w:w="765" w:type="dxa"/>
            <w:noWrap w:val="0"/>
            <w:vAlign w:val="center"/>
          </w:tcPr>
          <w:p w14:paraId="42C81063">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5A37151E">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1199ABD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024C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65" w:type="dxa"/>
            <w:gridSpan w:val="6"/>
            <w:noWrap w:val="0"/>
            <w:vAlign w:val="center"/>
          </w:tcPr>
          <w:p w14:paraId="5C3269B0">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七、心理矫正室设备系统</w:t>
            </w:r>
          </w:p>
        </w:tc>
      </w:tr>
      <w:tr w14:paraId="693F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1AC932BB">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103E35BC">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693CD9CB">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3020401B">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504CFD5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760C04CA">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6AE8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7F7F3DB1">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7.1</w:t>
            </w:r>
          </w:p>
        </w:tc>
        <w:tc>
          <w:tcPr>
            <w:tcW w:w="820" w:type="dxa"/>
            <w:noWrap w:val="0"/>
            <w:vAlign w:val="center"/>
          </w:tcPr>
          <w:p w14:paraId="5BF91B70">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461E376F">
            <w:pPr>
              <w:bidi w:val="0"/>
              <w:rPr>
                <w:rFonts w:hint="eastAsia"/>
                <w:sz w:val="24"/>
                <w:szCs w:val="24"/>
                <w:highlight w:val="none"/>
              </w:rPr>
            </w:pPr>
            <w:r>
              <w:rPr>
                <w:rFonts w:hint="eastAsia"/>
                <w:sz w:val="24"/>
                <w:szCs w:val="24"/>
                <w:highlight w:val="none"/>
              </w:rPr>
              <w:t>要求采用200万像素及以上设备</w:t>
            </w:r>
          </w:p>
          <w:p w14:paraId="779E728B">
            <w:pPr>
              <w:bidi w:val="0"/>
              <w:rPr>
                <w:rFonts w:hint="eastAsia"/>
                <w:sz w:val="24"/>
                <w:szCs w:val="24"/>
                <w:highlight w:val="none"/>
              </w:rPr>
            </w:pPr>
            <w:r>
              <w:rPr>
                <w:rFonts w:hint="eastAsia"/>
                <w:sz w:val="24"/>
                <w:szCs w:val="24"/>
                <w:highlight w:val="none"/>
              </w:rPr>
              <w:t>支持国标GB/T28181</w:t>
            </w:r>
          </w:p>
          <w:p w14:paraId="3F84377C">
            <w:pPr>
              <w:bidi w:val="0"/>
              <w:rPr>
                <w:rFonts w:hint="eastAsia"/>
                <w:sz w:val="24"/>
                <w:szCs w:val="24"/>
                <w:highlight w:val="none"/>
              </w:rPr>
            </w:pPr>
            <w:r>
              <w:rPr>
                <w:rFonts w:hint="eastAsia"/>
                <w:sz w:val="24"/>
                <w:szCs w:val="24"/>
                <w:highlight w:val="none"/>
              </w:rPr>
              <w:t>支持1920×1080@25fps高清画面输出</w:t>
            </w:r>
          </w:p>
          <w:p w14:paraId="41B4304C">
            <w:pPr>
              <w:bidi w:val="0"/>
              <w:rPr>
                <w:rFonts w:hint="eastAsia"/>
                <w:sz w:val="24"/>
                <w:szCs w:val="24"/>
                <w:highlight w:val="none"/>
              </w:rPr>
            </w:pPr>
            <w:r>
              <w:rPr>
                <w:rFonts w:hint="eastAsia"/>
                <w:sz w:val="24"/>
                <w:szCs w:val="24"/>
                <w:highlight w:val="none"/>
              </w:rPr>
              <w:t>支持H.265高效压缩算法，可较大节省存储空间</w:t>
            </w:r>
          </w:p>
          <w:p w14:paraId="1972A3F7">
            <w:pPr>
              <w:bidi w:val="0"/>
              <w:rPr>
                <w:rFonts w:hint="eastAsia"/>
                <w:sz w:val="24"/>
                <w:szCs w:val="24"/>
                <w:highlight w:val="none"/>
              </w:rPr>
            </w:pPr>
            <w:r>
              <w:rPr>
                <w:rFonts w:hint="eastAsia"/>
                <w:sz w:val="24"/>
                <w:szCs w:val="24"/>
                <w:highlight w:val="none"/>
              </w:rPr>
              <w:t>支持红外补光距离不小于40米</w:t>
            </w:r>
          </w:p>
          <w:p w14:paraId="0E9E6481">
            <w:pPr>
              <w:bidi w:val="0"/>
              <w:rPr>
                <w:rFonts w:hint="eastAsia"/>
                <w:sz w:val="24"/>
                <w:szCs w:val="24"/>
                <w:highlight w:val="none"/>
              </w:rPr>
            </w:pPr>
            <w:r>
              <w:rPr>
                <w:rFonts w:hint="eastAsia"/>
                <w:sz w:val="24"/>
                <w:szCs w:val="24"/>
                <w:highlight w:val="none"/>
              </w:rPr>
              <w:t>支持区域入侵侦测、越界侦测、移动侦测等智能侦测功能</w:t>
            </w:r>
          </w:p>
          <w:p w14:paraId="19AA0A60">
            <w:pPr>
              <w:bidi w:val="0"/>
              <w:rPr>
                <w:rFonts w:hint="eastAsia"/>
                <w:sz w:val="24"/>
                <w:szCs w:val="24"/>
                <w:highlight w:val="none"/>
              </w:rPr>
            </w:pPr>
            <w:r>
              <w:rPr>
                <w:rFonts w:hint="eastAsia"/>
                <w:sz w:val="24"/>
                <w:szCs w:val="24"/>
                <w:highlight w:val="none"/>
              </w:rPr>
              <w:t>支持宽动态，适合逆光环境监控</w:t>
            </w:r>
          </w:p>
          <w:p w14:paraId="5990101D">
            <w:pPr>
              <w:bidi w:val="0"/>
              <w:rPr>
                <w:rFonts w:hint="eastAsia"/>
                <w:sz w:val="24"/>
                <w:szCs w:val="24"/>
                <w:highlight w:val="none"/>
              </w:rPr>
            </w:pPr>
            <w:r>
              <w:rPr>
                <w:rFonts w:hint="eastAsia"/>
                <w:sz w:val="24"/>
                <w:szCs w:val="24"/>
                <w:highlight w:val="none"/>
              </w:rPr>
              <w:t>支持 POE+（802.3at）供电</w:t>
            </w:r>
          </w:p>
          <w:p w14:paraId="14DBCDCE">
            <w:pPr>
              <w:bidi w:val="0"/>
              <w:rPr>
                <w:rFonts w:hint="eastAsia"/>
                <w:sz w:val="24"/>
                <w:szCs w:val="24"/>
                <w:highlight w:val="none"/>
              </w:rPr>
            </w:pPr>
            <w:r>
              <w:rPr>
                <w:rFonts w:hint="eastAsia"/>
                <w:sz w:val="24"/>
                <w:szCs w:val="24"/>
                <w:highlight w:val="none"/>
              </w:rPr>
              <w:t>内置麦克风和扬声器</w:t>
            </w:r>
          </w:p>
          <w:p w14:paraId="3DDD078F">
            <w:pPr>
              <w:bidi w:val="0"/>
              <w:rPr>
                <w:rFonts w:hint="eastAsia"/>
                <w:sz w:val="24"/>
                <w:szCs w:val="24"/>
                <w:highlight w:val="none"/>
              </w:rPr>
            </w:pPr>
            <w:r>
              <w:rPr>
                <w:rFonts w:hint="eastAsia"/>
                <w:sz w:val="24"/>
                <w:szCs w:val="24"/>
                <w:highlight w:val="none"/>
              </w:rPr>
              <w:t>支持1路音频输入、1路音频输出</w:t>
            </w:r>
          </w:p>
          <w:p w14:paraId="61A505AE">
            <w:pPr>
              <w:bidi w:val="0"/>
              <w:rPr>
                <w:rFonts w:hint="eastAsia"/>
                <w:sz w:val="24"/>
                <w:szCs w:val="24"/>
                <w:highlight w:val="none"/>
              </w:rPr>
            </w:pPr>
            <w:r>
              <w:rPr>
                <w:rFonts w:hint="eastAsia"/>
                <w:sz w:val="24"/>
                <w:szCs w:val="24"/>
                <w:highlight w:val="none"/>
              </w:rPr>
              <w:t>支持IK10防暴等级</w:t>
            </w:r>
          </w:p>
          <w:p w14:paraId="244FF6EB">
            <w:pPr>
              <w:bidi w:val="0"/>
              <w:rPr>
                <w:rFonts w:hint="eastAsia"/>
                <w:sz w:val="24"/>
                <w:szCs w:val="24"/>
                <w:highlight w:val="none"/>
              </w:rPr>
            </w:pPr>
            <w:r>
              <w:rPr>
                <w:rFonts w:hint="eastAsia"/>
                <w:sz w:val="24"/>
                <w:szCs w:val="24"/>
                <w:highlight w:val="none"/>
              </w:rPr>
              <w:t>防雷、防浪涌、防突波，IP66防护等级</w:t>
            </w:r>
          </w:p>
          <w:p w14:paraId="79CBFD47">
            <w:pPr>
              <w:bidi w:val="0"/>
              <w:rPr>
                <w:rFonts w:hint="eastAsia"/>
                <w:sz w:val="24"/>
                <w:szCs w:val="24"/>
                <w:highlight w:val="none"/>
              </w:rPr>
            </w:pPr>
            <w:r>
              <w:rPr>
                <w:rFonts w:hint="eastAsia"/>
                <w:sz w:val="24"/>
                <w:szCs w:val="24"/>
                <w:highlight w:val="none"/>
              </w:rPr>
              <w:t>包含：安装支架。</w:t>
            </w:r>
          </w:p>
          <w:p w14:paraId="68ABB9F0">
            <w:pPr>
              <w:bidi w:val="0"/>
              <w:rPr>
                <w:rFonts w:hint="eastAsia"/>
                <w:sz w:val="24"/>
                <w:szCs w:val="24"/>
                <w:highlight w:val="none"/>
              </w:rPr>
            </w:pPr>
            <w:r>
              <w:rPr>
                <w:rFonts w:hint="eastAsia"/>
                <w:sz w:val="24"/>
                <w:szCs w:val="24"/>
                <w:highlight w:val="none"/>
              </w:rPr>
              <w:t>实现对矫正对象心理矫治过程的监控和录像。</w:t>
            </w:r>
          </w:p>
        </w:tc>
        <w:tc>
          <w:tcPr>
            <w:tcW w:w="765" w:type="dxa"/>
            <w:noWrap w:val="0"/>
            <w:vAlign w:val="center"/>
          </w:tcPr>
          <w:p w14:paraId="1D2498C5">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550E3D72">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6823FAF6">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43FA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2EFC5201">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7.2</w:t>
            </w:r>
          </w:p>
        </w:tc>
        <w:tc>
          <w:tcPr>
            <w:tcW w:w="820" w:type="dxa"/>
            <w:noWrap w:val="0"/>
            <w:vAlign w:val="center"/>
          </w:tcPr>
          <w:p w14:paraId="72741398">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报警按钮</w:t>
            </w:r>
          </w:p>
        </w:tc>
        <w:tc>
          <w:tcPr>
            <w:tcW w:w="6063" w:type="dxa"/>
            <w:noWrap w:val="0"/>
            <w:vAlign w:val="center"/>
          </w:tcPr>
          <w:p w14:paraId="71DE856F">
            <w:pPr>
              <w:bidi w:val="0"/>
              <w:rPr>
                <w:rFonts w:hint="eastAsia"/>
                <w:sz w:val="24"/>
                <w:szCs w:val="24"/>
                <w:highlight w:val="none"/>
              </w:rPr>
            </w:pPr>
            <w:r>
              <w:rPr>
                <w:rFonts w:hint="eastAsia"/>
                <w:sz w:val="24"/>
                <w:szCs w:val="24"/>
                <w:highlight w:val="none"/>
              </w:rPr>
              <w:t>紧急按钮，采用ABS材质，性能稳定，经久耐用，操作安装简单，实用性强。</w:t>
            </w:r>
          </w:p>
          <w:p w14:paraId="07439AE0">
            <w:pPr>
              <w:bidi w:val="0"/>
              <w:rPr>
                <w:rFonts w:hint="eastAsia"/>
                <w:sz w:val="24"/>
                <w:szCs w:val="24"/>
                <w:highlight w:val="none"/>
              </w:rPr>
            </w:pPr>
            <w:r>
              <w:rPr>
                <w:rFonts w:hint="eastAsia"/>
                <w:sz w:val="24"/>
                <w:szCs w:val="24"/>
                <w:highlight w:val="none"/>
              </w:rPr>
              <w:t>外壳材料：ABS</w:t>
            </w:r>
          </w:p>
          <w:p w14:paraId="4782A139">
            <w:pPr>
              <w:bidi w:val="0"/>
              <w:rPr>
                <w:rFonts w:hint="eastAsia"/>
                <w:sz w:val="24"/>
                <w:szCs w:val="24"/>
                <w:highlight w:val="none"/>
              </w:rPr>
            </w:pPr>
            <w:r>
              <w:rPr>
                <w:rFonts w:hint="eastAsia"/>
                <w:sz w:val="24"/>
                <w:szCs w:val="24"/>
                <w:highlight w:val="none"/>
              </w:rPr>
              <w:t>工作电压（V/DC)：≤250</w:t>
            </w:r>
          </w:p>
          <w:p w14:paraId="4A2FD7D6">
            <w:pPr>
              <w:bidi w:val="0"/>
              <w:rPr>
                <w:rFonts w:hint="eastAsia"/>
                <w:sz w:val="24"/>
                <w:szCs w:val="24"/>
                <w:highlight w:val="none"/>
              </w:rPr>
            </w:pPr>
            <w:r>
              <w:rPr>
                <w:rFonts w:hint="eastAsia"/>
                <w:sz w:val="24"/>
                <w:szCs w:val="24"/>
                <w:highlight w:val="none"/>
              </w:rPr>
              <w:t>工作电流(mA)：≤300</w:t>
            </w:r>
          </w:p>
          <w:p w14:paraId="728CAA91">
            <w:pPr>
              <w:bidi w:val="0"/>
              <w:rPr>
                <w:rFonts w:hint="eastAsia"/>
                <w:sz w:val="24"/>
                <w:szCs w:val="24"/>
                <w:highlight w:val="none"/>
              </w:rPr>
            </w:pPr>
            <w:r>
              <w:rPr>
                <w:rFonts w:hint="eastAsia"/>
                <w:sz w:val="24"/>
                <w:szCs w:val="24"/>
                <w:highlight w:val="none"/>
              </w:rPr>
              <w:t>触点模式(NC\NO)：常开/常闭</w:t>
            </w:r>
          </w:p>
          <w:p w14:paraId="7B753374">
            <w:pPr>
              <w:bidi w:val="0"/>
              <w:rPr>
                <w:rFonts w:hint="eastAsia"/>
                <w:sz w:val="24"/>
                <w:szCs w:val="24"/>
                <w:highlight w:val="none"/>
              </w:rPr>
            </w:pPr>
            <w:r>
              <w:rPr>
                <w:rFonts w:hint="eastAsia"/>
                <w:sz w:val="24"/>
                <w:szCs w:val="24"/>
                <w:highlight w:val="none"/>
              </w:rPr>
              <w:t>用作突发情况上报监控指挥室</w:t>
            </w:r>
          </w:p>
        </w:tc>
        <w:tc>
          <w:tcPr>
            <w:tcW w:w="765" w:type="dxa"/>
            <w:noWrap w:val="0"/>
            <w:vAlign w:val="center"/>
          </w:tcPr>
          <w:p w14:paraId="43F84B15">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7F1D583A">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47FCF85B">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选配</w:t>
            </w:r>
          </w:p>
        </w:tc>
      </w:tr>
      <w:tr w14:paraId="5F9F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65" w:type="dxa"/>
            <w:gridSpan w:val="6"/>
            <w:noWrap w:val="0"/>
            <w:vAlign w:val="center"/>
          </w:tcPr>
          <w:p w14:paraId="39BB573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八、档案室设备系统</w:t>
            </w:r>
          </w:p>
        </w:tc>
      </w:tr>
      <w:tr w14:paraId="7C93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0D4B98C">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7EA2FB77">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2C62ED28">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74D502C9">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2F1F854E">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06615B3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0D3F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06C6208A">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8.1</w:t>
            </w:r>
          </w:p>
        </w:tc>
        <w:tc>
          <w:tcPr>
            <w:tcW w:w="820" w:type="dxa"/>
            <w:noWrap w:val="0"/>
            <w:vAlign w:val="center"/>
          </w:tcPr>
          <w:p w14:paraId="17FAA0CE">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70743B67">
            <w:pPr>
              <w:bidi w:val="0"/>
              <w:rPr>
                <w:rFonts w:hint="eastAsia"/>
                <w:sz w:val="24"/>
                <w:szCs w:val="24"/>
                <w:highlight w:val="none"/>
              </w:rPr>
            </w:pPr>
            <w:r>
              <w:rPr>
                <w:rFonts w:hint="eastAsia"/>
                <w:sz w:val="24"/>
                <w:szCs w:val="24"/>
                <w:highlight w:val="none"/>
              </w:rPr>
              <w:t>要求采用200万像素及以上设备</w:t>
            </w:r>
          </w:p>
          <w:p w14:paraId="16E5BDA0">
            <w:pPr>
              <w:bidi w:val="0"/>
              <w:rPr>
                <w:rFonts w:hint="eastAsia"/>
                <w:sz w:val="24"/>
                <w:szCs w:val="24"/>
                <w:highlight w:val="none"/>
              </w:rPr>
            </w:pPr>
            <w:r>
              <w:rPr>
                <w:rFonts w:hint="eastAsia"/>
                <w:sz w:val="24"/>
                <w:szCs w:val="24"/>
                <w:highlight w:val="none"/>
              </w:rPr>
              <w:t>支持国标GB/T28181</w:t>
            </w:r>
          </w:p>
          <w:p w14:paraId="785E7274">
            <w:pPr>
              <w:bidi w:val="0"/>
              <w:rPr>
                <w:rFonts w:hint="eastAsia"/>
                <w:sz w:val="24"/>
                <w:szCs w:val="24"/>
                <w:highlight w:val="none"/>
              </w:rPr>
            </w:pPr>
            <w:r>
              <w:rPr>
                <w:rFonts w:hint="eastAsia"/>
                <w:sz w:val="24"/>
                <w:szCs w:val="24"/>
                <w:highlight w:val="none"/>
              </w:rPr>
              <w:t>支持1920×1080@25fps高清画面输出</w:t>
            </w:r>
          </w:p>
          <w:p w14:paraId="200D4018">
            <w:pPr>
              <w:bidi w:val="0"/>
              <w:rPr>
                <w:rFonts w:hint="eastAsia"/>
                <w:sz w:val="24"/>
                <w:szCs w:val="24"/>
                <w:highlight w:val="none"/>
              </w:rPr>
            </w:pPr>
            <w:r>
              <w:rPr>
                <w:rFonts w:hint="eastAsia"/>
                <w:sz w:val="24"/>
                <w:szCs w:val="24"/>
                <w:highlight w:val="none"/>
              </w:rPr>
              <w:t>支持H.265高效压缩算法，可较大节省存储空间</w:t>
            </w:r>
          </w:p>
          <w:p w14:paraId="2753C886">
            <w:pPr>
              <w:bidi w:val="0"/>
              <w:rPr>
                <w:rFonts w:hint="eastAsia"/>
                <w:sz w:val="24"/>
                <w:szCs w:val="24"/>
                <w:highlight w:val="none"/>
              </w:rPr>
            </w:pPr>
            <w:r>
              <w:rPr>
                <w:rFonts w:hint="eastAsia"/>
                <w:sz w:val="24"/>
                <w:szCs w:val="24"/>
                <w:highlight w:val="none"/>
              </w:rPr>
              <w:t>支持红外补光距离不小于40米</w:t>
            </w:r>
          </w:p>
          <w:p w14:paraId="240B8A83">
            <w:pPr>
              <w:bidi w:val="0"/>
              <w:rPr>
                <w:rFonts w:hint="eastAsia"/>
                <w:sz w:val="24"/>
                <w:szCs w:val="24"/>
                <w:highlight w:val="none"/>
              </w:rPr>
            </w:pPr>
            <w:r>
              <w:rPr>
                <w:rFonts w:hint="eastAsia"/>
                <w:sz w:val="24"/>
                <w:szCs w:val="24"/>
                <w:highlight w:val="none"/>
              </w:rPr>
              <w:t>支持区域入侵侦测、越界侦测、移动侦测等智能侦测功能</w:t>
            </w:r>
          </w:p>
          <w:p w14:paraId="66F97098">
            <w:pPr>
              <w:bidi w:val="0"/>
              <w:rPr>
                <w:rFonts w:hint="eastAsia"/>
                <w:sz w:val="24"/>
                <w:szCs w:val="24"/>
                <w:highlight w:val="none"/>
              </w:rPr>
            </w:pPr>
            <w:r>
              <w:rPr>
                <w:rFonts w:hint="eastAsia"/>
                <w:sz w:val="24"/>
                <w:szCs w:val="24"/>
                <w:highlight w:val="none"/>
              </w:rPr>
              <w:t>支持宽动态，适合逆光环境监控</w:t>
            </w:r>
          </w:p>
          <w:p w14:paraId="181F272D">
            <w:pPr>
              <w:bidi w:val="0"/>
              <w:rPr>
                <w:rFonts w:hint="eastAsia"/>
                <w:sz w:val="24"/>
                <w:szCs w:val="24"/>
                <w:highlight w:val="none"/>
              </w:rPr>
            </w:pPr>
            <w:r>
              <w:rPr>
                <w:rFonts w:hint="eastAsia"/>
                <w:sz w:val="24"/>
                <w:szCs w:val="24"/>
                <w:highlight w:val="none"/>
              </w:rPr>
              <w:t>支持 POE+（802.3at）供电</w:t>
            </w:r>
          </w:p>
          <w:p w14:paraId="67BD3402">
            <w:pPr>
              <w:bidi w:val="0"/>
              <w:rPr>
                <w:rFonts w:hint="eastAsia"/>
                <w:sz w:val="24"/>
                <w:szCs w:val="24"/>
                <w:highlight w:val="none"/>
              </w:rPr>
            </w:pPr>
            <w:r>
              <w:rPr>
                <w:rFonts w:hint="eastAsia"/>
                <w:sz w:val="24"/>
                <w:szCs w:val="24"/>
                <w:highlight w:val="none"/>
              </w:rPr>
              <w:t>内置麦克风和扬声器</w:t>
            </w:r>
          </w:p>
          <w:p w14:paraId="4CE02533">
            <w:pPr>
              <w:bidi w:val="0"/>
              <w:rPr>
                <w:rFonts w:hint="eastAsia"/>
                <w:sz w:val="24"/>
                <w:szCs w:val="24"/>
                <w:highlight w:val="none"/>
              </w:rPr>
            </w:pPr>
            <w:r>
              <w:rPr>
                <w:rFonts w:hint="eastAsia"/>
                <w:sz w:val="24"/>
                <w:szCs w:val="24"/>
                <w:highlight w:val="none"/>
              </w:rPr>
              <w:t>支持1路音频输入、1路音频输出</w:t>
            </w:r>
          </w:p>
          <w:p w14:paraId="2AF1DCC7">
            <w:pPr>
              <w:bidi w:val="0"/>
              <w:rPr>
                <w:rFonts w:hint="eastAsia"/>
                <w:sz w:val="24"/>
                <w:szCs w:val="24"/>
                <w:highlight w:val="none"/>
              </w:rPr>
            </w:pPr>
            <w:r>
              <w:rPr>
                <w:rFonts w:hint="eastAsia"/>
                <w:sz w:val="24"/>
                <w:szCs w:val="24"/>
                <w:highlight w:val="none"/>
              </w:rPr>
              <w:t>支持IK10防暴等级</w:t>
            </w:r>
          </w:p>
          <w:p w14:paraId="26478837">
            <w:pPr>
              <w:bidi w:val="0"/>
              <w:rPr>
                <w:rFonts w:hint="eastAsia"/>
                <w:sz w:val="24"/>
                <w:szCs w:val="24"/>
                <w:highlight w:val="none"/>
              </w:rPr>
            </w:pPr>
            <w:r>
              <w:rPr>
                <w:rFonts w:hint="eastAsia"/>
                <w:sz w:val="24"/>
                <w:szCs w:val="24"/>
                <w:highlight w:val="none"/>
              </w:rPr>
              <w:t>防雷、防浪涌、防突波，IP66防护等级</w:t>
            </w:r>
          </w:p>
          <w:p w14:paraId="0991E16D">
            <w:pPr>
              <w:bidi w:val="0"/>
              <w:rPr>
                <w:rFonts w:hint="eastAsia"/>
                <w:sz w:val="24"/>
                <w:szCs w:val="24"/>
                <w:highlight w:val="none"/>
              </w:rPr>
            </w:pPr>
            <w:r>
              <w:rPr>
                <w:rFonts w:hint="eastAsia"/>
                <w:sz w:val="24"/>
                <w:szCs w:val="24"/>
                <w:highlight w:val="none"/>
              </w:rPr>
              <w:t>包含：安装支架源。</w:t>
            </w:r>
          </w:p>
          <w:p w14:paraId="238298AC">
            <w:pPr>
              <w:bidi w:val="0"/>
              <w:rPr>
                <w:rFonts w:hint="eastAsia"/>
                <w:sz w:val="24"/>
                <w:szCs w:val="24"/>
                <w:highlight w:val="none"/>
              </w:rPr>
            </w:pPr>
            <w:r>
              <w:rPr>
                <w:rFonts w:hint="eastAsia"/>
                <w:sz w:val="24"/>
                <w:szCs w:val="24"/>
                <w:highlight w:val="none"/>
              </w:rPr>
              <w:t>用于对场所监控</w:t>
            </w:r>
          </w:p>
        </w:tc>
        <w:tc>
          <w:tcPr>
            <w:tcW w:w="765" w:type="dxa"/>
            <w:noWrap w:val="0"/>
            <w:vAlign w:val="center"/>
          </w:tcPr>
          <w:p w14:paraId="67967601">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10F44B8A">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1004038A">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2867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365EB53B">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8.2</w:t>
            </w:r>
          </w:p>
        </w:tc>
        <w:tc>
          <w:tcPr>
            <w:tcW w:w="820" w:type="dxa"/>
            <w:noWrap w:val="0"/>
            <w:vAlign w:val="center"/>
          </w:tcPr>
          <w:p w14:paraId="00A747AA">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报警按钮</w:t>
            </w:r>
          </w:p>
        </w:tc>
        <w:tc>
          <w:tcPr>
            <w:tcW w:w="6063" w:type="dxa"/>
            <w:noWrap w:val="0"/>
            <w:vAlign w:val="center"/>
          </w:tcPr>
          <w:p w14:paraId="22969511">
            <w:pPr>
              <w:bidi w:val="0"/>
              <w:rPr>
                <w:rFonts w:hint="eastAsia"/>
                <w:sz w:val="24"/>
                <w:szCs w:val="24"/>
                <w:highlight w:val="none"/>
              </w:rPr>
            </w:pPr>
            <w:r>
              <w:rPr>
                <w:rFonts w:hint="eastAsia"/>
                <w:sz w:val="24"/>
                <w:szCs w:val="24"/>
                <w:highlight w:val="none"/>
              </w:rPr>
              <w:t>紧急按钮，采用ABS材质，性能稳定，经久耐用，操作安装简单，实用性强。</w:t>
            </w:r>
          </w:p>
          <w:p w14:paraId="18F4ABFA">
            <w:pPr>
              <w:bidi w:val="0"/>
              <w:rPr>
                <w:rFonts w:hint="eastAsia"/>
                <w:sz w:val="24"/>
                <w:szCs w:val="24"/>
                <w:highlight w:val="none"/>
              </w:rPr>
            </w:pPr>
            <w:r>
              <w:rPr>
                <w:rFonts w:hint="eastAsia"/>
                <w:sz w:val="24"/>
                <w:szCs w:val="24"/>
                <w:highlight w:val="none"/>
              </w:rPr>
              <w:t>外壳材料：ABS</w:t>
            </w:r>
          </w:p>
          <w:p w14:paraId="7C62AF63">
            <w:pPr>
              <w:bidi w:val="0"/>
              <w:rPr>
                <w:rFonts w:hint="eastAsia"/>
                <w:sz w:val="24"/>
                <w:szCs w:val="24"/>
                <w:highlight w:val="none"/>
              </w:rPr>
            </w:pPr>
            <w:r>
              <w:rPr>
                <w:rFonts w:hint="eastAsia"/>
                <w:sz w:val="24"/>
                <w:szCs w:val="24"/>
                <w:highlight w:val="none"/>
              </w:rPr>
              <w:t>工作电压（V/DC)：≤250</w:t>
            </w:r>
          </w:p>
          <w:p w14:paraId="1141F7CD">
            <w:pPr>
              <w:bidi w:val="0"/>
              <w:rPr>
                <w:rFonts w:hint="eastAsia"/>
                <w:sz w:val="24"/>
                <w:szCs w:val="24"/>
                <w:highlight w:val="none"/>
              </w:rPr>
            </w:pPr>
            <w:r>
              <w:rPr>
                <w:rFonts w:hint="eastAsia"/>
                <w:sz w:val="24"/>
                <w:szCs w:val="24"/>
                <w:highlight w:val="none"/>
              </w:rPr>
              <w:t>工作电流(mA)：≤300</w:t>
            </w:r>
          </w:p>
          <w:p w14:paraId="21D156BC">
            <w:pPr>
              <w:bidi w:val="0"/>
              <w:rPr>
                <w:rFonts w:hint="eastAsia"/>
                <w:sz w:val="24"/>
                <w:szCs w:val="24"/>
                <w:highlight w:val="none"/>
              </w:rPr>
            </w:pPr>
            <w:r>
              <w:rPr>
                <w:rFonts w:hint="eastAsia"/>
                <w:sz w:val="24"/>
                <w:szCs w:val="24"/>
                <w:highlight w:val="none"/>
              </w:rPr>
              <w:t>触点模式(NC\NO)：常开/常闭</w:t>
            </w:r>
          </w:p>
          <w:p w14:paraId="659F0B72">
            <w:pPr>
              <w:bidi w:val="0"/>
              <w:rPr>
                <w:rFonts w:hint="eastAsia"/>
                <w:sz w:val="24"/>
                <w:szCs w:val="24"/>
                <w:highlight w:val="none"/>
              </w:rPr>
            </w:pPr>
            <w:r>
              <w:rPr>
                <w:rFonts w:hint="eastAsia"/>
                <w:sz w:val="24"/>
                <w:szCs w:val="24"/>
                <w:highlight w:val="none"/>
              </w:rPr>
              <w:t>用作突发情况上报监控指挥室</w:t>
            </w:r>
          </w:p>
        </w:tc>
        <w:tc>
          <w:tcPr>
            <w:tcW w:w="765" w:type="dxa"/>
            <w:noWrap w:val="0"/>
            <w:vAlign w:val="center"/>
          </w:tcPr>
          <w:p w14:paraId="2B1A4AD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5CFFEC6F">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2E702B03">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选配</w:t>
            </w:r>
          </w:p>
        </w:tc>
      </w:tr>
      <w:tr w14:paraId="1C03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65" w:type="dxa"/>
            <w:gridSpan w:val="6"/>
            <w:noWrap w:val="0"/>
            <w:vAlign w:val="center"/>
          </w:tcPr>
          <w:p w14:paraId="727F337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九、机房设备系统</w:t>
            </w:r>
          </w:p>
        </w:tc>
      </w:tr>
      <w:tr w14:paraId="51C6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6D37145E">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7A40DC81">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2D80F5AE">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6F04801C">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5506F95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1F911413">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484B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61D13AF5">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9.1</w:t>
            </w:r>
          </w:p>
        </w:tc>
        <w:tc>
          <w:tcPr>
            <w:tcW w:w="820" w:type="dxa"/>
            <w:noWrap w:val="0"/>
            <w:vAlign w:val="center"/>
          </w:tcPr>
          <w:p w14:paraId="1BFAA966">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智慧社区矫正指挥综合管理服务软件（服务端）</w:t>
            </w:r>
          </w:p>
        </w:tc>
        <w:tc>
          <w:tcPr>
            <w:tcW w:w="6063" w:type="dxa"/>
            <w:noWrap w:val="0"/>
            <w:vAlign w:val="center"/>
          </w:tcPr>
          <w:p w14:paraId="4CF7791F">
            <w:pPr>
              <w:bidi w:val="0"/>
              <w:rPr>
                <w:rFonts w:hint="eastAsia"/>
                <w:sz w:val="24"/>
                <w:szCs w:val="24"/>
                <w:highlight w:val="none"/>
              </w:rPr>
            </w:pPr>
            <w:r>
              <w:rPr>
                <w:rFonts w:hint="eastAsia"/>
                <w:sz w:val="24"/>
                <w:szCs w:val="24"/>
                <w:highlight w:val="none"/>
              </w:rPr>
              <w:t>1.性能指标</w:t>
            </w:r>
          </w:p>
          <w:p w14:paraId="0E490BF9">
            <w:pPr>
              <w:bidi w:val="0"/>
              <w:rPr>
                <w:rFonts w:hint="eastAsia"/>
                <w:sz w:val="24"/>
                <w:szCs w:val="24"/>
                <w:highlight w:val="none"/>
              </w:rPr>
            </w:pPr>
            <w:r>
              <w:rPr>
                <w:rFonts w:hint="eastAsia"/>
                <w:sz w:val="24"/>
                <w:szCs w:val="24"/>
                <w:highlight w:val="none"/>
              </w:rPr>
              <w:t>1)采用软硬分离，具备独立组网指挥管理能力，能在通用服务器或虚拟化环境部署；2)具备视频点播、视频监控、视频会议、视频指挥、智能导播、信令调度、媒体交换等调度管理能力；</w:t>
            </w:r>
          </w:p>
          <w:p w14:paraId="7C972889">
            <w:pPr>
              <w:bidi w:val="0"/>
              <w:rPr>
                <w:rFonts w:hint="eastAsia"/>
                <w:sz w:val="24"/>
                <w:szCs w:val="24"/>
                <w:highlight w:val="none"/>
              </w:rPr>
            </w:pPr>
            <w:r>
              <w:rPr>
                <w:rFonts w:hint="eastAsia"/>
                <w:sz w:val="24"/>
                <w:szCs w:val="24"/>
                <w:highlight w:val="none"/>
              </w:rPr>
              <w:t>3)具备对音视频转发服务软件、录时录像服务软件的统一管理、均衡调度能力；4)具备对用户登录请求进行响应并鉴权能力；5)具备对用户、设备、电话等资源统一管理能力；</w:t>
            </w:r>
          </w:p>
          <w:p w14:paraId="5CEE5962">
            <w:pPr>
              <w:bidi w:val="0"/>
              <w:rPr>
                <w:rFonts w:hint="eastAsia"/>
                <w:sz w:val="24"/>
                <w:szCs w:val="24"/>
                <w:highlight w:val="none"/>
              </w:rPr>
            </w:pPr>
            <w:r>
              <w:rPr>
                <w:rFonts w:hint="eastAsia"/>
                <w:sz w:val="24"/>
                <w:szCs w:val="24"/>
                <w:highlight w:val="none"/>
              </w:rPr>
              <w:t>6)具备编解码设备的双注册管理能力；7)具备音视频和业务数据深度融合的接收与分发能力，提供单播、组播两种分发模式；8)具备端口复用能力，使用精简可控的端口完成数据通信；</w:t>
            </w:r>
          </w:p>
          <w:p w14:paraId="65A40306">
            <w:pPr>
              <w:bidi w:val="0"/>
              <w:rPr>
                <w:rFonts w:hint="eastAsia"/>
                <w:sz w:val="24"/>
                <w:szCs w:val="24"/>
                <w:highlight w:val="none"/>
              </w:rPr>
            </w:pPr>
            <w:r>
              <w:rPr>
                <w:rFonts w:hint="eastAsia"/>
                <w:sz w:val="24"/>
                <w:szCs w:val="24"/>
                <w:highlight w:val="none"/>
              </w:rPr>
              <w:t>9)具备热备能力；10)支持横向与公检法司数据协同、纵向与市级及省厅级社区矫正省局指挥平台无缝对接；11)具备接入主流厂家的标准SIP、ONVIF、GB28181协议监控设备；</w:t>
            </w:r>
          </w:p>
          <w:p w14:paraId="0239A219">
            <w:pPr>
              <w:bidi w:val="0"/>
              <w:rPr>
                <w:rFonts w:hint="eastAsia"/>
                <w:sz w:val="24"/>
                <w:szCs w:val="24"/>
                <w:highlight w:val="none"/>
              </w:rPr>
            </w:pPr>
            <w:r>
              <w:rPr>
                <w:rFonts w:hint="eastAsia"/>
                <w:sz w:val="24"/>
                <w:szCs w:val="24"/>
                <w:highlight w:val="none"/>
              </w:rPr>
              <w:t>12)具备接入主流厂家的标准H.323、SIP协议电视电话会议终端；13）图像显示时延≤500ms；音唇同步误差≤0.5个字；云台控制时延≤100ms；解码器控制时延≤500ms；音频标准 AAC、G.711；视频标准 H.264、H.265；音频采样率 8KHz、16KHz、32KHz、44.1KHz；图像分辨率 QCIF、CIF、4CIF、720P、1080i、1080P、1920*1200；图像码流 256Kbps~8Mbps；图像帧数 25~60帧；支持主、子码流；支持端口复用；</w:t>
            </w:r>
          </w:p>
          <w:p w14:paraId="613A0905">
            <w:pPr>
              <w:bidi w:val="0"/>
              <w:rPr>
                <w:rFonts w:hint="eastAsia"/>
                <w:sz w:val="24"/>
                <w:szCs w:val="24"/>
                <w:highlight w:val="none"/>
              </w:rPr>
            </w:pPr>
            <w:r>
              <w:rPr>
                <w:rFonts w:hint="eastAsia"/>
                <w:sz w:val="24"/>
                <w:szCs w:val="24"/>
                <w:highlight w:val="none"/>
              </w:rPr>
              <w:t>14）具备丢包重传能力，信令与媒体支持在最大20%的丢包环境中可靠传输；15）具备用户权限管理，双向音视频通讯，电子白板等功能。应支持对用户组、用户及角色进行增、删、改操作，同时可以按不同用户级别、组级和具体的用户名分别进行操作权限的分配。应支持双向的音视频通讯功能。 应支持进行音视频通讯时可以共享电子白板，用户在进行操作时可以将白板共享给其他人进行查看；</w:t>
            </w:r>
          </w:p>
          <w:p w14:paraId="3989F366">
            <w:pPr>
              <w:bidi w:val="0"/>
              <w:rPr>
                <w:rFonts w:hint="eastAsia"/>
                <w:sz w:val="24"/>
                <w:szCs w:val="24"/>
                <w:highlight w:val="none"/>
              </w:rPr>
            </w:pPr>
            <w:r>
              <w:rPr>
                <w:rFonts w:hint="eastAsia"/>
                <w:sz w:val="24"/>
                <w:szCs w:val="24"/>
                <w:highlight w:val="none"/>
              </w:rPr>
              <w:t>16）具备树状级联管理、信令调度、数据同步等能力，纵向级联数：≥6级；17）具备端口复用能力，使用精简可控的端口完成数据通信；18）与指挥综合管理服务软件无缝对接信令互通、媒体互通，实现接入设备的数据采集，信息分级推送，报警联动分级推送功能，支持所有安防设备的报警数据采集，报警分级推送，报警联动分级推送，报警录像存储功能。实现不同报警统一数据采集、处理、联动服务，实现报警联动录像的集中存储及检索服务，实现报警数据及报警录像时段的存储服务，提供事后进行查询分析，并能根据预案进行各种报警处置；支持录像预录及自定义功能；19）接入视频会议（需视频会议厂家支持）、单兵等；20）支持在重大事件发生时向上级指挥中心实时推送事件详情和关联视频图片资料，支持对上级指挥中心进行事件提醒；21）支持与司法局、司法厅、司法部视频上传，支持矫情日报从司法所到矫正中心指挥中心再到司法厅指挥中心上传。</w:t>
            </w:r>
          </w:p>
          <w:p w14:paraId="1901CCD4">
            <w:pPr>
              <w:bidi w:val="0"/>
              <w:jc w:val="left"/>
              <w:rPr>
                <w:rFonts w:hint="eastAsia"/>
                <w:sz w:val="24"/>
                <w:szCs w:val="24"/>
                <w:highlight w:val="none"/>
              </w:rPr>
            </w:pPr>
            <w:r>
              <w:rPr>
                <w:rFonts w:hint="eastAsia"/>
                <w:sz w:val="24"/>
                <w:szCs w:val="24"/>
                <w:highlight w:val="none"/>
              </w:rPr>
              <w:t>2.功能指标                                                                                                                                                                                                                                                                                                                                           ★1）遵循司法部相关建设规范，实现矫正业务和督查指挥深度融合，支持接入矫情大数据平台，构建集社区矫正中心监控、司法所监控、移动 监控、电子定位监控、视频点名五位于一体，具备视频监控、 指挥调度、视频点名、工作督察、视频会商、预警预测、事件记录、工作记录等功能的智慧指挥调度中心。支持社区矫正指挥中心包括社区矫正值班督察、工作任务督察、远程视频巡查、要情上报反馈、各类异常报警等业务监管；（需提供截图证明并加盖厂商公章）；</w:t>
            </w:r>
          </w:p>
          <w:p w14:paraId="38634F57">
            <w:pPr>
              <w:bidi w:val="0"/>
              <w:rPr>
                <w:rFonts w:hint="eastAsia"/>
                <w:sz w:val="24"/>
                <w:szCs w:val="24"/>
                <w:highlight w:val="none"/>
              </w:rPr>
            </w:pPr>
            <w:r>
              <w:rPr>
                <w:rFonts w:hint="eastAsia"/>
                <w:sz w:val="24"/>
                <w:szCs w:val="24"/>
                <w:highlight w:val="none"/>
              </w:rPr>
              <w:t>★2）支持社区矫正包括对拟适用社区矫正的被告人（罪犯）调查评估，矫正对象接收报到、收监执行、居住地变更、禁止令执行、矫正期间再犯罪等异常报警处置等的工作调度。支持社区矫正包括对矫正对象群体性事件、自杀、在逃、脱管或漏管等突发事件的指挥处置应急指挥。支持与公安机关、法院、检察院、监狱、戒毒所、安置帮扶部门等根据协同机制进行协同指挥处置业务协同；（需提供截图证明并加盖厂商公章，国家相应计算机软件著作权登记证书并盖章）</w:t>
            </w:r>
          </w:p>
          <w:p w14:paraId="0A22804B">
            <w:pPr>
              <w:bidi w:val="0"/>
              <w:rPr>
                <w:rFonts w:hint="eastAsia"/>
                <w:sz w:val="24"/>
                <w:szCs w:val="24"/>
                <w:highlight w:val="none"/>
              </w:rPr>
            </w:pPr>
            <w:r>
              <w:rPr>
                <w:rFonts w:hint="eastAsia"/>
                <w:sz w:val="24"/>
                <w:szCs w:val="24"/>
                <w:highlight w:val="none"/>
              </w:rPr>
              <w:t>3）集监控、会议、指挥等多种功能于一体融合使用的远程督查指挥管理平台软件，具备一一体化音视频服务能力，实现应急处突指挥、会议、监控资源等无缝切换与互联互通，支持在指挥中同时遂行监控和并行会议，支持随意多点（一对一一对多）会议；系统采用集群技术、网格技术、分布式存储技术，以及动态负载均衡策略，灵活调度交换路由和存储路径，降低对网络中心节点的带宽依赖，构建高效能的云调度系统，突破了指挥调度的地理限制和功能限制，实现指挥员在任意地点、依托任意终端都可完成跨区越级的指挥调度。根据权限灵活任意终端任意地点伴随化实现固定场所指挥及移动指挥，满足智慧社区矫正的督查监管和应急处突等职能；</w:t>
            </w:r>
          </w:p>
          <w:p w14:paraId="44293BBD">
            <w:pPr>
              <w:bidi w:val="0"/>
              <w:rPr>
                <w:rFonts w:hint="eastAsia"/>
                <w:sz w:val="24"/>
                <w:szCs w:val="24"/>
                <w:highlight w:val="none"/>
              </w:rPr>
            </w:pPr>
            <w:r>
              <w:rPr>
                <w:rFonts w:hint="eastAsia"/>
                <w:sz w:val="24"/>
                <w:szCs w:val="24"/>
                <w:highlight w:val="none"/>
              </w:rPr>
              <w:t>4）软件系统纵向需与市级和省级社区矫正指挥平台和下级司法所指挥终端无缝对接，保持直连互通，信令互通、媒体互通，横向支持与同级公安司法检察院、法院等数据协同及可视化指挥协调；</w:t>
            </w:r>
          </w:p>
          <w:p w14:paraId="795EBE73">
            <w:pPr>
              <w:bidi w:val="0"/>
              <w:rPr>
                <w:rFonts w:hint="eastAsia"/>
                <w:sz w:val="24"/>
                <w:szCs w:val="24"/>
                <w:highlight w:val="none"/>
              </w:rPr>
            </w:pPr>
            <w:r>
              <w:rPr>
                <w:rFonts w:hint="eastAsia"/>
                <w:sz w:val="24"/>
                <w:szCs w:val="24"/>
                <w:highlight w:val="none"/>
              </w:rPr>
              <w:t>5）具备会议监控指挥中心及MCU服务功能，实现信令调度管理、编解码设备接入、用户管理、权限管理等基础功能，实现伴随化指挥调度、随意多点（一对一一对多）的视频会商、值班呼点、远程培训、技术巡检、自定义呼叫、值班备勤、远程督查、应急处突等业务功能。支持管理IP音视频解码终端、解码矩阵与指挥终端、导播终端之间的信息同步，管理多个IP音视频解码终端、解码矩阵之间的同步与订阅；</w:t>
            </w:r>
          </w:p>
          <w:p w14:paraId="2431D768">
            <w:pPr>
              <w:bidi w:val="0"/>
              <w:rPr>
                <w:rFonts w:hint="eastAsia"/>
                <w:sz w:val="24"/>
                <w:szCs w:val="24"/>
                <w:highlight w:val="none"/>
              </w:rPr>
            </w:pPr>
            <w:r>
              <w:rPr>
                <w:rFonts w:hint="eastAsia"/>
                <w:sz w:val="24"/>
                <w:szCs w:val="24"/>
                <w:highlight w:val="none"/>
              </w:rPr>
              <w:t>6）支持电子地图可视化一键调度、应急处突、远程督查等功能；7）支持业务数据和音视频深度智能融合，支持从实现将社区服刑人员入矫登记的人脸、身份证、指纹信息自动分发至对应的司法所，并通过人证对比设备对社区服刑人员进行智能点名、智能报到、智能学习、远程抽点；实现对社区服刑人员日常人证比对业务场景的动态数据展示，并可将比对结果直接上传至社区矫正信息管理系统。实时从社区矫正信息管理系统自动同步服刑人员的基础数据；实现对报到登记、到所报告、宣告、教育培训、心理矫正等重点监控视频的存档，实现从社区矫正信息管理系统对相关视频的点播；8）支持门禁、视频会议、人证比对、视频监控、大数据研判平台、矫正业务平台、及公检法司数据业务协同等相关接入与告警及异常业务流监管；支持通过社区矫正工作场所监控、司法所监控、移动执法车监控和移动执法终端监控等监控资源对正在发生事件的抓拍和抓录，生成事件记录；支持对社区矫正工作场所监控录像、司法所监控录像、移动执法终端和移动执法车录像资源的检索分析判断，手动关联或创建事件记录；支持对社区矫正工作过程中各类异常和违规事件的过程视频图片信息进行记录保存；支持对异常和违规事件进行事中实时抓拍抓录和事后视频图片资料关联生成事件记录；支持通过对社区矫正工作场所中的人脸图像进行动态识别分析生成事件记录并可关联人员出现前后的视频录像；支持通过对社区矫正工作场所中异常情况自动进行智能行为分析识别生成事件记录并可关联人员出现前后的视频录像；支持在重大事件发生时向上级指挥中心实时推送事件详情和关联视频图片资料，支持对上级指挥中心进行事件提醒。</w:t>
            </w:r>
          </w:p>
          <w:p w14:paraId="4608D63D">
            <w:pPr>
              <w:bidi w:val="0"/>
              <w:rPr>
                <w:rFonts w:hint="eastAsia"/>
                <w:sz w:val="24"/>
                <w:szCs w:val="24"/>
                <w:highlight w:val="none"/>
              </w:rPr>
            </w:pPr>
            <w:r>
              <w:rPr>
                <w:rFonts w:hint="eastAsia"/>
                <w:sz w:val="24"/>
                <w:szCs w:val="24"/>
                <w:highlight w:val="none"/>
              </w:rPr>
              <w:t>★该软件必须要与省厅平台对接，需提供软件开发商出纳的无缝对接声明函。</w:t>
            </w:r>
          </w:p>
        </w:tc>
        <w:tc>
          <w:tcPr>
            <w:tcW w:w="765" w:type="dxa"/>
            <w:noWrap w:val="0"/>
            <w:vAlign w:val="center"/>
          </w:tcPr>
          <w:p w14:paraId="20C95185">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24B97C16">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75F30E3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7903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96F0177">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9.2</w:t>
            </w:r>
          </w:p>
        </w:tc>
        <w:tc>
          <w:tcPr>
            <w:tcW w:w="820" w:type="dxa"/>
            <w:noWrap w:val="0"/>
            <w:vAlign w:val="center"/>
          </w:tcPr>
          <w:p w14:paraId="4FFD0680">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智慧社区矫正指挥综合管理矫情态势软件（服务端）</w:t>
            </w:r>
          </w:p>
        </w:tc>
        <w:tc>
          <w:tcPr>
            <w:tcW w:w="6063" w:type="dxa"/>
            <w:noWrap w:val="0"/>
            <w:vAlign w:val="center"/>
          </w:tcPr>
          <w:p w14:paraId="66A97576">
            <w:pPr>
              <w:bidi w:val="0"/>
              <w:rPr>
                <w:rFonts w:hint="eastAsia"/>
                <w:sz w:val="24"/>
                <w:szCs w:val="24"/>
                <w:highlight w:val="none"/>
              </w:rPr>
            </w:pPr>
            <w:r>
              <w:rPr>
                <w:rFonts w:hint="eastAsia"/>
                <w:sz w:val="24"/>
                <w:szCs w:val="24"/>
                <w:highlight w:val="none"/>
              </w:rPr>
              <w:t>★1、提供社区矫正中心、司法所每日矫正态势的概览，支持基于二维GIS地理信息技术，融合智慧矫正一体化大平台信息动态挂屏展示辖区社区矫正对象综合信息、业务开展情况、值班情况、预测预警情况、工作机构情况、矫正中心信息化建设情况的整体感知。（需提供截图证明并加盖厂商公章）</w:t>
            </w:r>
          </w:p>
          <w:p w14:paraId="49FA6718">
            <w:pPr>
              <w:bidi w:val="0"/>
              <w:rPr>
                <w:rFonts w:hint="eastAsia"/>
                <w:sz w:val="24"/>
                <w:szCs w:val="24"/>
                <w:highlight w:val="none"/>
              </w:rPr>
            </w:pPr>
            <w:r>
              <w:rPr>
                <w:rFonts w:hint="eastAsia"/>
                <w:sz w:val="24"/>
                <w:szCs w:val="24"/>
                <w:highlight w:val="none"/>
              </w:rPr>
              <w:t>★2、社区矫正对象综合信息包括：当日矫正人员流动情况、实时定位分布情况、矫正对象分级管制情况、矫正对象外出情况、矫正对象年龄分段情况、矫正对象禁止令执行情况、外来矫正对象情况、重点关注矫正对象情况等。（需提供截图证明并加盖厂商公章）</w:t>
            </w:r>
          </w:p>
          <w:p w14:paraId="3C330DFE">
            <w:pPr>
              <w:bidi w:val="0"/>
              <w:rPr>
                <w:rFonts w:hint="eastAsia"/>
                <w:sz w:val="24"/>
                <w:szCs w:val="24"/>
                <w:highlight w:val="none"/>
              </w:rPr>
            </w:pPr>
            <w:r>
              <w:rPr>
                <w:rFonts w:hint="eastAsia"/>
                <w:sz w:val="24"/>
                <w:szCs w:val="24"/>
                <w:highlight w:val="none"/>
              </w:rPr>
              <w:t>★3、社区矫正预测预警情况包括：实时报警情况、定位异常警告、视频监控报警、脱漏管预警、再犯罪预警、同案犯交叉预警等（需提供截图证明并加盖厂商公章）</w:t>
            </w:r>
          </w:p>
          <w:p w14:paraId="5DC7DE94">
            <w:pPr>
              <w:bidi w:val="0"/>
              <w:rPr>
                <w:rFonts w:hint="eastAsia"/>
                <w:sz w:val="24"/>
                <w:szCs w:val="24"/>
                <w:highlight w:val="none"/>
              </w:rPr>
            </w:pPr>
            <w:r>
              <w:rPr>
                <w:rFonts w:hint="eastAsia"/>
                <w:sz w:val="24"/>
                <w:szCs w:val="24"/>
                <w:highlight w:val="none"/>
              </w:rPr>
              <w:t>4、社区矫正值班情况包括：值班长、值班员、戒毒警员等。</w:t>
            </w:r>
          </w:p>
          <w:p w14:paraId="2AF1B7F0">
            <w:pPr>
              <w:bidi w:val="0"/>
              <w:rPr>
                <w:rFonts w:hint="eastAsia"/>
                <w:sz w:val="24"/>
                <w:szCs w:val="24"/>
                <w:highlight w:val="none"/>
              </w:rPr>
            </w:pPr>
            <w:r>
              <w:rPr>
                <w:rFonts w:hint="eastAsia"/>
                <w:sz w:val="24"/>
                <w:szCs w:val="24"/>
                <w:highlight w:val="none"/>
              </w:rPr>
              <w:t>5、社区矫正业务开展情况包括：当日教育学习、宣告、社区服务、训诫、适应性帮扶、心理矫正、调查评估情况、电子监管情况、警告情况、收监执行情况、脱管情况、再犯罪情况等。</w:t>
            </w:r>
          </w:p>
          <w:p w14:paraId="45638E4A">
            <w:pPr>
              <w:bidi w:val="0"/>
              <w:rPr>
                <w:rFonts w:hint="eastAsia"/>
                <w:sz w:val="24"/>
                <w:szCs w:val="24"/>
                <w:highlight w:val="none"/>
              </w:rPr>
            </w:pPr>
            <w:r>
              <w:rPr>
                <w:rFonts w:hint="eastAsia"/>
                <w:sz w:val="24"/>
                <w:szCs w:val="24"/>
                <w:highlight w:val="none"/>
              </w:rPr>
              <w:t>6、社区矫正工作机构情况：社区矫正建设情况、开展矫正小组情况、专职社区矫正工作人员情况、社区矫正用警情况、专职社区矫正社会工作者情况、社区矫正社会志愿者情况等。</w:t>
            </w:r>
          </w:p>
          <w:p w14:paraId="0E25BA0B">
            <w:pPr>
              <w:bidi w:val="0"/>
              <w:rPr>
                <w:rFonts w:hint="eastAsia"/>
                <w:sz w:val="24"/>
                <w:szCs w:val="24"/>
                <w:highlight w:val="none"/>
              </w:rPr>
            </w:pPr>
            <w:r>
              <w:rPr>
                <w:rFonts w:hint="eastAsia"/>
                <w:sz w:val="24"/>
                <w:szCs w:val="24"/>
                <w:highlight w:val="none"/>
              </w:rPr>
              <w:t>7、矫正中心信息化建设情况包括：矫正对象定位终端配比情况、移动执法终端配比情况、移动执法车配比情况、监控配比情况、人证比对设备配比情况等。</w:t>
            </w:r>
          </w:p>
          <w:p w14:paraId="3A0C40A6">
            <w:pPr>
              <w:bidi w:val="0"/>
              <w:rPr>
                <w:rFonts w:hint="eastAsia"/>
                <w:sz w:val="24"/>
                <w:szCs w:val="24"/>
                <w:highlight w:val="none"/>
              </w:rPr>
            </w:pPr>
            <w:r>
              <w:rPr>
                <w:rFonts w:hint="eastAsia"/>
                <w:sz w:val="24"/>
                <w:szCs w:val="24"/>
                <w:highlight w:val="none"/>
              </w:rPr>
              <w:t>8、系统可实现数据分析挖掘、可视化、数据采集清洗、分布式计算等功能。</w:t>
            </w:r>
          </w:p>
        </w:tc>
        <w:tc>
          <w:tcPr>
            <w:tcW w:w="765" w:type="dxa"/>
            <w:noWrap w:val="0"/>
            <w:vAlign w:val="center"/>
          </w:tcPr>
          <w:p w14:paraId="0A3E9B09">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4B362996">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053C34EA">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20B3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453090F7">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9.3</w:t>
            </w:r>
          </w:p>
        </w:tc>
        <w:tc>
          <w:tcPr>
            <w:tcW w:w="820" w:type="dxa"/>
            <w:noWrap w:val="0"/>
            <w:vAlign w:val="center"/>
          </w:tcPr>
          <w:p w14:paraId="0815802A">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智慧社区矫正指挥流媒体转发服务软件（服务端）</w:t>
            </w:r>
          </w:p>
        </w:tc>
        <w:tc>
          <w:tcPr>
            <w:tcW w:w="6063" w:type="dxa"/>
            <w:noWrap w:val="0"/>
            <w:vAlign w:val="center"/>
          </w:tcPr>
          <w:p w14:paraId="1A262D03">
            <w:pPr>
              <w:bidi w:val="0"/>
              <w:rPr>
                <w:rFonts w:hint="eastAsia"/>
                <w:sz w:val="24"/>
                <w:szCs w:val="24"/>
                <w:highlight w:val="none"/>
              </w:rPr>
            </w:pPr>
            <w:r>
              <w:rPr>
                <w:rFonts w:hint="eastAsia"/>
                <w:sz w:val="24"/>
                <w:szCs w:val="24"/>
                <w:highlight w:val="none"/>
              </w:rPr>
              <w:t>1、功能指标：实现音视频服务平台节点中的核心数据交换服务，支持流媒体的转发和分发；具备端口复用能力，使用精简可控的端口完成数据通信；具备接收综合管理服务软件统一管理、均衡调度；具备与督察指挥系统综合管理软件、接入报警等系统软件及督查指挥终端无缝对接及直连互通，信令互通、媒体互通；功能指标</w:t>
            </w:r>
          </w:p>
          <w:p w14:paraId="41883B33">
            <w:pPr>
              <w:bidi w:val="0"/>
              <w:rPr>
                <w:rFonts w:hint="eastAsia"/>
                <w:sz w:val="24"/>
                <w:szCs w:val="24"/>
                <w:highlight w:val="none"/>
              </w:rPr>
            </w:pPr>
            <w:r>
              <w:rPr>
                <w:rFonts w:hint="eastAsia"/>
                <w:sz w:val="24"/>
                <w:szCs w:val="24"/>
                <w:highlight w:val="none"/>
              </w:rPr>
              <w:t>1)采用软硬分离设计，具备在通用服务器或虚拟化环境部署；</w:t>
            </w:r>
          </w:p>
          <w:p w14:paraId="1DB0F1F4">
            <w:pPr>
              <w:bidi w:val="0"/>
              <w:rPr>
                <w:rFonts w:hint="eastAsia"/>
                <w:sz w:val="24"/>
                <w:szCs w:val="24"/>
                <w:highlight w:val="none"/>
              </w:rPr>
            </w:pPr>
            <w:r>
              <w:rPr>
                <w:rFonts w:hint="eastAsia"/>
                <w:sz w:val="24"/>
                <w:szCs w:val="24"/>
                <w:highlight w:val="none"/>
              </w:rPr>
              <w:t>2)具备音视频数据的接收与分发功能，提供单播、组播两种分发模式；</w:t>
            </w:r>
          </w:p>
          <w:p w14:paraId="56E46E92">
            <w:pPr>
              <w:bidi w:val="0"/>
              <w:rPr>
                <w:rFonts w:hint="eastAsia"/>
                <w:sz w:val="24"/>
                <w:szCs w:val="24"/>
                <w:highlight w:val="none"/>
              </w:rPr>
            </w:pPr>
            <w:r>
              <w:rPr>
                <w:rFonts w:hint="eastAsia"/>
                <w:sz w:val="24"/>
                <w:szCs w:val="24"/>
                <w:highlight w:val="none"/>
              </w:rPr>
              <w:t>3)具备端口复用能力，使用精简可控的端口完成数据通信；</w:t>
            </w:r>
          </w:p>
          <w:p w14:paraId="2A138E93">
            <w:pPr>
              <w:bidi w:val="0"/>
              <w:rPr>
                <w:rFonts w:hint="eastAsia"/>
                <w:sz w:val="24"/>
                <w:szCs w:val="24"/>
                <w:highlight w:val="none"/>
              </w:rPr>
            </w:pPr>
            <w:r>
              <w:rPr>
                <w:rFonts w:hint="eastAsia"/>
                <w:sz w:val="24"/>
                <w:szCs w:val="24"/>
                <w:highlight w:val="none"/>
              </w:rPr>
              <w:t>4)具备接收综合管理服务软件统一管理、均衡调度；</w:t>
            </w:r>
          </w:p>
          <w:p w14:paraId="15D5D1D8">
            <w:pPr>
              <w:bidi w:val="0"/>
              <w:rPr>
                <w:rFonts w:hint="eastAsia"/>
                <w:sz w:val="24"/>
                <w:szCs w:val="24"/>
                <w:highlight w:val="none"/>
              </w:rPr>
            </w:pPr>
            <w:r>
              <w:rPr>
                <w:rFonts w:hint="eastAsia"/>
                <w:sz w:val="24"/>
                <w:szCs w:val="24"/>
                <w:highlight w:val="none"/>
              </w:rPr>
              <w:t>2、性能指标</w:t>
            </w:r>
          </w:p>
          <w:p w14:paraId="639EF999">
            <w:pPr>
              <w:bidi w:val="0"/>
              <w:rPr>
                <w:rFonts w:hint="eastAsia"/>
                <w:sz w:val="24"/>
                <w:szCs w:val="24"/>
                <w:highlight w:val="none"/>
              </w:rPr>
            </w:pPr>
            <w:r>
              <w:rPr>
                <w:rFonts w:hint="eastAsia"/>
                <w:sz w:val="24"/>
                <w:szCs w:val="24"/>
                <w:highlight w:val="none"/>
              </w:rPr>
              <w:t>1)视频格式支持H.264、H.265；音频格式支持G.711、AAC；</w:t>
            </w:r>
          </w:p>
          <w:p w14:paraId="38361F66">
            <w:pPr>
              <w:bidi w:val="0"/>
              <w:rPr>
                <w:rFonts w:hint="eastAsia"/>
                <w:sz w:val="24"/>
                <w:szCs w:val="24"/>
                <w:highlight w:val="none"/>
              </w:rPr>
            </w:pPr>
            <w:r>
              <w:rPr>
                <w:rFonts w:hint="eastAsia"/>
                <w:sz w:val="24"/>
                <w:szCs w:val="24"/>
                <w:highlight w:val="none"/>
              </w:rPr>
              <w:t>2）具备丢包重传、流量整形能力，信令与媒体支持在最大20%的丢包环境中可靠传输；</w:t>
            </w:r>
          </w:p>
        </w:tc>
        <w:tc>
          <w:tcPr>
            <w:tcW w:w="765" w:type="dxa"/>
            <w:noWrap w:val="0"/>
            <w:vAlign w:val="center"/>
          </w:tcPr>
          <w:p w14:paraId="68055F59">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7CD9B705">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5EC4B01C">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6C55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BCB78F4">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9.4</w:t>
            </w:r>
          </w:p>
        </w:tc>
        <w:tc>
          <w:tcPr>
            <w:tcW w:w="820" w:type="dxa"/>
            <w:noWrap w:val="0"/>
            <w:vAlign w:val="center"/>
          </w:tcPr>
          <w:p w14:paraId="73B1CCF2">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智慧社区矫正指挥管理重点视频服务软件（服务端）</w:t>
            </w:r>
          </w:p>
        </w:tc>
        <w:tc>
          <w:tcPr>
            <w:tcW w:w="6063" w:type="dxa"/>
            <w:noWrap w:val="0"/>
            <w:vAlign w:val="center"/>
          </w:tcPr>
          <w:p w14:paraId="667BDD6E">
            <w:pPr>
              <w:bidi w:val="0"/>
              <w:rPr>
                <w:rFonts w:hint="eastAsia"/>
                <w:sz w:val="24"/>
                <w:szCs w:val="24"/>
                <w:highlight w:val="none"/>
              </w:rPr>
            </w:pPr>
            <w:r>
              <w:rPr>
                <w:rFonts w:hint="eastAsia"/>
                <w:sz w:val="24"/>
                <w:szCs w:val="24"/>
                <w:highlight w:val="none"/>
              </w:rPr>
              <w:t>1、性能指标：重点视频服务是音视频服务平台服务节点的扩展服务，主要实现流媒体录像、流媒体流化回放、存储空间管理等功能；支持强制录像、计划自动录像和手动临时录像；支持多种查询检索方式，录像媒体文件可流化回放与VOD回放；支持与接入报警服务软件和远程督查综合管理服务软件支持磁盘、RAID、IPSAN等各类存储设备，可实现大容量的流媒体录像与存储；视频编码格式支持H.264、H.265；音频支持G.711、AAC；</w:t>
            </w:r>
          </w:p>
          <w:p w14:paraId="220DF70C">
            <w:pPr>
              <w:bidi w:val="0"/>
              <w:rPr>
                <w:rFonts w:hint="eastAsia"/>
                <w:sz w:val="24"/>
                <w:szCs w:val="24"/>
                <w:highlight w:val="none"/>
              </w:rPr>
            </w:pPr>
            <w:r>
              <w:rPr>
                <w:rFonts w:hint="eastAsia"/>
                <w:sz w:val="24"/>
                <w:szCs w:val="24"/>
                <w:highlight w:val="none"/>
              </w:rPr>
              <w:t xml:space="preserve">2、功能指标：                                                                                                                                                       </w:t>
            </w:r>
          </w:p>
          <w:p w14:paraId="1880B308">
            <w:pPr>
              <w:bidi w:val="0"/>
              <w:rPr>
                <w:rFonts w:hint="eastAsia"/>
                <w:sz w:val="24"/>
                <w:szCs w:val="24"/>
                <w:highlight w:val="none"/>
              </w:rPr>
            </w:pPr>
            <w:r>
              <w:rPr>
                <w:rFonts w:hint="eastAsia"/>
                <w:sz w:val="24"/>
                <w:szCs w:val="24"/>
                <w:highlight w:val="none"/>
              </w:rPr>
              <w:t>★1）支持对矫正督察档案查看包括按照事件ID、事件类型、事件类型详细分类、事件发生单位名称、事件发生单位编码、事件等级、数据产生方式、开始时间、记录人姓名、结束时间、记录人所在单位进行督察事件查询督查记录，同时支持查看督察抓拍图片和抓录视频；矫正督察档案的补录以及关联相关视频图片材料查询督查记录（需提供截图证明并加盖厂商公章、国家相应计算机软件著作权登记证书并盖章）；</w:t>
            </w:r>
          </w:p>
          <w:p w14:paraId="7D9B271C">
            <w:pPr>
              <w:bidi w:val="0"/>
              <w:rPr>
                <w:rFonts w:hint="eastAsia"/>
                <w:sz w:val="24"/>
                <w:szCs w:val="24"/>
                <w:highlight w:val="none"/>
              </w:rPr>
            </w:pPr>
            <w:r>
              <w:rPr>
                <w:rFonts w:hint="eastAsia"/>
                <w:sz w:val="24"/>
                <w:szCs w:val="24"/>
                <w:highlight w:val="none"/>
              </w:rPr>
              <w:t>2）支持对矫正工作活动档案的查看督查记录，包括对社区矫正对象和社区矫正工作人员报到、矫正宣告、训诫、集中教育、个别教育人证比对结果实时/历史查看和统计，对报到、矫正宣告、训诫、集中教育、个别教育过程视频的实时/历史查看和统计；对社区矫正对象和社区矫正工作人员社区服务签到（签出）结果和社区服务过程视频的查看和统计；矫正工作活动记录的补录以及关联相关视频图片材料；根据职能级别按照城市、社区矫正机构名称、司法所名称、人员编号、人员姓名、矫正活动类型、矫正机构编码、记录库ID、记录起始时间、数据产生方式、记录员ID进行矫正工作记录查询和关联录像图片等进行查看；</w:t>
            </w:r>
          </w:p>
          <w:p w14:paraId="0E89F577">
            <w:pPr>
              <w:bidi w:val="0"/>
              <w:rPr>
                <w:rFonts w:hint="eastAsia"/>
                <w:sz w:val="24"/>
                <w:szCs w:val="24"/>
                <w:highlight w:val="none"/>
              </w:rPr>
            </w:pPr>
            <w:r>
              <w:rPr>
                <w:rFonts w:hint="eastAsia"/>
                <w:sz w:val="24"/>
                <w:szCs w:val="24"/>
                <w:highlight w:val="none"/>
              </w:rPr>
              <w:t>3）支持时空轨迹档案包括支持按照市、县、乡、社区矫正对象姓名、管制等级、是否成年、是否重点关注、定位类型、开始时间、结束时间对社区矫正对象进行轨迹查询，基于人脸识别轨迹的可查看抓拍图片；支持通过对社区矫正对象定位监管数据的统计分析，分析其经常活动区域和场所；支持通过对同类犯定位交叉分析，结合禁止令执行相关规定进行预测预警和风险防范；</w:t>
            </w:r>
          </w:p>
          <w:p w14:paraId="12EA638F">
            <w:pPr>
              <w:bidi w:val="0"/>
              <w:rPr>
                <w:rFonts w:hint="eastAsia"/>
                <w:sz w:val="24"/>
                <w:szCs w:val="24"/>
                <w:highlight w:val="none"/>
              </w:rPr>
            </w:pPr>
            <w:r>
              <w:rPr>
                <w:rFonts w:hint="eastAsia"/>
                <w:sz w:val="24"/>
                <w:szCs w:val="24"/>
                <w:highlight w:val="none"/>
              </w:rPr>
              <w:t>4）支持矫正事件档案包含支持在事件发生时通过对社区矫正工作场所监控、司法所监控、移动执法车监控和移动执法终端监控等视频资源的人工实时抓拍抓录和事后事件录像关联对事件发生全过程音视频信息进行证据保全。支持通过人脸识别分析动态识别矫正工作场所人员，自动保全人员出现时的抓拍图片和出现前后监控视频录像。支持通过智能行为分析自动分析识别矫正工作场所异常情况，对异常状况进行预警提示，同时自动进行异常情况的事件记录并关联智能分析图片和事件前后监控视频录像等查看。</w:t>
            </w:r>
          </w:p>
        </w:tc>
        <w:tc>
          <w:tcPr>
            <w:tcW w:w="765" w:type="dxa"/>
            <w:noWrap w:val="0"/>
            <w:vAlign w:val="center"/>
          </w:tcPr>
          <w:p w14:paraId="61F31CD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5E65087D">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319E08B6">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7195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1D65B966">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9.5</w:t>
            </w:r>
          </w:p>
        </w:tc>
        <w:tc>
          <w:tcPr>
            <w:tcW w:w="820" w:type="dxa"/>
            <w:noWrap w:val="0"/>
            <w:vAlign w:val="center"/>
          </w:tcPr>
          <w:p w14:paraId="332AF167">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智慧社区矫正指挥管理流媒体转发服务器</w:t>
            </w:r>
          </w:p>
        </w:tc>
        <w:tc>
          <w:tcPr>
            <w:tcW w:w="6063" w:type="dxa"/>
            <w:noWrap w:val="0"/>
            <w:vAlign w:val="center"/>
          </w:tcPr>
          <w:p w14:paraId="366F37C4">
            <w:pPr>
              <w:bidi w:val="0"/>
              <w:rPr>
                <w:rFonts w:hint="eastAsia"/>
                <w:sz w:val="24"/>
                <w:szCs w:val="24"/>
                <w:highlight w:val="none"/>
              </w:rPr>
            </w:pPr>
            <w:r>
              <w:rPr>
                <w:rFonts w:hint="eastAsia"/>
                <w:sz w:val="24"/>
                <w:szCs w:val="24"/>
                <w:highlight w:val="none"/>
              </w:rPr>
              <w:t>2U机架式服务器；2颗12核处理器(含散热器）；8条DDR4 Registered DIMM 16GB;可支持24个内存插槽；标配2*GE+2*10GE网口以太网卡；Raid5卡；5块900G 10K  2.5 SAS硬盘，可支持配置8块2.5inch托架的SATA/SAS硬盘；可使用PCIE raiser卡扩展插槽；N+1个冗余系统风扇；4个USB（前面2个，后面2个）；集成BMC管理模块，对外提供1个10/100Mbps RJ45管理网口；2个550W交流冗余电源；USB DVD；配备导轨；</w:t>
            </w:r>
          </w:p>
        </w:tc>
        <w:tc>
          <w:tcPr>
            <w:tcW w:w="765" w:type="dxa"/>
            <w:noWrap w:val="0"/>
            <w:vAlign w:val="center"/>
          </w:tcPr>
          <w:p w14:paraId="13A700F1">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台</w:t>
            </w:r>
          </w:p>
        </w:tc>
        <w:tc>
          <w:tcPr>
            <w:tcW w:w="747" w:type="dxa"/>
            <w:noWrap w:val="0"/>
            <w:vAlign w:val="center"/>
          </w:tcPr>
          <w:p w14:paraId="4380CE24">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3</w:t>
            </w:r>
          </w:p>
        </w:tc>
        <w:tc>
          <w:tcPr>
            <w:tcW w:w="757" w:type="dxa"/>
            <w:noWrap w:val="0"/>
            <w:vAlign w:val="center"/>
          </w:tcPr>
          <w:p w14:paraId="02527C5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2109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05C94F6E">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9.6</w:t>
            </w:r>
          </w:p>
        </w:tc>
        <w:tc>
          <w:tcPr>
            <w:tcW w:w="820" w:type="dxa"/>
            <w:noWrap w:val="0"/>
            <w:vAlign w:val="center"/>
          </w:tcPr>
          <w:p w14:paraId="085DE877">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社区矫正心理矫治系统</w:t>
            </w:r>
          </w:p>
        </w:tc>
        <w:tc>
          <w:tcPr>
            <w:tcW w:w="6063" w:type="dxa"/>
            <w:noWrap w:val="0"/>
            <w:vAlign w:val="center"/>
          </w:tcPr>
          <w:p w14:paraId="412765B1">
            <w:pPr>
              <w:bidi w:val="0"/>
              <w:rPr>
                <w:rFonts w:hint="eastAsia"/>
                <w:sz w:val="24"/>
                <w:szCs w:val="24"/>
                <w:highlight w:val="none"/>
              </w:rPr>
            </w:pPr>
            <w:r>
              <w:rPr>
                <w:rFonts w:hint="eastAsia"/>
                <w:sz w:val="24"/>
                <w:szCs w:val="24"/>
                <w:highlight w:val="none"/>
              </w:rPr>
              <w:t>用于开展社区矫正对象心理矫治工作应配备的测评软件、沙盘等设备。从心理学角度出发，为单位打造集心理测试、危机评估干预、在线心理咨询、科研数据分析于一体的信息化心理健康网站，系统后台包含用户信息管理、量表信息管理、测试方案管理、测试数据管理、危机评估干预、心理咨询管理、科研数据管理、网站信息管理、系统安全设置九大模块功能，各个模块环环相扣，紧密联系，旨在提供专业实用、功能齐全、操作便捷的心理测评产品，协助完成心理健康测查分析与管理工作，快速预警筛查，同时充分利用校内外相关资源，全方位维护用户的心理健康。</w:t>
            </w:r>
          </w:p>
        </w:tc>
        <w:tc>
          <w:tcPr>
            <w:tcW w:w="765" w:type="dxa"/>
            <w:noWrap w:val="0"/>
            <w:vAlign w:val="center"/>
          </w:tcPr>
          <w:p w14:paraId="10910995">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6E530C61">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223B3DE9">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28FF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43B8F949">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9.7</w:t>
            </w:r>
          </w:p>
        </w:tc>
        <w:tc>
          <w:tcPr>
            <w:tcW w:w="820" w:type="dxa"/>
            <w:noWrap w:val="0"/>
            <w:vAlign w:val="center"/>
          </w:tcPr>
          <w:p w14:paraId="09D806F8">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机房动环监控系统</w:t>
            </w:r>
          </w:p>
        </w:tc>
        <w:tc>
          <w:tcPr>
            <w:tcW w:w="6063" w:type="dxa"/>
            <w:noWrap w:val="0"/>
            <w:vAlign w:val="center"/>
          </w:tcPr>
          <w:p w14:paraId="31D33597">
            <w:pPr>
              <w:bidi w:val="0"/>
              <w:rPr>
                <w:rFonts w:hint="eastAsia"/>
                <w:sz w:val="24"/>
                <w:szCs w:val="24"/>
                <w:highlight w:val="none"/>
              </w:rPr>
            </w:pPr>
            <w:r>
              <w:rPr>
                <w:rFonts w:hint="eastAsia"/>
                <w:sz w:val="24"/>
                <w:szCs w:val="24"/>
                <w:highlight w:val="none"/>
              </w:rPr>
              <w:t>1.机房动力环境监控；2.视频监控子系统；3.门禁子系统；4.温湿度监测。</w:t>
            </w:r>
          </w:p>
        </w:tc>
        <w:tc>
          <w:tcPr>
            <w:tcW w:w="765" w:type="dxa"/>
            <w:noWrap w:val="0"/>
            <w:vAlign w:val="center"/>
          </w:tcPr>
          <w:p w14:paraId="4098A4D9">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77E01FC6">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7657D52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21A7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208AA373">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9.8</w:t>
            </w:r>
          </w:p>
        </w:tc>
        <w:tc>
          <w:tcPr>
            <w:tcW w:w="820" w:type="dxa"/>
            <w:noWrap w:val="0"/>
            <w:vAlign w:val="center"/>
          </w:tcPr>
          <w:p w14:paraId="4B53FEB5">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64310E00">
            <w:pPr>
              <w:bidi w:val="0"/>
              <w:rPr>
                <w:rFonts w:hint="eastAsia"/>
                <w:sz w:val="24"/>
                <w:szCs w:val="24"/>
                <w:highlight w:val="none"/>
              </w:rPr>
            </w:pPr>
            <w:r>
              <w:rPr>
                <w:rFonts w:hint="eastAsia"/>
                <w:sz w:val="24"/>
                <w:szCs w:val="24"/>
                <w:highlight w:val="none"/>
              </w:rPr>
              <w:t>要求采用200万像素及以上设备</w:t>
            </w:r>
          </w:p>
          <w:p w14:paraId="3CE6454E">
            <w:pPr>
              <w:bidi w:val="0"/>
              <w:rPr>
                <w:rFonts w:hint="eastAsia"/>
                <w:sz w:val="24"/>
                <w:szCs w:val="24"/>
                <w:highlight w:val="none"/>
              </w:rPr>
            </w:pPr>
            <w:r>
              <w:rPr>
                <w:rFonts w:hint="eastAsia"/>
                <w:sz w:val="24"/>
                <w:szCs w:val="24"/>
                <w:highlight w:val="none"/>
              </w:rPr>
              <w:t>支持国标GB/T28181</w:t>
            </w:r>
          </w:p>
          <w:p w14:paraId="7ED8A54F">
            <w:pPr>
              <w:bidi w:val="0"/>
              <w:rPr>
                <w:rFonts w:hint="eastAsia"/>
                <w:sz w:val="24"/>
                <w:szCs w:val="24"/>
                <w:highlight w:val="none"/>
              </w:rPr>
            </w:pPr>
            <w:r>
              <w:rPr>
                <w:rFonts w:hint="eastAsia"/>
                <w:sz w:val="24"/>
                <w:szCs w:val="24"/>
                <w:highlight w:val="none"/>
              </w:rPr>
              <w:t>支持1920×1080@25fps高清画面输出</w:t>
            </w:r>
          </w:p>
          <w:p w14:paraId="5BA37F70">
            <w:pPr>
              <w:bidi w:val="0"/>
              <w:rPr>
                <w:rFonts w:hint="eastAsia"/>
                <w:sz w:val="24"/>
                <w:szCs w:val="24"/>
                <w:highlight w:val="none"/>
              </w:rPr>
            </w:pPr>
            <w:r>
              <w:rPr>
                <w:rFonts w:hint="eastAsia"/>
                <w:sz w:val="24"/>
                <w:szCs w:val="24"/>
                <w:highlight w:val="none"/>
              </w:rPr>
              <w:t>支持H.265高效压缩算法，可较大节省存储空间</w:t>
            </w:r>
          </w:p>
          <w:p w14:paraId="1FB2471A">
            <w:pPr>
              <w:bidi w:val="0"/>
              <w:rPr>
                <w:rFonts w:hint="eastAsia"/>
                <w:sz w:val="24"/>
                <w:szCs w:val="24"/>
                <w:highlight w:val="none"/>
              </w:rPr>
            </w:pPr>
            <w:r>
              <w:rPr>
                <w:rFonts w:hint="eastAsia"/>
                <w:sz w:val="24"/>
                <w:szCs w:val="24"/>
                <w:highlight w:val="none"/>
              </w:rPr>
              <w:t>支持红外补光距离不小于40米</w:t>
            </w:r>
          </w:p>
          <w:p w14:paraId="43EE6848">
            <w:pPr>
              <w:bidi w:val="0"/>
              <w:rPr>
                <w:rFonts w:hint="eastAsia"/>
                <w:sz w:val="24"/>
                <w:szCs w:val="24"/>
                <w:highlight w:val="none"/>
              </w:rPr>
            </w:pPr>
            <w:r>
              <w:rPr>
                <w:rFonts w:hint="eastAsia"/>
                <w:sz w:val="24"/>
                <w:szCs w:val="24"/>
                <w:highlight w:val="none"/>
              </w:rPr>
              <w:t>支持区域入侵侦测、越界侦测、移动侦测等智能侦测功能</w:t>
            </w:r>
          </w:p>
          <w:p w14:paraId="10C61B37">
            <w:pPr>
              <w:bidi w:val="0"/>
              <w:rPr>
                <w:rFonts w:hint="eastAsia"/>
                <w:sz w:val="24"/>
                <w:szCs w:val="24"/>
                <w:highlight w:val="none"/>
              </w:rPr>
            </w:pPr>
            <w:r>
              <w:rPr>
                <w:rFonts w:hint="eastAsia"/>
                <w:sz w:val="24"/>
                <w:szCs w:val="24"/>
                <w:highlight w:val="none"/>
              </w:rPr>
              <w:t>支持宽动态，适合逆光环境监控</w:t>
            </w:r>
          </w:p>
          <w:p w14:paraId="5E5DEECD">
            <w:pPr>
              <w:bidi w:val="0"/>
              <w:rPr>
                <w:rFonts w:hint="eastAsia"/>
                <w:sz w:val="24"/>
                <w:szCs w:val="24"/>
                <w:highlight w:val="none"/>
              </w:rPr>
            </w:pPr>
            <w:r>
              <w:rPr>
                <w:rFonts w:hint="eastAsia"/>
                <w:sz w:val="24"/>
                <w:szCs w:val="24"/>
                <w:highlight w:val="none"/>
              </w:rPr>
              <w:t>支持 POE+（802.3at）供电</w:t>
            </w:r>
          </w:p>
          <w:p w14:paraId="3F3EE40D">
            <w:pPr>
              <w:bidi w:val="0"/>
              <w:rPr>
                <w:rFonts w:hint="eastAsia"/>
                <w:sz w:val="24"/>
                <w:szCs w:val="24"/>
                <w:highlight w:val="none"/>
              </w:rPr>
            </w:pPr>
            <w:r>
              <w:rPr>
                <w:rFonts w:hint="eastAsia"/>
                <w:sz w:val="24"/>
                <w:szCs w:val="24"/>
                <w:highlight w:val="none"/>
              </w:rPr>
              <w:t>内置麦克风和扬声器</w:t>
            </w:r>
          </w:p>
          <w:p w14:paraId="4FE07EC2">
            <w:pPr>
              <w:bidi w:val="0"/>
              <w:rPr>
                <w:rFonts w:hint="eastAsia"/>
                <w:sz w:val="24"/>
                <w:szCs w:val="24"/>
                <w:highlight w:val="none"/>
              </w:rPr>
            </w:pPr>
            <w:r>
              <w:rPr>
                <w:rFonts w:hint="eastAsia"/>
                <w:sz w:val="24"/>
                <w:szCs w:val="24"/>
                <w:highlight w:val="none"/>
              </w:rPr>
              <w:t>支持1路音频输入、1路音频输出</w:t>
            </w:r>
          </w:p>
          <w:p w14:paraId="132139DA">
            <w:pPr>
              <w:bidi w:val="0"/>
              <w:rPr>
                <w:rFonts w:hint="eastAsia"/>
                <w:sz w:val="24"/>
                <w:szCs w:val="24"/>
                <w:highlight w:val="none"/>
              </w:rPr>
            </w:pPr>
            <w:r>
              <w:rPr>
                <w:rFonts w:hint="eastAsia"/>
                <w:sz w:val="24"/>
                <w:szCs w:val="24"/>
                <w:highlight w:val="none"/>
              </w:rPr>
              <w:t>支持IK10防暴等级</w:t>
            </w:r>
          </w:p>
          <w:p w14:paraId="7AD5A575">
            <w:pPr>
              <w:bidi w:val="0"/>
              <w:rPr>
                <w:rFonts w:hint="eastAsia"/>
                <w:sz w:val="24"/>
                <w:szCs w:val="24"/>
                <w:highlight w:val="none"/>
              </w:rPr>
            </w:pPr>
            <w:r>
              <w:rPr>
                <w:rFonts w:hint="eastAsia"/>
                <w:sz w:val="24"/>
                <w:szCs w:val="24"/>
                <w:highlight w:val="none"/>
              </w:rPr>
              <w:t>防雷、防浪涌、防突波，IP66防护等级</w:t>
            </w:r>
          </w:p>
          <w:p w14:paraId="662403EF">
            <w:pPr>
              <w:bidi w:val="0"/>
              <w:rPr>
                <w:rFonts w:hint="eastAsia"/>
                <w:sz w:val="24"/>
                <w:szCs w:val="24"/>
                <w:highlight w:val="none"/>
              </w:rPr>
            </w:pPr>
            <w:r>
              <w:rPr>
                <w:rFonts w:hint="eastAsia"/>
                <w:sz w:val="24"/>
                <w:szCs w:val="24"/>
                <w:highlight w:val="none"/>
              </w:rPr>
              <w:t>包含：安装支架、电源。</w:t>
            </w:r>
          </w:p>
          <w:p w14:paraId="5BD41ED2">
            <w:pPr>
              <w:bidi w:val="0"/>
              <w:rPr>
                <w:rFonts w:hint="eastAsia"/>
                <w:sz w:val="24"/>
                <w:szCs w:val="24"/>
                <w:highlight w:val="none"/>
              </w:rPr>
            </w:pPr>
            <w:r>
              <w:rPr>
                <w:rFonts w:hint="eastAsia"/>
                <w:sz w:val="24"/>
                <w:szCs w:val="24"/>
                <w:highlight w:val="none"/>
              </w:rPr>
              <w:t>用作机房监控</w:t>
            </w:r>
          </w:p>
        </w:tc>
        <w:tc>
          <w:tcPr>
            <w:tcW w:w="765" w:type="dxa"/>
            <w:noWrap w:val="0"/>
            <w:vAlign w:val="center"/>
          </w:tcPr>
          <w:p w14:paraId="5C690CB0">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06D94A71">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5A53D49A">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4928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65" w:type="dxa"/>
            <w:gridSpan w:val="6"/>
            <w:noWrap w:val="0"/>
            <w:vAlign w:val="center"/>
          </w:tcPr>
          <w:p w14:paraId="63E765B9">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十、大门及走廊室设备系统</w:t>
            </w:r>
          </w:p>
        </w:tc>
      </w:tr>
      <w:tr w14:paraId="679E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14:paraId="681550F4">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6F8E1596">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66513B02">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6B9D6A7E">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379C363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79BA6B7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2D36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5" w:hRule="atLeast"/>
          <w:jc w:val="center"/>
        </w:trPr>
        <w:tc>
          <w:tcPr>
            <w:tcW w:w="713" w:type="dxa"/>
            <w:noWrap w:val="0"/>
            <w:vAlign w:val="center"/>
          </w:tcPr>
          <w:p w14:paraId="6D9435CC">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10.1</w:t>
            </w:r>
          </w:p>
        </w:tc>
        <w:tc>
          <w:tcPr>
            <w:tcW w:w="820" w:type="dxa"/>
            <w:noWrap w:val="0"/>
            <w:vAlign w:val="center"/>
          </w:tcPr>
          <w:p w14:paraId="21429697">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网络高清半球</w:t>
            </w:r>
          </w:p>
        </w:tc>
        <w:tc>
          <w:tcPr>
            <w:tcW w:w="6063" w:type="dxa"/>
            <w:noWrap w:val="0"/>
            <w:vAlign w:val="center"/>
          </w:tcPr>
          <w:p w14:paraId="28B9A212">
            <w:pPr>
              <w:bidi w:val="0"/>
              <w:rPr>
                <w:rFonts w:hint="eastAsia"/>
                <w:sz w:val="24"/>
                <w:szCs w:val="24"/>
                <w:highlight w:val="none"/>
              </w:rPr>
            </w:pPr>
            <w:r>
              <w:rPr>
                <w:rFonts w:hint="eastAsia"/>
                <w:sz w:val="24"/>
                <w:szCs w:val="24"/>
                <w:highlight w:val="none"/>
              </w:rPr>
              <w:t>要求采用200万像素及以上设备</w:t>
            </w:r>
          </w:p>
          <w:p w14:paraId="175B1FFA">
            <w:pPr>
              <w:bidi w:val="0"/>
              <w:rPr>
                <w:rFonts w:hint="eastAsia"/>
                <w:sz w:val="24"/>
                <w:szCs w:val="24"/>
                <w:highlight w:val="none"/>
              </w:rPr>
            </w:pPr>
            <w:r>
              <w:rPr>
                <w:rFonts w:hint="eastAsia"/>
                <w:sz w:val="24"/>
                <w:szCs w:val="24"/>
                <w:highlight w:val="none"/>
              </w:rPr>
              <w:t>支持国标GB/T28181</w:t>
            </w:r>
          </w:p>
          <w:p w14:paraId="24AFC533">
            <w:pPr>
              <w:bidi w:val="0"/>
              <w:rPr>
                <w:rFonts w:hint="eastAsia"/>
                <w:sz w:val="24"/>
                <w:szCs w:val="24"/>
                <w:highlight w:val="none"/>
              </w:rPr>
            </w:pPr>
            <w:r>
              <w:rPr>
                <w:rFonts w:hint="eastAsia"/>
                <w:sz w:val="24"/>
                <w:szCs w:val="24"/>
                <w:highlight w:val="none"/>
              </w:rPr>
              <w:t>支持1920×1080@25fps高清画面输出</w:t>
            </w:r>
          </w:p>
          <w:p w14:paraId="775506F7">
            <w:pPr>
              <w:bidi w:val="0"/>
              <w:rPr>
                <w:rFonts w:hint="eastAsia"/>
                <w:sz w:val="24"/>
                <w:szCs w:val="24"/>
                <w:highlight w:val="none"/>
              </w:rPr>
            </w:pPr>
            <w:r>
              <w:rPr>
                <w:rFonts w:hint="eastAsia"/>
                <w:sz w:val="24"/>
                <w:szCs w:val="24"/>
                <w:highlight w:val="none"/>
              </w:rPr>
              <w:t>支持H.265高效压缩算法，可较大节省存储空间</w:t>
            </w:r>
          </w:p>
          <w:p w14:paraId="07CDEECD">
            <w:pPr>
              <w:bidi w:val="0"/>
              <w:rPr>
                <w:rFonts w:hint="eastAsia"/>
                <w:sz w:val="24"/>
                <w:szCs w:val="24"/>
                <w:highlight w:val="none"/>
              </w:rPr>
            </w:pPr>
            <w:r>
              <w:rPr>
                <w:rFonts w:hint="eastAsia"/>
                <w:sz w:val="24"/>
                <w:szCs w:val="24"/>
                <w:highlight w:val="none"/>
              </w:rPr>
              <w:t>支持红外补光距离不小于40米</w:t>
            </w:r>
          </w:p>
          <w:p w14:paraId="73985F97">
            <w:pPr>
              <w:bidi w:val="0"/>
              <w:rPr>
                <w:rFonts w:hint="eastAsia"/>
                <w:sz w:val="24"/>
                <w:szCs w:val="24"/>
                <w:highlight w:val="none"/>
              </w:rPr>
            </w:pPr>
            <w:r>
              <w:rPr>
                <w:rFonts w:hint="eastAsia"/>
                <w:sz w:val="24"/>
                <w:szCs w:val="24"/>
                <w:highlight w:val="none"/>
              </w:rPr>
              <w:t>支持区域入侵侦测、越界侦测、移动侦测等智能侦测功能</w:t>
            </w:r>
          </w:p>
          <w:p w14:paraId="62B1D83B">
            <w:pPr>
              <w:bidi w:val="0"/>
              <w:rPr>
                <w:rFonts w:hint="eastAsia"/>
                <w:sz w:val="24"/>
                <w:szCs w:val="24"/>
                <w:highlight w:val="none"/>
              </w:rPr>
            </w:pPr>
            <w:r>
              <w:rPr>
                <w:rFonts w:hint="eastAsia"/>
                <w:sz w:val="24"/>
                <w:szCs w:val="24"/>
                <w:highlight w:val="none"/>
              </w:rPr>
              <w:t>支持宽动态，适合逆光环境监控</w:t>
            </w:r>
          </w:p>
          <w:p w14:paraId="6A77765E">
            <w:pPr>
              <w:bidi w:val="0"/>
              <w:rPr>
                <w:rFonts w:hint="eastAsia"/>
                <w:sz w:val="24"/>
                <w:szCs w:val="24"/>
                <w:highlight w:val="none"/>
              </w:rPr>
            </w:pPr>
            <w:r>
              <w:rPr>
                <w:rFonts w:hint="eastAsia"/>
                <w:sz w:val="24"/>
                <w:szCs w:val="24"/>
                <w:highlight w:val="none"/>
              </w:rPr>
              <w:t>支持 POE+（802.3at）供电</w:t>
            </w:r>
          </w:p>
          <w:p w14:paraId="5FAC8FBD">
            <w:pPr>
              <w:bidi w:val="0"/>
              <w:rPr>
                <w:rFonts w:hint="eastAsia"/>
                <w:sz w:val="24"/>
                <w:szCs w:val="24"/>
                <w:highlight w:val="none"/>
              </w:rPr>
            </w:pPr>
            <w:r>
              <w:rPr>
                <w:rFonts w:hint="eastAsia"/>
                <w:sz w:val="24"/>
                <w:szCs w:val="24"/>
                <w:highlight w:val="none"/>
              </w:rPr>
              <w:t>内置麦克风和扬声器</w:t>
            </w:r>
          </w:p>
          <w:p w14:paraId="0862404E">
            <w:pPr>
              <w:bidi w:val="0"/>
              <w:rPr>
                <w:rFonts w:hint="eastAsia"/>
                <w:sz w:val="24"/>
                <w:szCs w:val="24"/>
                <w:highlight w:val="none"/>
              </w:rPr>
            </w:pPr>
            <w:r>
              <w:rPr>
                <w:rFonts w:hint="eastAsia"/>
                <w:sz w:val="24"/>
                <w:szCs w:val="24"/>
                <w:highlight w:val="none"/>
              </w:rPr>
              <w:t>支持1路音频输入、1路音频输出</w:t>
            </w:r>
          </w:p>
          <w:p w14:paraId="1C968F6A">
            <w:pPr>
              <w:bidi w:val="0"/>
              <w:rPr>
                <w:rFonts w:hint="eastAsia"/>
                <w:sz w:val="24"/>
                <w:szCs w:val="24"/>
                <w:highlight w:val="none"/>
              </w:rPr>
            </w:pPr>
            <w:r>
              <w:rPr>
                <w:rFonts w:hint="eastAsia"/>
                <w:sz w:val="24"/>
                <w:szCs w:val="24"/>
                <w:highlight w:val="none"/>
              </w:rPr>
              <w:t>支持IK10防暴等级</w:t>
            </w:r>
          </w:p>
          <w:p w14:paraId="5EC79A5D">
            <w:pPr>
              <w:bidi w:val="0"/>
              <w:rPr>
                <w:rFonts w:hint="eastAsia"/>
                <w:sz w:val="24"/>
                <w:szCs w:val="24"/>
                <w:highlight w:val="none"/>
              </w:rPr>
            </w:pPr>
            <w:r>
              <w:rPr>
                <w:rFonts w:hint="eastAsia"/>
                <w:sz w:val="24"/>
                <w:szCs w:val="24"/>
                <w:highlight w:val="none"/>
              </w:rPr>
              <w:t>防雷、防浪涌、防突波，IP66防护等级</w:t>
            </w:r>
          </w:p>
          <w:p w14:paraId="4E3F05E5">
            <w:pPr>
              <w:bidi w:val="0"/>
              <w:rPr>
                <w:rFonts w:hint="eastAsia"/>
                <w:sz w:val="24"/>
                <w:szCs w:val="24"/>
                <w:highlight w:val="none"/>
              </w:rPr>
            </w:pPr>
            <w:r>
              <w:rPr>
                <w:rFonts w:hint="eastAsia"/>
                <w:sz w:val="24"/>
                <w:szCs w:val="24"/>
                <w:highlight w:val="none"/>
              </w:rPr>
              <w:t>包含：安装支架。</w:t>
            </w:r>
          </w:p>
          <w:p w14:paraId="27BBD7C5">
            <w:pPr>
              <w:bidi w:val="0"/>
              <w:rPr>
                <w:rFonts w:hint="eastAsia"/>
                <w:sz w:val="24"/>
                <w:szCs w:val="24"/>
                <w:highlight w:val="none"/>
              </w:rPr>
            </w:pPr>
            <w:r>
              <w:rPr>
                <w:rFonts w:hint="eastAsia"/>
                <w:sz w:val="24"/>
                <w:szCs w:val="24"/>
                <w:highlight w:val="none"/>
              </w:rPr>
              <w:t>用于对场所监控</w:t>
            </w:r>
          </w:p>
        </w:tc>
        <w:tc>
          <w:tcPr>
            <w:tcW w:w="765" w:type="dxa"/>
            <w:noWrap w:val="0"/>
            <w:vAlign w:val="center"/>
          </w:tcPr>
          <w:p w14:paraId="6C0B049E">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个</w:t>
            </w:r>
          </w:p>
        </w:tc>
        <w:tc>
          <w:tcPr>
            <w:tcW w:w="747" w:type="dxa"/>
            <w:noWrap w:val="0"/>
            <w:vAlign w:val="center"/>
          </w:tcPr>
          <w:p w14:paraId="4229227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75B7F0F1">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w:t>
            </w:r>
          </w:p>
        </w:tc>
      </w:tr>
      <w:tr w14:paraId="5F99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B43666A">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10.2</w:t>
            </w:r>
          </w:p>
        </w:tc>
        <w:tc>
          <w:tcPr>
            <w:tcW w:w="820" w:type="dxa"/>
            <w:noWrap w:val="0"/>
            <w:vAlign w:val="center"/>
          </w:tcPr>
          <w:p w14:paraId="1ADFD9CF">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门禁</w:t>
            </w:r>
          </w:p>
        </w:tc>
        <w:tc>
          <w:tcPr>
            <w:tcW w:w="6063" w:type="dxa"/>
            <w:noWrap w:val="0"/>
            <w:vAlign w:val="center"/>
          </w:tcPr>
          <w:p w14:paraId="260424AF">
            <w:pPr>
              <w:bidi w:val="0"/>
              <w:rPr>
                <w:rFonts w:hint="eastAsia"/>
                <w:sz w:val="24"/>
                <w:szCs w:val="24"/>
                <w:highlight w:val="none"/>
              </w:rPr>
            </w:pPr>
            <w:r>
              <w:rPr>
                <w:rFonts w:hint="eastAsia"/>
                <w:sz w:val="24"/>
                <w:szCs w:val="24"/>
                <w:highlight w:val="none"/>
              </w:rPr>
              <w:t>采用7英寸LCD触摸显示屏，200万像素双目摄像头，面部识别距离0.2-3m，支持照片视频防假；支持5000张人脸白名单，1：N人脸比对时间＜0.2S/人，支持6000张卡片，50000条记录；;支持人脸、刷卡、密码（超级密码）及其组合的认证方式；可读取Mifare卡（IC卡）卡号、CPU序列号、身份证序列号；上行通讯为TCP/IP，支持Ehome跨公网传输；支持外接RS485，Wiegand副读卡器（不支持外接指纹读卡器）；基线支持标准韦根34/26；</w:t>
            </w:r>
          </w:p>
          <w:p w14:paraId="534640DF">
            <w:pPr>
              <w:bidi w:val="0"/>
              <w:rPr>
                <w:rFonts w:hint="eastAsia"/>
                <w:sz w:val="24"/>
                <w:szCs w:val="24"/>
                <w:highlight w:val="none"/>
              </w:rPr>
            </w:pPr>
            <w:r>
              <w:rPr>
                <w:rFonts w:hint="eastAsia"/>
                <w:sz w:val="24"/>
                <w:szCs w:val="24"/>
                <w:highlight w:val="none"/>
              </w:rPr>
              <w:t>支持与云眸、4200客户端、主副室内分机、管理机的视频对讲功能；支持远程视频预览功能，可以通过RTSP协议输出视频码流，编码格式H.264；</w:t>
            </w:r>
          </w:p>
          <w:p w14:paraId="04E68CFC">
            <w:pPr>
              <w:bidi w:val="0"/>
              <w:rPr>
                <w:rFonts w:hint="eastAsia"/>
                <w:sz w:val="24"/>
                <w:szCs w:val="24"/>
                <w:highlight w:val="none"/>
              </w:rPr>
            </w:pPr>
            <w:r>
              <w:rPr>
                <w:rFonts w:hint="eastAsia"/>
                <w:sz w:val="24"/>
                <w:szCs w:val="24"/>
                <w:highlight w:val="none"/>
              </w:rPr>
              <w:t>输入接口：LAN*1、RS485*1、wiegand * 1、USB*1、门磁*1、报警输入*2、防拆*1、开门按钮*1；输出接口：电锁*1个，报警输出*1个；</w:t>
            </w:r>
          </w:p>
          <w:p w14:paraId="762B7E4F">
            <w:pPr>
              <w:bidi w:val="0"/>
              <w:rPr>
                <w:rFonts w:hint="eastAsia"/>
                <w:sz w:val="24"/>
                <w:szCs w:val="24"/>
                <w:highlight w:val="none"/>
              </w:rPr>
            </w:pPr>
            <w:r>
              <w:rPr>
                <w:rFonts w:hint="eastAsia"/>
                <w:sz w:val="24"/>
                <w:szCs w:val="24"/>
                <w:highlight w:val="none"/>
              </w:rPr>
              <w:t>配套包含：电磁锁1把、IC卡20张、出门按钮1个</w:t>
            </w:r>
          </w:p>
          <w:p w14:paraId="4F329ECB">
            <w:pPr>
              <w:bidi w:val="0"/>
              <w:rPr>
                <w:rFonts w:hint="eastAsia"/>
                <w:sz w:val="24"/>
                <w:szCs w:val="24"/>
                <w:highlight w:val="none"/>
              </w:rPr>
            </w:pPr>
            <w:r>
              <w:rPr>
                <w:rFonts w:hint="eastAsia"/>
                <w:sz w:val="24"/>
                <w:szCs w:val="24"/>
                <w:highlight w:val="none"/>
              </w:rPr>
              <w:t>用于登记室隔离门门禁</w:t>
            </w:r>
          </w:p>
        </w:tc>
        <w:tc>
          <w:tcPr>
            <w:tcW w:w="765" w:type="dxa"/>
            <w:noWrap w:val="0"/>
            <w:vAlign w:val="center"/>
          </w:tcPr>
          <w:p w14:paraId="3A8A0267">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套</w:t>
            </w:r>
          </w:p>
        </w:tc>
        <w:tc>
          <w:tcPr>
            <w:tcW w:w="747" w:type="dxa"/>
            <w:noWrap w:val="0"/>
            <w:vAlign w:val="center"/>
          </w:tcPr>
          <w:p w14:paraId="6E26DD16">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05D8F8A9">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必配    档案室用</w:t>
            </w:r>
          </w:p>
        </w:tc>
      </w:tr>
      <w:tr w14:paraId="718D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65" w:type="dxa"/>
            <w:gridSpan w:val="6"/>
            <w:noWrap w:val="0"/>
            <w:vAlign w:val="center"/>
          </w:tcPr>
          <w:p w14:paraId="3706C452">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十一、集成费</w:t>
            </w:r>
          </w:p>
        </w:tc>
      </w:tr>
      <w:tr w14:paraId="3873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3AEB0AF3">
            <w:pPr>
              <w:spacing w:before="156"/>
              <w:jc w:val="center"/>
              <w:rPr>
                <w:rFonts w:hint="eastAsia" w:ascii="宋体" w:hAnsi="宋体" w:cs="宋体"/>
                <w:sz w:val="24"/>
                <w:szCs w:val="24"/>
                <w:highlight w:val="none"/>
                <w:lang w:val="en-US" w:eastAsia="zh-CN"/>
              </w:rPr>
            </w:pPr>
            <w:r>
              <w:rPr>
                <w:rFonts w:hint="eastAsia" w:ascii="宋体" w:hAnsi="宋体" w:cs="宋体"/>
                <w:sz w:val="24"/>
                <w:szCs w:val="24"/>
                <w:highlight w:val="none"/>
              </w:rPr>
              <w:t>序号</w:t>
            </w:r>
          </w:p>
        </w:tc>
        <w:tc>
          <w:tcPr>
            <w:tcW w:w="820" w:type="dxa"/>
            <w:noWrap w:val="0"/>
            <w:vAlign w:val="center"/>
          </w:tcPr>
          <w:p w14:paraId="45AE0A6B">
            <w:pPr>
              <w:spacing w:before="156"/>
              <w:jc w:val="center"/>
              <w:rPr>
                <w:rFonts w:hint="eastAsia" w:ascii="宋体" w:hAnsi="宋体" w:cs="宋体"/>
                <w:b w:val="0"/>
                <w:bCs/>
                <w:color w:val="000000"/>
                <w:sz w:val="24"/>
                <w:szCs w:val="24"/>
                <w:highlight w:val="none"/>
              </w:rPr>
            </w:pPr>
            <w:r>
              <w:rPr>
                <w:rFonts w:hint="eastAsia" w:ascii="宋体" w:hAnsi="宋体" w:cs="宋体"/>
                <w:sz w:val="24"/>
                <w:szCs w:val="24"/>
                <w:highlight w:val="none"/>
                <w:lang w:eastAsia="zh-CN"/>
              </w:rPr>
              <w:t>设备名称</w:t>
            </w:r>
          </w:p>
        </w:tc>
        <w:tc>
          <w:tcPr>
            <w:tcW w:w="6063" w:type="dxa"/>
            <w:noWrap w:val="0"/>
            <w:vAlign w:val="center"/>
          </w:tcPr>
          <w:p w14:paraId="2751B746">
            <w:pPr>
              <w:spacing w:before="156"/>
              <w:ind w:firstLine="420" w:firstLineChars="0"/>
              <w:jc w:val="center"/>
              <w:rPr>
                <w:rFonts w:hint="eastAsia"/>
                <w:sz w:val="24"/>
                <w:szCs w:val="24"/>
                <w:highlight w:val="none"/>
              </w:rPr>
            </w:pPr>
            <w:r>
              <w:rPr>
                <w:rFonts w:hint="eastAsia" w:ascii="宋体" w:hAnsi="宋体" w:cs="宋体"/>
                <w:sz w:val="24"/>
                <w:szCs w:val="24"/>
                <w:highlight w:val="none"/>
                <w:lang w:eastAsia="zh-CN"/>
              </w:rPr>
              <w:t>设备参数</w:t>
            </w:r>
          </w:p>
        </w:tc>
        <w:tc>
          <w:tcPr>
            <w:tcW w:w="765" w:type="dxa"/>
            <w:noWrap w:val="0"/>
            <w:vAlign w:val="center"/>
          </w:tcPr>
          <w:p w14:paraId="7A50FBD7">
            <w:pPr>
              <w:spacing w:before="156"/>
              <w:ind w:firstLine="14" w:firstLineChars="6"/>
              <w:jc w:val="center"/>
              <w:rPr>
                <w:rFonts w:hint="eastAsia" w:ascii="宋体" w:hAnsi="宋体"/>
                <w:sz w:val="24"/>
                <w:szCs w:val="24"/>
                <w:highlight w:val="none"/>
                <w:lang w:val="en-US" w:eastAsia="zh-CN"/>
              </w:rPr>
            </w:pPr>
            <w:r>
              <w:rPr>
                <w:rFonts w:hint="eastAsia" w:ascii="宋体" w:hAnsi="宋体" w:cs="宋体"/>
                <w:sz w:val="24"/>
                <w:szCs w:val="24"/>
                <w:highlight w:val="none"/>
                <w:lang w:eastAsia="zh-CN"/>
              </w:rPr>
              <w:t>单位</w:t>
            </w:r>
          </w:p>
        </w:tc>
        <w:tc>
          <w:tcPr>
            <w:tcW w:w="747" w:type="dxa"/>
            <w:noWrap w:val="0"/>
            <w:vAlign w:val="center"/>
          </w:tcPr>
          <w:p w14:paraId="6B14FCC4">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数量</w:t>
            </w:r>
          </w:p>
        </w:tc>
        <w:tc>
          <w:tcPr>
            <w:tcW w:w="757" w:type="dxa"/>
            <w:noWrap w:val="0"/>
            <w:vAlign w:val="center"/>
          </w:tcPr>
          <w:p w14:paraId="41DB533B">
            <w:pPr>
              <w:spacing w:before="156"/>
              <w:ind w:firstLine="14" w:firstLineChars="6"/>
              <w:jc w:val="center"/>
              <w:rPr>
                <w:rFonts w:hint="eastAsia" w:ascii="宋体" w:hAnsi="宋体"/>
                <w:sz w:val="24"/>
                <w:szCs w:val="24"/>
                <w:highlight w:val="none"/>
                <w:lang w:val="en-US" w:eastAsia="zh-CN"/>
              </w:rPr>
            </w:pPr>
            <w:r>
              <w:rPr>
                <w:rFonts w:hint="eastAsia" w:ascii="宋体" w:hAnsi="宋体"/>
                <w:sz w:val="24"/>
                <w:szCs w:val="24"/>
                <w:highlight w:val="none"/>
                <w:lang w:eastAsia="zh-CN"/>
              </w:rPr>
              <w:t>备注</w:t>
            </w:r>
          </w:p>
        </w:tc>
      </w:tr>
      <w:tr w14:paraId="1094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3" w:type="dxa"/>
            <w:noWrap w:val="0"/>
            <w:vAlign w:val="center"/>
          </w:tcPr>
          <w:p w14:paraId="5F61B088">
            <w:pPr>
              <w:spacing w:before="156"/>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11.1</w:t>
            </w:r>
          </w:p>
        </w:tc>
        <w:tc>
          <w:tcPr>
            <w:tcW w:w="820" w:type="dxa"/>
            <w:noWrap w:val="0"/>
            <w:vAlign w:val="center"/>
          </w:tcPr>
          <w:p w14:paraId="13D5D219">
            <w:pPr>
              <w:spacing w:before="156"/>
              <w:jc w:val="center"/>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rPr>
              <w:t>集成费</w:t>
            </w:r>
          </w:p>
        </w:tc>
        <w:tc>
          <w:tcPr>
            <w:tcW w:w="6063" w:type="dxa"/>
            <w:noWrap w:val="0"/>
            <w:vAlign w:val="center"/>
          </w:tcPr>
          <w:p w14:paraId="60D8962C">
            <w:pPr>
              <w:bidi w:val="0"/>
              <w:rPr>
                <w:rFonts w:hint="eastAsia"/>
                <w:sz w:val="24"/>
                <w:szCs w:val="24"/>
                <w:highlight w:val="none"/>
              </w:rPr>
            </w:pPr>
            <w:r>
              <w:rPr>
                <w:rFonts w:hint="eastAsia"/>
                <w:sz w:val="24"/>
                <w:szCs w:val="24"/>
                <w:highlight w:val="none"/>
              </w:rPr>
              <w:t>设备安装及所需敷设线材及辅材实施费用</w:t>
            </w:r>
          </w:p>
        </w:tc>
        <w:tc>
          <w:tcPr>
            <w:tcW w:w="765" w:type="dxa"/>
            <w:noWrap w:val="0"/>
            <w:vAlign w:val="center"/>
          </w:tcPr>
          <w:p w14:paraId="368A6F3F">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项</w:t>
            </w:r>
          </w:p>
        </w:tc>
        <w:tc>
          <w:tcPr>
            <w:tcW w:w="747" w:type="dxa"/>
            <w:noWrap w:val="0"/>
            <w:vAlign w:val="center"/>
          </w:tcPr>
          <w:p w14:paraId="297DF712">
            <w:pPr>
              <w:spacing w:before="156"/>
              <w:ind w:firstLine="14" w:firstLineChars="6"/>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w:t>
            </w:r>
          </w:p>
        </w:tc>
        <w:tc>
          <w:tcPr>
            <w:tcW w:w="757" w:type="dxa"/>
            <w:noWrap w:val="0"/>
            <w:vAlign w:val="center"/>
          </w:tcPr>
          <w:p w14:paraId="76CCAE40">
            <w:pPr>
              <w:spacing w:before="156"/>
              <w:ind w:firstLine="14" w:firstLineChars="6"/>
              <w:jc w:val="center"/>
              <w:rPr>
                <w:rFonts w:hint="eastAsia" w:ascii="宋体" w:hAnsi="宋体"/>
                <w:sz w:val="24"/>
                <w:szCs w:val="24"/>
                <w:highlight w:val="none"/>
                <w:lang w:val="en-US" w:eastAsia="zh-CN"/>
              </w:rPr>
            </w:pPr>
          </w:p>
        </w:tc>
      </w:tr>
    </w:tbl>
    <w:p w14:paraId="2B7F2BA4">
      <w:pPr>
        <w:spacing w:line="360" w:lineRule="auto"/>
        <w:jc w:val="both"/>
        <w:rPr>
          <w:rFonts w:ascii="黑体" w:hAnsi="黑体" w:eastAsia="黑体"/>
          <w:b/>
          <w:color w:val="000000"/>
          <w:sz w:val="36"/>
          <w:szCs w:val="36"/>
          <w:highlight w:val="none"/>
        </w:rPr>
      </w:pPr>
    </w:p>
    <w:p w14:paraId="495E5706">
      <w:pPr>
        <w:spacing w:line="360" w:lineRule="auto"/>
        <w:ind w:firstLine="480" w:firstLineChars="200"/>
        <w:rPr>
          <w:rFonts w:ascii="宋体" w:hAnsi="宋体" w:cs="Calibri"/>
          <w:bCs/>
          <w:color w:val="000000"/>
          <w:sz w:val="24"/>
          <w:highlight w:val="none"/>
        </w:rPr>
      </w:pPr>
      <w:r>
        <w:rPr>
          <w:rFonts w:hint="eastAsia" w:ascii="宋体" w:hAnsi="宋体" w:cs="Calibri"/>
          <w:bCs/>
          <w:color w:val="000000"/>
          <w:sz w:val="24"/>
          <w:highlight w:val="none"/>
        </w:rPr>
        <w:t>备注：磋商文件中对以上产品的要求，非唯一指定要求，如有与某产品的指标或参数描述相同，并非特指，仅为产品质量、档次、水平的参照，未注明的规格应符合国家有关行业标准；</w:t>
      </w:r>
    </w:p>
    <w:p w14:paraId="6F393CD1">
      <w:pPr>
        <w:spacing w:line="360" w:lineRule="auto"/>
        <w:jc w:val="left"/>
        <w:outlineLvl w:val="1"/>
        <w:rPr>
          <w:rFonts w:ascii="宋体" w:hAnsi="宋体" w:cs="Calibri"/>
          <w:b/>
          <w:color w:val="000000"/>
          <w:sz w:val="28"/>
          <w:szCs w:val="28"/>
          <w:highlight w:val="none"/>
        </w:rPr>
      </w:pPr>
      <w:bookmarkStart w:id="63" w:name="_Toc9262"/>
      <w:bookmarkStart w:id="64" w:name="_Toc534621201"/>
      <w:bookmarkStart w:id="65" w:name="_Toc57708780"/>
      <w:r>
        <w:rPr>
          <w:rFonts w:hint="eastAsia" w:ascii="宋体" w:hAnsi="宋体" w:cs="Calibri"/>
          <w:b/>
          <w:color w:val="000000"/>
          <w:sz w:val="28"/>
          <w:szCs w:val="28"/>
          <w:highlight w:val="none"/>
          <w:lang w:eastAsia="zh-CN"/>
        </w:rPr>
        <w:t>二</w:t>
      </w:r>
      <w:r>
        <w:rPr>
          <w:rFonts w:hint="eastAsia" w:ascii="宋体" w:hAnsi="宋体" w:cs="Calibri"/>
          <w:b/>
          <w:color w:val="000000"/>
          <w:sz w:val="28"/>
          <w:szCs w:val="28"/>
          <w:highlight w:val="none"/>
        </w:rPr>
        <w:t>、货物技术规格需求</w:t>
      </w:r>
      <w:bookmarkEnd w:id="63"/>
      <w:bookmarkEnd w:id="64"/>
      <w:bookmarkEnd w:id="65"/>
    </w:p>
    <w:p w14:paraId="1A9915FC">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本章是描述本次招标所采购货物的技术规格说明，投标人必须按照本章采购货物技术参数一览表中货物技术配置的需求做出详细响应。</w:t>
      </w:r>
      <w:bookmarkStart w:id="66" w:name="_Toc267581944"/>
    </w:p>
    <w:p w14:paraId="7228D97C">
      <w:pPr>
        <w:spacing w:line="360" w:lineRule="auto"/>
        <w:ind w:firstLine="480" w:firstLineChars="200"/>
        <w:rPr>
          <w:rFonts w:ascii="宋体" w:hAnsi="宋体" w:cs="Calibri"/>
          <w:b/>
          <w:color w:val="000000"/>
          <w:sz w:val="24"/>
          <w:highlight w:val="none"/>
        </w:rPr>
      </w:pPr>
      <w:r>
        <w:rPr>
          <w:rFonts w:hint="eastAsia" w:ascii="宋体" w:hAnsi="宋体" w:cs="Calibri"/>
          <w:b/>
          <w:color w:val="000000"/>
          <w:sz w:val="24"/>
          <w:highlight w:val="none"/>
        </w:rPr>
        <w:t>1、货物基本要求</w:t>
      </w:r>
      <w:bookmarkEnd w:id="66"/>
    </w:p>
    <w:p w14:paraId="5B9E3D5C">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①投标人所提供的产品必须为投标货物生产厂家提供的原厂设备，包装未开封，而且设备（包括零部件）应是交付前最新生产或技术较为先进的且未被使用过的全新设备，同时必须在中国境内具有合法使用权。</w:t>
      </w:r>
    </w:p>
    <w:p w14:paraId="7A2398C0">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②磋商文件中没有列出，而对产品的正常运行和维护必不可少的备件、专用工具和消耗品，投标人有责任予以补充。</w:t>
      </w:r>
    </w:p>
    <w:p w14:paraId="006C6638">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③投标人所提供的产品必须满足磋商文件的要求，其性能须达到或超过需求中技术指标的要求。</w:t>
      </w:r>
    </w:p>
    <w:p w14:paraId="63F4397D">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④如果投标人在中标并签署合同后，在供货时出现软、硬件的任何遗漏，均由中标人免费提供，招标人将不再支付任何费用。</w:t>
      </w:r>
    </w:p>
    <w:p w14:paraId="6DD0F68D">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⑤运行要求：产品安装后能够接通并正常运转、如涉及到软件产品的须能够在招标人相应平台上正常运行，并达到磋商文件要求的性能和产品技术规格中的性能。</w:t>
      </w:r>
    </w:p>
    <w:p w14:paraId="080AD09E">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⑥投标人必须按照磋商文件格式提供投标产品的分项报价及详细的配置清单。</w:t>
      </w:r>
      <w:bookmarkStart w:id="67" w:name="_Toc267581945"/>
    </w:p>
    <w:bookmarkEnd w:id="67"/>
    <w:p w14:paraId="00562389">
      <w:pPr>
        <w:spacing w:line="360" w:lineRule="auto"/>
        <w:jc w:val="left"/>
        <w:outlineLvl w:val="1"/>
        <w:rPr>
          <w:rFonts w:ascii="宋体" w:hAnsi="宋体" w:cs="Calibri"/>
          <w:b/>
          <w:color w:val="000000"/>
          <w:sz w:val="28"/>
          <w:szCs w:val="28"/>
          <w:highlight w:val="none"/>
        </w:rPr>
      </w:pPr>
      <w:bookmarkStart w:id="68" w:name="_Toc516499660"/>
      <w:bookmarkStart w:id="69" w:name="_Toc267581946"/>
      <w:bookmarkStart w:id="70" w:name="_Toc57708781"/>
      <w:bookmarkStart w:id="71" w:name="_Toc2255"/>
      <w:bookmarkStart w:id="72" w:name="_Toc534621202"/>
      <w:r>
        <w:rPr>
          <w:rFonts w:hint="eastAsia" w:ascii="宋体" w:hAnsi="宋体" w:cs="Calibri"/>
          <w:b/>
          <w:color w:val="000000"/>
          <w:sz w:val="28"/>
          <w:szCs w:val="28"/>
          <w:highlight w:val="none"/>
          <w:lang w:eastAsia="zh-CN"/>
        </w:rPr>
        <w:t>三</w:t>
      </w:r>
      <w:r>
        <w:rPr>
          <w:rFonts w:hint="eastAsia" w:ascii="宋体" w:hAnsi="宋体" w:cs="Calibri"/>
          <w:b/>
          <w:color w:val="000000"/>
          <w:sz w:val="28"/>
          <w:szCs w:val="28"/>
          <w:highlight w:val="none"/>
        </w:rPr>
        <w:t>、安装调试、验收要求</w:t>
      </w:r>
      <w:bookmarkEnd w:id="68"/>
      <w:bookmarkEnd w:id="69"/>
      <w:bookmarkEnd w:id="70"/>
      <w:bookmarkEnd w:id="71"/>
      <w:bookmarkEnd w:id="72"/>
    </w:p>
    <w:p w14:paraId="24B5668F">
      <w:pPr>
        <w:spacing w:line="360" w:lineRule="auto"/>
        <w:ind w:left="42" w:leftChars="20" w:firstLine="355" w:firstLineChars="148"/>
        <w:rPr>
          <w:rFonts w:ascii="宋体" w:hAnsi="宋体" w:cs="Calibri"/>
          <w:b/>
          <w:color w:val="000000"/>
          <w:sz w:val="24"/>
          <w:highlight w:val="none"/>
        </w:rPr>
      </w:pPr>
      <w:r>
        <w:rPr>
          <w:rFonts w:hint="eastAsia" w:ascii="宋体" w:hAnsi="宋体" w:cs="Calibri"/>
          <w:b/>
          <w:color w:val="000000"/>
          <w:sz w:val="24"/>
          <w:highlight w:val="none"/>
        </w:rPr>
        <w:t>1、安装、调试要求</w:t>
      </w:r>
    </w:p>
    <w:p w14:paraId="0F76AAA7">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①中标人应及时向招标人提供设备及服务，并承诺与招标人进行积极主动的合作，中标人必须服从招标人的统一协调，在设备供货、技术支持、运行维护等方面相互配合；</w:t>
      </w:r>
    </w:p>
    <w:p w14:paraId="4825F2F3">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②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14:paraId="6DEBE92E">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③产品未经验收时，由中标人负责保管至采购项目交货结束，其间发生的损坏、遗失由中标人负责；</w:t>
      </w:r>
    </w:p>
    <w:p w14:paraId="41423423">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④设备到货后中标人应免费派技术人员在现场安装、调试；</w:t>
      </w:r>
    </w:p>
    <w:p w14:paraId="39663D33">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⑤中标人应遵守招标人安装现场的一切规章制度；</w:t>
      </w:r>
    </w:p>
    <w:p w14:paraId="60DE68A2">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⑥中标人在设备全部安装完工并通过招标人的验收之前应对安装好的设备及设备的安装工具等提供适当的保护、包装或覆盖等处理，直至验收合格，以免设备受损；</w:t>
      </w:r>
    </w:p>
    <w:p w14:paraId="7A45CDD1">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⑦安装调试人员在安装中对其他邻近设备、管线等造成损坏，应负责修复及承担一切费用；</w:t>
      </w:r>
    </w:p>
    <w:p w14:paraId="1B8929C2">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⑧调试期间或保修过程中，中标人负责及时清理垃圾，并将包装物及垃圾堆放至招标人指定地点。</w:t>
      </w:r>
    </w:p>
    <w:p w14:paraId="1854961B">
      <w:pPr>
        <w:spacing w:line="360" w:lineRule="auto"/>
        <w:ind w:left="42" w:leftChars="20" w:firstLine="355" w:firstLineChars="148"/>
        <w:rPr>
          <w:rFonts w:ascii="宋体" w:hAnsi="宋体" w:cs="Calibri"/>
          <w:b/>
          <w:color w:val="000000"/>
          <w:sz w:val="24"/>
          <w:highlight w:val="none"/>
        </w:rPr>
      </w:pPr>
      <w:r>
        <w:rPr>
          <w:rFonts w:hint="eastAsia" w:ascii="宋体" w:hAnsi="宋体" w:cs="Calibri"/>
          <w:b/>
          <w:color w:val="000000"/>
          <w:sz w:val="24"/>
          <w:highlight w:val="none"/>
        </w:rPr>
        <w:t>2、产品验收要求：</w:t>
      </w:r>
    </w:p>
    <w:p w14:paraId="73D97D5E">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①招标人将依磋商文件及投标人的投标文件的要求对全部交货设备的型号、规格、数量、外型、包装及资料、文件（如装箱单、保修单、随箱介质等）进行随机抽取验收。验收主要包括：招标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招标人允许不得私自拆毁原包装，否则，招标人有权不予验收，供方产品质量问题负责包退、包换和包修，由此发生的费用由供方负责；</w:t>
      </w:r>
    </w:p>
    <w:p w14:paraId="469242F6">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②验收中设备出现性能指标或功能上不符合磋商文件和合同要求时，招标人有拒收的权利；</w:t>
      </w:r>
    </w:p>
    <w:p w14:paraId="072C3ECB">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③验收中出现不符合磋商文件和合同要求的严重质量问题时，招标人保留索赔的权利；</w:t>
      </w:r>
    </w:p>
    <w:p w14:paraId="4C440B88">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④在安装现场直至进行最终验收所发生的一切费用均由中标人承担；</w:t>
      </w:r>
    </w:p>
    <w:p w14:paraId="026031FF">
      <w:pPr>
        <w:spacing w:line="360" w:lineRule="auto"/>
        <w:ind w:firstLine="480" w:firstLineChars="200"/>
        <w:rPr>
          <w:rFonts w:ascii="宋体" w:hAnsi="宋体" w:cs="Calibri"/>
          <w:color w:val="000000"/>
          <w:sz w:val="24"/>
          <w:highlight w:val="none"/>
        </w:rPr>
      </w:pPr>
      <w:r>
        <w:rPr>
          <w:rFonts w:hint="eastAsia" w:ascii="宋体" w:hAnsi="宋体" w:cs="Calibri"/>
          <w:color w:val="000000"/>
          <w:sz w:val="24"/>
          <w:highlight w:val="none"/>
        </w:rPr>
        <w:t>⑤投标人所提供的货物/工程须符合国家强制性规定或相关法律法规要求；</w:t>
      </w:r>
    </w:p>
    <w:p w14:paraId="58124C63">
      <w:pPr>
        <w:pStyle w:val="3"/>
        <w:ind w:left="0" w:leftChars="0" w:firstLine="480" w:firstLineChars="200"/>
        <w:rPr>
          <w:highlight w:val="none"/>
        </w:rPr>
      </w:pPr>
      <w:r>
        <w:rPr>
          <w:rFonts w:hint="eastAsia" w:ascii="宋体" w:hAnsi="宋体" w:cs="Calibri"/>
          <w:color w:val="000000"/>
          <w:kern w:val="2"/>
          <w:sz w:val="24"/>
          <w:szCs w:val="24"/>
          <w:highlight w:val="none"/>
        </w:rPr>
        <w:t>⑥验收时间和地点：投标人中标后须按照磋商文件的交货要求分别交货至招标人指定地点，设备全部交货并布线完毕后由招标人进行现场验收并最终填写验收报告。基本标准为：是否按交货要求及时完成设备的到货、安装、调试工作，投标人提供的设备质量情况是否确保达到磋商文件要求。</w:t>
      </w:r>
    </w:p>
    <w:p w14:paraId="283BA1FC">
      <w:pPr>
        <w:pStyle w:val="8"/>
        <w:rPr>
          <w:highlight w:val="none"/>
        </w:rPr>
      </w:pPr>
    </w:p>
    <w:p w14:paraId="1EBA3140">
      <w:pPr>
        <w:pStyle w:val="8"/>
        <w:rPr>
          <w:highlight w:val="none"/>
        </w:rPr>
      </w:pPr>
    </w:p>
    <w:p w14:paraId="68E25D7E">
      <w:pPr>
        <w:pStyle w:val="8"/>
        <w:rPr>
          <w:highlight w:val="none"/>
        </w:rPr>
      </w:pPr>
    </w:p>
    <w:p w14:paraId="01E34304">
      <w:pPr>
        <w:pStyle w:val="2"/>
        <w:ind w:left="0" w:leftChars="0" w:firstLine="0" w:firstLineChars="0"/>
        <w:rPr>
          <w:highlight w:val="none"/>
        </w:rPr>
      </w:pPr>
    </w:p>
    <w:p w14:paraId="6CE17D6A">
      <w:pPr>
        <w:rPr>
          <w:rFonts w:hint="eastAsia" w:ascii="黑体" w:hAnsi="黑体" w:eastAsia="黑体"/>
          <w:b/>
          <w:color w:val="000000"/>
          <w:sz w:val="36"/>
          <w:szCs w:val="36"/>
          <w:highlight w:val="none"/>
        </w:rPr>
      </w:pPr>
      <w:bookmarkStart w:id="73" w:name="_Toc17150"/>
      <w:r>
        <w:rPr>
          <w:rFonts w:hint="eastAsia" w:ascii="黑体" w:hAnsi="黑体" w:eastAsia="黑体"/>
          <w:b/>
          <w:color w:val="000000"/>
          <w:sz w:val="36"/>
          <w:szCs w:val="36"/>
          <w:highlight w:val="none"/>
        </w:rPr>
        <w:br w:type="page"/>
      </w:r>
    </w:p>
    <w:p w14:paraId="7C4F4030">
      <w:pPr>
        <w:spacing w:line="360" w:lineRule="auto"/>
        <w:jc w:val="center"/>
        <w:outlineLvl w:val="0"/>
        <w:rPr>
          <w:rFonts w:ascii="宋体" w:hAnsi="宋体"/>
          <w:b/>
          <w:color w:val="000000"/>
          <w:sz w:val="36"/>
          <w:szCs w:val="36"/>
          <w:highlight w:val="none"/>
        </w:rPr>
      </w:pPr>
      <w:r>
        <w:rPr>
          <w:rFonts w:hint="eastAsia" w:ascii="黑体" w:hAnsi="黑体" w:eastAsia="黑体"/>
          <w:b/>
          <w:color w:val="000000"/>
          <w:sz w:val="36"/>
          <w:szCs w:val="36"/>
          <w:highlight w:val="none"/>
        </w:rPr>
        <w:t xml:space="preserve">第四章 </w:t>
      </w:r>
      <w:bookmarkEnd w:id="58"/>
      <w:bookmarkEnd w:id="59"/>
      <w:bookmarkEnd w:id="60"/>
      <w:bookmarkEnd w:id="61"/>
      <w:bookmarkEnd w:id="62"/>
      <w:r>
        <w:rPr>
          <w:rFonts w:hint="eastAsia" w:ascii="宋体" w:hAnsi="宋体"/>
          <w:b/>
          <w:color w:val="000000"/>
          <w:sz w:val="36"/>
          <w:szCs w:val="36"/>
          <w:highlight w:val="none"/>
        </w:rPr>
        <w:t>评标办法（综合评估法）</w:t>
      </w:r>
      <w:bookmarkEnd w:id="73"/>
    </w:p>
    <w:p w14:paraId="28EB4439">
      <w:pPr>
        <w:jc w:val="center"/>
        <w:rPr>
          <w:rFonts w:ascii="宋体" w:hAnsi="宋体"/>
          <w:b/>
          <w:color w:val="000000"/>
          <w:sz w:val="24"/>
          <w:highlight w:val="none"/>
        </w:rPr>
      </w:pPr>
      <w:r>
        <w:rPr>
          <w:rFonts w:hint="eastAsia" w:ascii="宋体" w:hAnsi="宋体"/>
          <w:b/>
          <w:color w:val="000000"/>
          <w:sz w:val="24"/>
          <w:highlight w:val="none"/>
        </w:rPr>
        <w:t>评标办法前附表</w:t>
      </w:r>
    </w:p>
    <w:tbl>
      <w:tblPr>
        <w:tblStyle w:val="14"/>
        <w:tblW w:w="864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76"/>
        <w:gridCol w:w="1701"/>
        <w:gridCol w:w="4677"/>
      </w:tblGrid>
      <w:tr w14:paraId="26EA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3" w:type="dxa"/>
            <w:gridSpan w:val="2"/>
            <w:noWrap w:val="0"/>
            <w:vAlign w:val="center"/>
          </w:tcPr>
          <w:p w14:paraId="454510C4">
            <w:pPr>
              <w:spacing w:line="360" w:lineRule="auto"/>
              <w:jc w:val="center"/>
              <w:rPr>
                <w:rFonts w:ascii="宋体" w:hAnsi="宋体" w:cs="宋体"/>
                <w:snapToGrid w:val="0"/>
                <w:color w:val="000000"/>
                <w:sz w:val="24"/>
                <w:highlight w:val="none"/>
              </w:rPr>
            </w:pPr>
            <w:r>
              <w:rPr>
                <w:rFonts w:hint="eastAsia" w:ascii="宋体" w:hAnsi="宋体" w:cs="宋体"/>
                <w:b/>
                <w:color w:val="000000"/>
                <w:kern w:val="0"/>
                <w:sz w:val="24"/>
                <w:highlight w:val="none"/>
              </w:rPr>
              <w:t>条款号</w:t>
            </w:r>
          </w:p>
        </w:tc>
        <w:tc>
          <w:tcPr>
            <w:tcW w:w="1701" w:type="dxa"/>
            <w:noWrap w:val="0"/>
            <w:vAlign w:val="center"/>
          </w:tcPr>
          <w:p w14:paraId="52CA857E">
            <w:pPr>
              <w:spacing w:line="360" w:lineRule="auto"/>
              <w:jc w:val="center"/>
              <w:rPr>
                <w:rFonts w:ascii="宋体" w:hAnsi="宋体" w:cs="宋体"/>
                <w:snapToGrid w:val="0"/>
                <w:color w:val="000000"/>
                <w:sz w:val="24"/>
                <w:highlight w:val="none"/>
              </w:rPr>
            </w:pPr>
            <w:r>
              <w:rPr>
                <w:rFonts w:hint="eastAsia" w:ascii="宋体" w:hAnsi="宋体" w:cs="宋体"/>
                <w:b/>
                <w:color w:val="000000"/>
                <w:kern w:val="0"/>
                <w:sz w:val="24"/>
                <w:highlight w:val="none"/>
              </w:rPr>
              <w:t>评审因素</w:t>
            </w:r>
          </w:p>
        </w:tc>
        <w:tc>
          <w:tcPr>
            <w:tcW w:w="4677" w:type="dxa"/>
            <w:noWrap w:val="0"/>
            <w:vAlign w:val="center"/>
          </w:tcPr>
          <w:p w14:paraId="59D6BFF2">
            <w:pPr>
              <w:spacing w:line="360" w:lineRule="auto"/>
              <w:jc w:val="center"/>
              <w:rPr>
                <w:rFonts w:ascii="宋体" w:hAnsi="宋体" w:cs="宋体"/>
                <w:snapToGrid w:val="0"/>
                <w:color w:val="000000"/>
                <w:sz w:val="24"/>
                <w:highlight w:val="none"/>
              </w:rPr>
            </w:pPr>
            <w:r>
              <w:rPr>
                <w:rFonts w:hint="eastAsia" w:ascii="宋体" w:hAnsi="宋体" w:cs="宋体"/>
                <w:b/>
                <w:color w:val="000000"/>
                <w:kern w:val="0"/>
                <w:sz w:val="24"/>
                <w:highlight w:val="none"/>
              </w:rPr>
              <w:t>评审标准</w:t>
            </w:r>
          </w:p>
        </w:tc>
      </w:tr>
      <w:tr w14:paraId="0C74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7" w:type="dxa"/>
            <w:vMerge w:val="restart"/>
            <w:noWrap w:val="0"/>
            <w:vAlign w:val="center"/>
          </w:tcPr>
          <w:p w14:paraId="6E84827D">
            <w:pPr>
              <w:spacing w:line="360" w:lineRule="auto"/>
              <w:rPr>
                <w:rFonts w:ascii="宋体" w:hAnsi="宋体" w:cs="宋体"/>
                <w:snapToGrid w:val="0"/>
                <w:color w:val="000000"/>
                <w:sz w:val="24"/>
                <w:highlight w:val="none"/>
              </w:rPr>
            </w:pPr>
            <w:r>
              <w:rPr>
                <w:rFonts w:hint="eastAsia" w:ascii="宋体" w:hAnsi="宋体" w:cs="宋体"/>
                <w:color w:val="000000"/>
                <w:kern w:val="0"/>
                <w:sz w:val="24"/>
                <w:highlight w:val="none"/>
              </w:rPr>
              <w:t>2.1.1</w:t>
            </w:r>
          </w:p>
        </w:tc>
        <w:tc>
          <w:tcPr>
            <w:tcW w:w="1276" w:type="dxa"/>
            <w:vMerge w:val="restart"/>
            <w:noWrap w:val="0"/>
            <w:vAlign w:val="center"/>
          </w:tcPr>
          <w:p w14:paraId="1BB43F1C">
            <w:pPr>
              <w:spacing w:line="360" w:lineRule="auto"/>
              <w:jc w:val="center"/>
              <w:rPr>
                <w:rFonts w:ascii="宋体" w:hAnsi="宋体"/>
                <w:color w:val="000000"/>
                <w:sz w:val="24"/>
                <w:highlight w:val="none"/>
              </w:rPr>
            </w:pPr>
            <w:r>
              <w:rPr>
                <w:rFonts w:hint="eastAsia" w:ascii="宋体" w:hAnsi="宋体"/>
                <w:color w:val="000000"/>
                <w:sz w:val="24"/>
                <w:highlight w:val="none"/>
              </w:rPr>
              <w:t>形式</w:t>
            </w:r>
          </w:p>
          <w:p w14:paraId="74AF845C">
            <w:pPr>
              <w:spacing w:line="360" w:lineRule="auto"/>
              <w:jc w:val="center"/>
              <w:rPr>
                <w:rFonts w:ascii="宋体" w:hAnsi="宋体"/>
                <w:color w:val="000000"/>
                <w:sz w:val="24"/>
                <w:highlight w:val="none"/>
              </w:rPr>
            </w:pPr>
            <w:r>
              <w:rPr>
                <w:rFonts w:hint="eastAsia" w:ascii="宋体" w:hAnsi="宋体"/>
                <w:color w:val="000000"/>
                <w:sz w:val="24"/>
                <w:highlight w:val="none"/>
              </w:rPr>
              <w:t>评审标准</w:t>
            </w:r>
          </w:p>
        </w:tc>
        <w:tc>
          <w:tcPr>
            <w:tcW w:w="1701" w:type="dxa"/>
            <w:noWrap w:val="0"/>
            <w:vAlign w:val="center"/>
          </w:tcPr>
          <w:p w14:paraId="42F8813F">
            <w:pPr>
              <w:spacing w:line="360" w:lineRule="auto"/>
              <w:jc w:val="center"/>
              <w:rPr>
                <w:rFonts w:ascii="宋体" w:hAnsi="宋体"/>
                <w:color w:val="000000"/>
                <w:sz w:val="24"/>
                <w:highlight w:val="none"/>
              </w:rPr>
            </w:pPr>
            <w:r>
              <w:rPr>
                <w:rFonts w:hint="eastAsia" w:ascii="宋体" w:hAnsi="宋体"/>
                <w:color w:val="000000"/>
                <w:sz w:val="24"/>
                <w:highlight w:val="none"/>
              </w:rPr>
              <w:t>投标人名称</w:t>
            </w:r>
          </w:p>
        </w:tc>
        <w:tc>
          <w:tcPr>
            <w:tcW w:w="4677" w:type="dxa"/>
            <w:noWrap w:val="0"/>
            <w:vAlign w:val="center"/>
          </w:tcPr>
          <w:p w14:paraId="586B3BA2">
            <w:pPr>
              <w:spacing w:line="360" w:lineRule="auto"/>
              <w:rPr>
                <w:rFonts w:ascii="宋体" w:hAnsi="宋体"/>
                <w:color w:val="000000"/>
                <w:sz w:val="24"/>
                <w:highlight w:val="none"/>
              </w:rPr>
            </w:pPr>
            <w:r>
              <w:rPr>
                <w:rFonts w:hint="eastAsia" w:ascii="宋体" w:hAnsi="宋体"/>
                <w:color w:val="000000"/>
                <w:sz w:val="24"/>
                <w:highlight w:val="none"/>
              </w:rPr>
              <w:t>与营业执照或事业单位法人证书一致</w:t>
            </w:r>
          </w:p>
        </w:tc>
      </w:tr>
      <w:tr w14:paraId="2CC9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0543EBE3">
            <w:pPr>
              <w:spacing w:line="360" w:lineRule="auto"/>
              <w:rPr>
                <w:rFonts w:ascii="宋体" w:hAnsi="宋体" w:cs="宋体"/>
                <w:snapToGrid w:val="0"/>
                <w:color w:val="000000"/>
                <w:sz w:val="24"/>
                <w:highlight w:val="none"/>
              </w:rPr>
            </w:pPr>
          </w:p>
        </w:tc>
        <w:tc>
          <w:tcPr>
            <w:tcW w:w="1276" w:type="dxa"/>
            <w:vMerge w:val="continue"/>
            <w:noWrap w:val="0"/>
            <w:vAlign w:val="center"/>
          </w:tcPr>
          <w:p w14:paraId="0529FC21">
            <w:pPr>
              <w:spacing w:line="360" w:lineRule="auto"/>
              <w:jc w:val="center"/>
              <w:rPr>
                <w:rFonts w:ascii="宋体" w:hAnsi="宋体"/>
                <w:color w:val="000000"/>
                <w:sz w:val="24"/>
                <w:highlight w:val="none"/>
              </w:rPr>
            </w:pPr>
          </w:p>
        </w:tc>
        <w:tc>
          <w:tcPr>
            <w:tcW w:w="1701" w:type="dxa"/>
            <w:noWrap w:val="0"/>
            <w:vAlign w:val="center"/>
          </w:tcPr>
          <w:p w14:paraId="56E0EDF5">
            <w:pPr>
              <w:spacing w:line="360" w:lineRule="auto"/>
              <w:jc w:val="center"/>
              <w:rPr>
                <w:rFonts w:ascii="宋体" w:hAnsi="宋体"/>
                <w:color w:val="000000"/>
                <w:sz w:val="24"/>
                <w:highlight w:val="none"/>
              </w:rPr>
            </w:pPr>
            <w:r>
              <w:rPr>
                <w:rFonts w:hint="eastAsia" w:ascii="宋体" w:hAnsi="宋体"/>
                <w:color w:val="000000"/>
                <w:sz w:val="24"/>
                <w:highlight w:val="none"/>
              </w:rPr>
              <w:t>响应文件签字盖章</w:t>
            </w:r>
          </w:p>
        </w:tc>
        <w:tc>
          <w:tcPr>
            <w:tcW w:w="4677" w:type="dxa"/>
            <w:noWrap w:val="0"/>
            <w:vAlign w:val="center"/>
          </w:tcPr>
          <w:p w14:paraId="7A088596">
            <w:pPr>
              <w:spacing w:line="360" w:lineRule="auto"/>
              <w:rPr>
                <w:rFonts w:ascii="宋体" w:hAnsi="宋体"/>
                <w:color w:val="000000"/>
                <w:sz w:val="24"/>
                <w:highlight w:val="none"/>
              </w:rPr>
            </w:pPr>
            <w:r>
              <w:rPr>
                <w:rFonts w:hint="eastAsia" w:ascii="宋体" w:hAnsi="宋体"/>
                <w:color w:val="000000"/>
                <w:sz w:val="24"/>
                <w:highlight w:val="none"/>
              </w:rPr>
              <w:t>磋商文件中要求法定代表人或授权委托人签字或盖章的，投标人在进行电子化响应文件签章时，以签盖法定代表人签章为准</w:t>
            </w:r>
          </w:p>
        </w:tc>
      </w:tr>
      <w:tr w14:paraId="54E4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87" w:type="dxa"/>
            <w:vMerge w:val="continue"/>
            <w:noWrap w:val="0"/>
            <w:vAlign w:val="center"/>
          </w:tcPr>
          <w:p w14:paraId="3D7AB002">
            <w:pPr>
              <w:spacing w:line="360" w:lineRule="auto"/>
              <w:rPr>
                <w:rFonts w:ascii="宋体" w:hAnsi="宋体" w:cs="宋体"/>
                <w:snapToGrid w:val="0"/>
                <w:color w:val="000000"/>
                <w:sz w:val="24"/>
                <w:highlight w:val="none"/>
              </w:rPr>
            </w:pPr>
          </w:p>
        </w:tc>
        <w:tc>
          <w:tcPr>
            <w:tcW w:w="1276" w:type="dxa"/>
            <w:vMerge w:val="continue"/>
            <w:noWrap w:val="0"/>
            <w:vAlign w:val="center"/>
          </w:tcPr>
          <w:p w14:paraId="0B24078E">
            <w:pPr>
              <w:spacing w:line="360" w:lineRule="auto"/>
              <w:jc w:val="center"/>
              <w:rPr>
                <w:rFonts w:ascii="宋体" w:hAnsi="宋体"/>
                <w:color w:val="000000"/>
                <w:sz w:val="24"/>
                <w:highlight w:val="none"/>
              </w:rPr>
            </w:pPr>
          </w:p>
        </w:tc>
        <w:tc>
          <w:tcPr>
            <w:tcW w:w="1701" w:type="dxa"/>
            <w:noWrap w:val="0"/>
            <w:vAlign w:val="center"/>
          </w:tcPr>
          <w:p w14:paraId="41D6557E">
            <w:pPr>
              <w:spacing w:line="360" w:lineRule="auto"/>
              <w:jc w:val="center"/>
              <w:rPr>
                <w:rFonts w:ascii="宋体" w:hAnsi="宋体"/>
                <w:color w:val="000000"/>
                <w:sz w:val="24"/>
                <w:highlight w:val="none"/>
              </w:rPr>
            </w:pPr>
            <w:r>
              <w:rPr>
                <w:rFonts w:hint="eastAsia" w:ascii="宋体" w:hAnsi="宋体"/>
                <w:color w:val="000000"/>
                <w:sz w:val="24"/>
                <w:highlight w:val="none"/>
              </w:rPr>
              <w:t>响应文件格式</w:t>
            </w:r>
          </w:p>
        </w:tc>
        <w:tc>
          <w:tcPr>
            <w:tcW w:w="4677" w:type="dxa"/>
            <w:noWrap w:val="0"/>
            <w:vAlign w:val="center"/>
          </w:tcPr>
          <w:p w14:paraId="30460D90">
            <w:pPr>
              <w:spacing w:line="360" w:lineRule="auto"/>
              <w:rPr>
                <w:rFonts w:ascii="宋体" w:hAnsi="宋体"/>
                <w:color w:val="000000"/>
                <w:sz w:val="24"/>
                <w:highlight w:val="none"/>
              </w:rPr>
            </w:pPr>
            <w:r>
              <w:rPr>
                <w:rFonts w:hint="eastAsia" w:ascii="宋体" w:hAnsi="宋体"/>
                <w:color w:val="000000"/>
                <w:sz w:val="24"/>
                <w:highlight w:val="none"/>
              </w:rPr>
              <w:t>符合“响应文件格式”的要求</w:t>
            </w:r>
          </w:p>
        </w:tc>
      </w:tr>
      <w:tr w14:paraId="120F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7" w:type="dxa"/>
            <w:vMerge w:val="continue"/>
            <w:noWrap w:val="0"/>
            <w:vAlign w:val="center"/>
          </w:tcPr>
          <w:p w14:paraId="4773BEE1">
            <w:pPr>
              <w:spacing w:line="360" w:lineRule="auto"/>
              <w:rPr>
                <w:rFonts w:ascii="宋体" w:hAnsi="宋体" w:cs="宋体"/>
                <w:snapToGrid w:val="0"/>
                <w:color w:val="000000"/>
                <w:sz w:val="24"/>
                <w:highlight w:val="none"/>
              </w:rPr>
            </w:pPr>
          </w:p>
        </w:tc>
        <w:tc>
          <w:tcPr>
            <w:tcW w:w="1276" w:type="dxa"/>
            <w:vMerge w:val="continue"/>
            <w:noWrap w:val="0"/>
            <w:vAlign w:val="center"/>
          </w:tcPr>
          <w:p w14:paraId="065C46D0">
            <w:pPr>
              <w:spacing w:line="360" w:lineRule="auto"/>
              <w:jc w:val="center"/>
              <w:rPr>
                <w:rFonts w:ascii="宋体" w:hAnsi="宋体"/>
                <w:color w:val="000000"/>
                <w:sz w:val="24"/>
                <w:highlight w:val="none"/>
              </w:rPr>
            </w:pPr>
          </w:p>
        </w:tc>
        <w:tc>
          <w:tcPr>
            <w:tcW w:w="1701" w:type="dxa"/>
            <w:noWrap w:val="0"/>
            <w:vAlign w:val="center"/>
          </w:tcPr>
          <w:p w14:paraId="17987B8A">
            <w:pPr>
              <w:spacing w:line="360" w:lineRule="auto"/>
              <w:jc w:val="center"/>
              <w:rPr>
                <w:rFonts w:ascii="宋体" w:hAnsi="宋体"/>
                <w:color w:val="000000"/>
                <w:sz w:val="24"/>
                <w:highlight w:val="none"/>
              </w:rPr>
            </w:pPr>
            <w:r>
              <w:rPr>
                <w:rFonts w:hint="eastAsia" w:ascii="宋体" w:hAnsi="宋体"/>
                <w:color w:val="000000"/>
                <w:sz w:val="24"/>
                <w:highlight w:val="none"/>
              </w:rPr>
              <w:t>报价唯一</w:t>
            </w:r>
          </w:p>
        </w:tc>
        <w:tc>
          <w:tcPr>
            <w:tcW w:w="4677" w:type="dxa"/>
            <w:noWrap w:val="0"/>
            <w:vAlign w:val="center"/>
          </w:tcPr>
          <w:p w14:paraId="3F308C4A">
            <w:pPr>
              <w:spacing w:line="360" w:lineRule="auto"/>
              <w:rPr>
                <w:rFonts w:ascii="宋体" w:hAnsi="宋体"/>
                <w:color w:val="000000"/>
                <w:sz w:val="24"/>
                <w:highlight w:val="none"/>
              </w:rPr>
            </w:pPr>
            <w:r>
              <w:rPr>
                <w:rFonts w:hint="eastAsia" w:ascii="宋体" w:hAnsi="宋体"/>
                <w:color w:val="000000"/>
                <w:sz w:val="24"/>
                <w:highlight w:val="none"/>
              </w:rPr>
              <w:t>只能有一个有效报价</w:t>
            </w:r>
          </w:p>
        </w:tc>
      </w:tr>
      <w:tr w14:paraId="1E1E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14:paraId="2EE88EFA">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2.1.2</w:t>
            </w:r>
          </w:p>
        </w:tc>
        <w:tc>
          <w:tcPr>
            <w:tcW w:w="1276" w:type="dxa"/>
            <w:vMerge w:val="restart"/>
            <w:noWrap w:val="0"/>
            <w:vAlign w:val="center"/>
          </w:tcPr>
          <w:p w14:paraId="5B135610">
            <w:pPr>
              <w:spacing w:line="360" w:lineRule="auto"/>
              <w:jc w:val="center"/>
              <w:rPr>
                <w:rFonts w:ascii="宋体" w:hAnsi="宋体"/>
                <w:color w:val="000000"/>
                <w:sz w:val="24"/>
                <w:highlight w:val="none"/>
              </w:rPr>
            </w:pPr>
            <w:r>
              <w:rPr>
                <w:rFonts w:hint="eastAsia" w:ascii="宋体" w:hAnsi="宋体"/>
                <w:color w:val="000000"/>
                <w:sz w:val="24"/>
                <w:highlight w:val="none"/>
              </w:rPr>
              <w:t>资格</w:t>
            </w:r>
          </w:p>
          <w:p w14:paraId="644C9936">
            <w:pPr>
              <w:spacing w:line="360" w:lineRule="auto"/>
              <w:jc w:val="center"/>
              <w:rPr>
                <w:rFonts w:ascii="宋体" w:hAnsi="宋体"/>
                <w:color w:val="000000"/>
                <w:sz w:val="24"/>
                <w:highlight w:val="none"/>
              </w:rPr>
            </w:pPr>
            <w:r>
              <w:rPr>
                <w:rFonts w:hint="eastAsia" w:ascii="宋体" w:hAnsi="宋体"/>
                <w:color w:val="000000"/>
                <w:sz w:val="24"/>
                <w:highlight w:val="none"/>
              </w:rPr>
              <w:t>评审标准</w:t>
            </w:r>
          </w:p>
        </w:tc>
        <w:tc>
          <w:tcPr>
            <w:tcW w:w="1701" w:type="dxa"/>
            <w:noWrap w:val="0"/>
            <w:vAlign w:val="center"/>
          </w:tcPr>
          <w:p w14:paraId="328F9D3B">
            <w:pPr>
              <w:spacing w:line="360" w:lineRule="auto"/>
              <w:jc w:val="center"/>
              <w:rPr>
                <w:rFonts w:ascii="宋体" w:hAnsi="宋体"/>
                <w:color w:val="000000"/>
                <w:sz w:val="24"/>
                <w:highlight w:val="none"/>
              </w:rPr>
            </w:pPr>
            <w:r>
              <w:rPr>
                <w:rFonts w:hint="eastAsia" w:ascii="宋体" w:hAnsi="宋体"/>
                <w:color w:val="000000"/>
                <w:sz w:val="24"/>
                <w:highlight w:val="none"/>
              </w:rPr>
              <w:t>合格的投标人</w:t>
            </w:r>
          </w:p>
        </w:tc>
        <w:tc>
          <w:tcPr>
            <w:tcW w:w="4677" w:type="dxa"/>
            <w:noWrap w:val="0"/>
            <w:vAlign w:val="center"/>
          </w:tcPr>
          <w:p w14:paraId="24A543A8">
            <w:pPr>
              <w:spacing w:line="360" w:lineRule="auto"/>
              <w:rPr>
                <w:rFonts w:ascii="宋体" w:hAnsi="宋体"/>
                <w:color w:val="000000"/>
                <w:sz w:val="24"/>
                <w:highlight w:val="none"/>
              </w:rPr>
            </w:pPr>
            <w:r>
              <w:rPr>
                <w:rFonts w:hint="eastAsia" w:ascii="宋体" w:hAnsi="宋体"/>
                <w:color w:val="000000"/>
                <w:sz w:val="24"/>
                <w:highlight w:val="none"/>
              </w:rPr>
              <w:t>符合《中华人民共和国政府采购法》第二十二条规定</w:t>
            </w:r>
          </w:p>
        </w:tc>
      </w:tr>
      <w:tr w14:paraId="28FC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751F4D90">
            <w:pPr>
              <w:spacing w:line="360" w:lineRule="auto"/>
              <w:rPr>
                <w:rFonts w:ascii="宋体" w:hAnsi="宋体" w:cs="宋体"/>
                <w:snapToGrid w:val="0"/>
                <w:color w:val="000000"/>
                <w:sz w:val="24"/>
                <w:highlight w:val="none"/>
              </w:rPr>
            </w:pPr>
          </w:p>
        </w:tc>
        <w:tc>
          <w:tcPr>
            <w:tcW w:w="1276" w:type="dxa"/>
            <w:vMerge w:val="continue"/>
            <w:noWrap w:val="0"/>
            <w:vAlign w:val="center"/>
          </w:tcPr>
          <w:p w14:paraId="1AD70A6A">
            <w:pPr>
              <w:spacing w:line="360" w:lineRule="auto"/>
              <w:jc w:val="center"/>
              <w:rPr>
                <w:rFonts w:ascii="宋体" w:hAnsi="宋体"/>
                <w:color w:val="000000"/>
                <w:sz w:val="24"/>
                <w:highlight w:val="none"/>
              </w:rPr>
            </w:pPr>
          </w:p>
        </w:tc>
        <w:tc>
          <w:tcPr>
            <w:tcW w:w="1701" w:type="dxa"/>
            <w:noWrap w:val="0"/>
            <w:vAlign w:val="center"/>
          </w:tcPr>
          <w:p w14:paraId="22BDB439">
            <w:pPr>
              <w:spacing w:line="360" w:lineRule="auto"/>
              <w:jc w:val="center"/>
              <w:rPr>
                <w:rFonts w:ascii="宋体" w:hAnsi="宋体"/>
                <w:color w:val="000000"/>
                <w:sz w:val="24"/>
                <w:highlight w:val="none"/>
              </w:rPr>
            </w:pPr>
            <w:r>
              <w:rPr>
                <w:rFonts w:hint="eastAsia" w:ascii="宋体" w:hAnsi="宋体"/>
                <w:color w:val="000000"/>
                <w:sz w:val="24"/>
                <w:highlight w:val="none"/>
              </w:rPr>
              <w:t>营业执照</w:t>
            </w:r>
          </w:p>
        </w:tc>
        <w:tc>
          <w:tcPr>
            <w:tcW w:w="4677" w:type="dxa"/>
            <w:noWrap w:val="0"/>
            <w:vAlign w:val="center"/>
          </w:tcPr>
          <w:p w14:paraId="1F34A83B">
            <w:pPr>
              <w:spacing w:line="360" w:lineRule="auto"/>
              <w:rPr>
                <w:rFonts w:ascii="宋体" w:hAnsi="宋体"/>
                <w:color w:val="000000"/>
                <w:sz w:val="24"/>
                <w:highlight w:val="none"/>
              </w:rPr>
            </w:pPr>
            <w:r>
              <w:rPr>
                <w:rFonts w:hint="eastAsia" w:ascii="宋体" w:hAnsi="宋体"/>
                <w:color w:val="000000"/>
                <w:sz w:val="24"/>
                <w:highlight w:val="none"/>
              </w:rPr>
              <w:t>具备有效的营业执照</w:t>
            </w:r>
          </w:p>
        </w:tc>
      </w:tr>
      <w:tr w14:paraId="2F89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3D1A2DEA">
            <w:pPr>
              <w:spacing w:line="360" w:lineRule="auto"/>
              <w:rPr>
                <w:rFonts w:ascii="宋体" w:hAnsi="宋体" w:cs="宋体"/>
                <w:snapToGrid w:val="0"/>
                <w:color w:val="000000"/>
                <w:sz w:val="24"/>
                <w:highlight w:val="none"/>
              </w:rPr>
            </w:pPr>
          </w:p>
        </w:tc>
        <w:tc>
          <w:tcPr>
            <w:tcW w:w="1276" w:type="dxa"/>
            <w:vMerge w:val="continue"/>
            <w:noWrap w:val="0"/>
            <w:vAlign w:val="center"/>
          </w:tcPr>
          <w:p w14:paraId="5BCF1DF6">
            <w:pPr>
              <w:spacing w:line="360" w:lineRule="auto"/>
              <w:jc w:val="center"/>
              <w:rPr>
                <w:rFonts w:ascii="宋体" w:hAnsi="宋体"/>
                <w:color w:val="000000"/>
                <w:sz w:val="24"/>
                <w:highlight w:val="none"/>
              </w:rPr>
            </w:pPr>
          </w:p>
        </w:tc>
        <w:tc>
          <w:tcPr>
            <w:tcW w:w="1701" w:type="dxa"/>
            <w:noWrap w:val="0"/>
            <w:vAlign w:val="center"/>
          </w:tcPr>
          <w:p w14:paraId="2F7B632A">
            <w:pPr>
              <w:spacing w:line="360" w:lineRule="auto"/>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财务状况</w:t>
            </w:r>
          </w:p>
        </w:tc>
        <w:tc>
          <w:tcPr>
            <w:tcW w:w="4677" w:type="dxa"/>
            <w:noWrap w:val="0"/>
            <w:vAlign w:val="center"/>
          </w:tcPr>
          <w:p w14:paraId="46A14465">
            <w:pPr>
              <w:spacing w:line="360" w:lineRule="auto"/>
              <w:rPr>
                <w:rFonts w:ascii="宋体" w:hAnsi="宋体"/>
                <w:color w:val="000000"/>
                <w:sz w:val="24"/>
                <w:highlight w:val="none"/>
              </w:rPr>
            </w:pPr>
            <w:r>
              <w:rPr>
                <w:rFonts w:hint="eastAsia" w:ascii="宋体" w:hAnsi="宋体" w:cs="宋体"/>
                <w:sz w:val="24"/>
                <w:highlight w:val="none"/>
                <w:lang w:val="en-US" w:eastAsia="zh-CN"/>
              </w:rPr>
              <w:t>具有良好的商业信誉和健全的财务会计制度，供应商须提供</w:t>
            </w:r>
            <w:r>
              <w:rPr>
                <w:rFonts w:hint="eastAsia" w:ascii="宋体" w:hAnsi="宋体" w:cs="宋体"/>
                <w:sz w:val="24"/>
                <w:highlight w:val="none"/>
              </w:rPr>
              <w:t>近三年财务审计报告</w:t>
            </w:r>
            <w:r>
              <w:rPr>
                <w:rFonts w:hint="eastAsia" w:ascii="宋体" w:hAnsi="宋体" w:cs="宋体"/>
                <w:sz w:val="24"/>
                <w:highlight w:val="none"/>
                <w:lang w:eastAsia="zh-CN"/>
              </w:rPr>
              <w:t>（</w:t>
            </w:r>
            <w:r>
              <w:rPr>
                <w:rFonts w:hint="eastAsia" w:ascii="宋体" w:hAnsi="宋体" w:cs="宋体"/>
                <w:sz w:val="24"/>
                <w:highlight w:val="none"/>
              </w:rPr>
              <w:t>新成立公司不足一年的以公司成立时间为准</w:t>
            </w:r>
            <w:r>
              <w:rPr>
                <w:rFonts w:hint="eastAsia" w:ascii="宋体" w:hAnsi="宋体" w:cs="宋体"/>
                <w:sz w:val="24"/>
                <w:highlight w:val="none"/>
                <w:lang w:eastAsia="zh-CN"/>
              </w:rPr>
              <w:t>）</w:t>
            </w:r>
            <w:r>
              <w:rPr>
                <w:rFonts w:hint="eastAsia" w:ascii="宋体" w:hAnsi="宋体" w:cs="宋体"/>
                <w:sz w:val="24"/>
                <w:highlight w:val="none"/>
                <w:lang w:val="en-US" w:eastAsia="zh-CN"/>
              </w:rPr>
              <w:t>或基本户银行出具的资信证明等证明文件；</w:t>
            </w:r>
          </w:p>
        </w:tc>
      </w:tr>
      <w:tr w14:paraId="795B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60F53D25">
            <w:pPr>
              <w:spacing w:line="360" w:lineRule="auto"/>
              <w:rPr>
                <w:rFonts w:ascii="宋体" w:hAnsi="宋体" w:cs="宋体"/>
                <w:snapToGrid w:val="0"/>
                <w:color w:val="000000"/>
                <w:sz w:val="24"/>
                <w:highlight w:val="none"/>
              </w:rPr>
            </w:pPr>
          </w:p>
        </w:tc>
        <w:tc>
          <w:tcPr>
            <w:tcW w:w="1276" w:type="dxa"/>
            <w:vMerge w:val="continue"/>
            <w:noWrap w:val="0"/>
            <w:vAlign w:val="center"/>
          </w:tcPr>
          <w:p w14:paraId="33E579BD">
            <w:pPr>
              <w:spacing w:line="360" w:lineRule="auto"/>
              <w:jc w:val="center"/>
              <w:rPr>
                <w:rFonts w:ascii="宋体" w:hAnsi="宋体"/>
                <w:color w:val="000000"/>
                <w:sz w:val="24"/>
                <w:highlight w:val="none"/>
              </w:rPr>
            </w:pPr>
          </w:p>
        </w:tc>
        <w:tc>
          <w:tcPr>
            <w:tcW w:w="1701" w:type="dxa"/>
            <w:noWrap w:val="0"/>
            <w:vAlign w:val="center"/>
          </w:tcPr>
          <w:p w14:paraId="0276B91F">
            <w:pPr>
              <w:spacing w:line="360" w:lineRule="auto"/>
              <w:jc w:val="center"/>
              <w:rPr>
                <w:rFonts w:hint="eastAsia" w:ascii="宋体" w:hAnsi="宋体"/>
                <w:color w:val="000000"/>
                <w:sz w:val="24"/>
                <w:highlight w:val="none"/>
                <w:lang w:eastAsia="zh-CN"/>
              </w:rPr>
            </w:pPr>
            <w:r>
              <w:rPr>
                <w:rFonts w:hint="eastAsia" w:ascii="宋体" w:hAnsi="宋体"/>
                <w:color w:val="000000"/>
                <w:sz w:val="24"/>
                <w:highlight w:val="none"/>
                <w:lang w:eastAsia="zh-CN"/>
              </w:rPr>
              <w:t>承诺书</w:t>
            </w:r>
          </w:p>
        </w:tc>
        <w:tc>
          <w:tcPr>
            <w:tcW w:w="4677" w:type="dxa"/>
            <w:noWrap w:val="0"/>
            <w:vAlign w:val="center"/>
          </w:tcPr>
          <w:p w14:paraId="5D6B3536">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具有履行合同所必需的设备和专业技术能力（自行作出承诺，格式自拟）</w:t>
            </w:r>
          </w:p>
        </w:tc>
      </w:tr>
      <w:tr w14:paraId="4EAC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54B99E61">
            <w:pPr>
              <w:spacing w:line="360" w:lineRule="auto"/>
              <w:rPr>
                <w:rFonts w:ascii="宋体" w:hAnsi="宋体" w:cs="宋体"/>
                <w:snapToGrid w:val="0"/>
                <w:color w:val="000000"/>
                <w:sz w:val="24"/>
                <w:highlight w:val="none"/>
              </w:rPr>
            </w:pPr>
          </w:p>
        </w:tc>
        <w:tc>
          <w:tcPr>
            <w:tcW w:w="1276" w:type="dxa"/>
            <w:vMerge w:val="continue"/>
            <w:noWrap w:val="0"/>
            <w:vAlign w:val="center"/>
          </w:tcPr>
          <w:p w14:paraId="24046182">
            <w:pPr>
              <w:spacing w:line="360" w:lineRule="auto"/>
              <w:jc w:val="center"/>
              <w:rPr>
                <w:rFonts w:ascii="宋体" w:hAnsi="宋体"/>
                <w:color w:val="000000"/>
                <w:sz w:val="24"/>
                <w:highlight w:val="none"/>
              </w:rPr>
            </w:pPr>
          </w:p>
        </w:tc>
        <w:tc>
          <w:tcPr>
            <w:tcW w:w="1701" w:type="dxa"/>
            <w:noWrap w:val="0"/>
            <w:vAlign w:val="center"/>
          </w:tcPr>
          <w:p w14:paraId="0B14F661">
            <w:pPr>
              <w:spacing w:line="360" w:lineRule="auto"/>
              <w:jc w:val="center"/>
              <w:rPr>
                <w:rFonts w:hint="eastAsia" w:ascii="宋体" w:hAnsi="宋体"/>
                <w:color w:val="000000"/>
                <w:sz w:val="24"/>
                <w:highlight w:val="none"/>
                <w:lang w:eastAsia="zh-CN"/>
              </w:rPr>
            </w:pPr>
            <w:r>
              <w:rPr>
                <w:rFonts w:hint="eastAsia" w:ascii="宋体" w:hAnsi="宋体" w:cs="宋体"/>
                <w:sz w:val="24"/>
                <w:highlight w:val="none"/>
                <w:lang w:val="en-US" w:eastAsia="zh-CN"/>
              </w:rPr>
              <w:t>纳税证明</w:t>
            </w:r>
          </w:p>
        </w:tc>
        <w:tc>
          <w:tcPr>
            <w:tcW w:w="4677" w:type="dxa"/>
            <w:noWrap w:val="0"/>
            <w:vAlign w:val="center"/>
          </w:tcPr>
          <w:p w14:paraId="53327618">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具有依法缴纳税收和社会保障资金的良好记录（提供2024年01月01日以来任意三个月依法缴纳税收和社会保障金的证明材料</w:t>
            </w:r>
          </w:p>
        </w:tc>
      </w:tr>
      <w:tr w14:paraId="2F25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noWrap w:val="0"/>
            <w:vAlign w:val="center"/>
          </w:tcPr>
          <w:p w14:paraId="4EF7B9C2">
            <w:pPr>
              <w:spacing w:line="360" w:lineRule="auto"/>
              <w:rPr>
                <w:rFonts w:ascii="宋体" w:hAnsi="宋体" w:cs="宋体"/>
                <w:snapToGrid w:val="0"/>
                <w:color w:val="000000"/>
                <w:sz w:val="24"/>
                <w:highlight w:val="none"/>
              </w:rPr>
            </w:pPr>
          </w:p>
        </w:tc>
        <w:tc>
          <w:tcPr>
            <w:tcW w:w="1276" w:type="dxa"/>
            <w:vMerge w:val="continue"/>
            <w:noWrap w:val="0"/>
            <w:vAlign w:val="center"/>
          </w:tcPr>
          <w:p w14:paraId="7C866AC9">
            <w:pPr>
              <w:spacing w:line="360" w:lineRule="auto"/>
              <w:jc w:val="center"/>
              <w:rPr>
                <w:rFonts w:ascii="宋体" w:hAnsi="宋体"/>
                <w:color w:val="000000"/>
                <w:sz w:val="24"/>
                <w:highlight w:val="none"/>
              </w:rPr>
            </w:pPr>
          </w:p>
        </w:tc>
        <w:tc>
          <w:tcPr>
            <w:tcW w:w="1701" w:type="dxa"/>
            <w:noWrap w:val="0"/>
            <w:vAlign w:val="center"/>
          </w:tcPr>
          <w:p w14:paraId="74626AE6">
            <w:pPr>
              <w:spacing w:line="360" w:lineRule="auto"/>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反商业贿赂承诺书</w:t>
            </w:r>
          </w:p>
        </w:tc>
        <w:tc>
          <w:tcPr>
            <w:tcW w:w="4677" w:type="dxa"/>
            <w:noWrap w:val="0"/>
            <w:vAlign w:val="center"/>
          </w:tcPr>
          <w:p w14:paraId="00C22A42">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出具本单位无商业贿赂及无不正当竞争行为的承诺书（自行作出承诺，格式自拟）</w:t>
            </w:r>
          </w:p>
        </w:tc>
      </w:tr>
      <w:tr w14:paraId="13FF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7" w:type="dxa"/>
            <w:vMerge w:val="continue"/>
            <w:noWrap w:val="0"/>
            <w:vAlign w:val="center"/>
          </w:tcPr>
          <w:p w14:paraId="761DA667">
            <w:pPr>
              <w:spacing w:line="360" w:lineRule="auto"/>
              <w:rPr>
                <w:rFonts w:ascii="宋体" w:hAnsi="宋体" w:cs="宋体"/>
                <w:snapToGrid w:val="0"/>
                <w:color w:val="000000"/>
                <w:sz w:val="24"/>
                <w:highlight w:val="none"/>
              </w:rPr>
            </w:pPr>
          </w:p>
        </w:tc>
        <w:tc>
          <w:tcPr>
            <w:tcW w:w="1276" w:type="dxa"/>
            <w:vMerge w:val="continue"/>
            <w:noWrap w:val="0"/>
            <w:vAlign w:val="center"/>
          </w:tcPr>
          <w:p w14:paraId="7ABC2E37">
            <w:pPr>
              <w:spacing w:line="360" w:lineRule="auto"/>
              <w:jc w:val="center"/>
              <w:rPr>
                <w:rFonts w:ascii="宋体" w:hAnsi="宋体"/>
                <w:color w:val="000000"/>
                <w:sz w:val="24"/>
                <w:highlight w:val="none"/>
              </w:rPr>
            </w:pPr>
          </w:p>
        </w:tc>
        <w:tc>
          <w:tcPr>
            <w:tcW w:w="1701" w:type="dxa"/>
            <w:noWrap w:val="0"/>
            <w:vAlign w:val="center"/>
          </w:tcPr>
          <w:p w14:paraId="62A3DA62">
            <w:pPr>
              <w:spacing w:line="360" w:lineRule="auto"/>
              <w:jc w:val="center"/>
              <w:rPr>
                <w:rFonts w:ascii="宋体" w:hAnsi="宋体"/>
                <w:color w:val="000000"/>
                <w:sz w:val="24"/>
                <w:highlight w:val="none"/>
              </w:rPr>
            </w:pPr>
            <w:r>
              <w:rPr>
                <w:rFonts w:hint="eastAsia" w:ascii="宋体" w:hAnsi="宋体"/>
                <w:color w:val="000000"/>
                <w:sz w:val="24"/>
                <w:highlight w:val="none"/>
              </w:rPr>
              <w:t>声明函</w:t>
            </w:r>
          </w:p>
        </w:tc>
        <w:tc>
          <w:tcPr>
            <w:tcW w:w="4677" w:type="dxa"/>
            <w:noWrap w:val="0"/>
            <w:vAlign w:val="center"/>
          </w:tcPr>
          <w:p w14:paraId="275F9271">
            <w:pPr>
              <w:spacing w:line="360" w:lineRule="auto"/>
              <w:rPr>
                <w:rFonts w:ascii="宋体" w:hAnsi="宋体"/>
                <w:color w:val="000000"/>
                <w:sz w:val="24"/>
                <w:highlight w:val="none"/>
              </w:rPr>
            </w:pPr>
            <w:r>
              <w:rPr>
                <w:rFonts w:hint="eastAsia" w:ascii="宋体" w:hAnsi="宋体" w:cs="宋体"/>
                <w:sz w:val="24"/>
                <w:highlight w:val="none"/>
              </w:rPr>
              <w:t>参加政府采购活动前3年内在经营活动中没有重大违法记录的书面声明</w:t>
            </w:r>
          </w:p>
        </w:tc>
      </w:tr>
      <w:tr w14:paraId="0701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7" w:type="dxa"/>
            <w:vMerge w:val="continue"/>
            <w:noWrap w:val="0"/>
            <w:vAlign w:val="center"/>
          </w:tcPr>
          <w:p w14:paraId="471CC0A0">
            <w:pPr>
              <w:spacing w:line="360" w:lineRule="auto"/>
              <w:rPr>
                <w:rFonts w:ascii="宋体" w:hAnsi="宋体" w:cs="宋体"/>
                <w:snapToGrid w:val="0"/>
                <w:color w:val="000000"/>
                <w:sz w:val="24"/>
                <w:highlight w:val="none"/>
              </w:rPr>
            </w:pPr>
          </w:p>
        </w:tc>
        <w:tc>
          <w:tcPr>
            <w:tcW w:w="1276" w:type="dxa"/>
            <w:vMerge w:val="continue"/>
            <w:noWrap w:val="0"/>
            <w:vAlign w:val="center"/>
          </w:tcPr>
          <w:p w14:paraId="431669C3">
            <w:pPr>
              <w:spacing w:line="360" w:lineRule="auto"/>
              <w:jc w:val="center"/>
              <w:rPr>
                <w:rFonts w:ascii="宋体" w:hAnsi="宋体"/>
                <w:color w:val="000000"/>
                <w:sz w:val="24"/>
                <w:highlight w:val="none"/>
              </w:rPr>
            </w:pPr>
          </w:p>
        </w:tc>
        <w:tc>
          <w:tcPr>
            <w:tcW w:w="1701" w:type="dxa"/>
            <w:noWrap w:val="0"/>
            <w:vAlign w:val="center"/>
          </w:tcPr>
          <w:p w14:paraId="71D9758F">
            <w:pPr>
              <w:spacing w:line="360" w:lineRule="auto"/>
              <w:jc w:val="center"/>
              <w:rPr>
                <w:rFonts w:ascii="宋体" w:hAnsi="宋体"/>
                <w:color w:val="000000"/>
                <w:sz w:val="24"/>
                <w:highlight w:val="none"/>
              </w:rPr>
            </w:pPr>
            <w:r>
              <w:rPr>
                <w:rFonts w:hint="eastAsia" w:ascii="宋体" w:hAnsi="宋体"/>
                <w:color w:val="000000"/>
                <w:sz w:val="24"/>
                <w:highlight w:val="none"/>
              </w:rPr>
              <w:t>信用查询</w:t>
            </w:r>
          </w:p>
        </w:tc>
        <w:tc>
          <w:tcPr>
            <w:tcW w:w="4677" w:type="dxa"/>
            <w:noWrap w:val="0"/>
            <w:vAlign w:val="center"/>
          </w:tcPr>
          <w:p w14:paraId="69DFC1A4">
            <w:pPr>
              <w:spacing w:line="360" w:lineRule="auto"/>
              <w:rPr>
                <w:rFonts w:ascii="宋体" w:hAnsi="宋体"/>
                <w:color w:val="000000"/>
                <w:sz w:val="24"/>
                <w:highlight w:val="none"/>
              </w:rPr>
            </w:pPr>
            <w:r>
              <w:rPr>
                <w:rFonts w:hint="eastAsia" w:ascii="宋体" w:hAnsi="宋体" w:cs="宋体"/>
                <w:sz w:val="24"/>
                <w:highlight w:val="none"/>
              </w:rPr>
              <w:t>根据《关于在政府采购活动中查询及使用信用记录有关问题的通知》 (财库[2016]125 号)和豫财购【2016】15 号的规定，企业没有被列入“ 中   国执行信息公开网 ”网站的“失信被执行人 ”、“信用中国 ”网站的“重   大税收违法失信主体 ”“失信被执行人 ”及“ 中国政府采购网 ”网站的“政   府采购严重违法失信行为记录名单 ”（查询渠道：“ 中国执行信息公开网 ” 网 站 （http://zxgk.court.gov.cn/shixin ） “ 信 用 中 国 ” 网 站   （www.creditchina.gov.cn）、中国政府采购网（www.ccgp.gov.cn）；提供网站的查询信息截图（查询时间自公告发布之日起）。</w:t>
            </w:r>
          </w:p>
        </w:tc>
      </w:tr>
      <w:tr w14:paraId="00FF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14:paraId="2440BDCD">
            <w:pPr>
              <w:spacing w:line="360" w:lineRule="auto"/>
              <w:rPr>
                <w:rFonts w:ascii="宋体" w:hAnsi="宋体" w:cs="宋体"/>
                <w:snapToGrid w:val="0"/>
                <w:color w:val="000000"/>
                <w:sz w:val="24"/>
                <w:highlight w:val="none"/>
              </w:rPr>
            </w:pPr>
            <w:r>
              <w:rPr>
                <w:rFonts w:hint="eastAsia" w:ascii="宋体" w:hAnsi="宋体" w:cs="宋体"/>
                <w:color w:val="000000"/>
                <w:kern w:val="0"/>
                <w:sz w:val="24"/>
                <w:highlight w:val="none"/>
              </w:rPr>
              <w:t>2.1.3</w:t>
            </w:r>
          </w:p>
        </w:tc>
        <w:tc>
          <w:tcPr>
            <w:tcW w:w="1276" w:type="dxa"/>
            <w:vMerge w:val="restart"/>
            <w:noWrap w:val="0"/>
            <w:vAlign w:val="center"/>
          </w:tcPr>
          <w:p w14:paraId="12DCFC62">
            <w:pPr>
              <w:spacing w:line="360" w:lineRule="auto"/>
              <w:jc w:val="center"/>
              <w:rPr>
                <w:rFonts w:ascii="宋体" w:hAnsi="宋体"/>
                <w:color w:val="000000"/>
                <w:sz w:val="24"/>
                <w:highlight w:val="none"/>
              </w:rPr>
            </w:pPr>
            <w:r>
              <w:rPr>
                <w:rFonts w:hint="eastAsia" w:ascii="宋体" w:hAnsi="宋体"/>
                <w:color w:val="000000"/>
                <w:sz w:val="24"/>
                <w:highlight w:val="none"/>
              </w:rPr>
              <w:t>响应性评审标准</w:t>
            </w:r>
          </w:p>
        </w:tc>
        <w:tc>
          <w:tcPr>
            <w:tcW w:w="1701" w:type="dxa"/>
            <w:noWrap w:val="0"/>
            <w:vAlign w:val="center"/>
          </w:tcPr>
          <w:p w14:paraId="7CCD8CF8">
            <w:pPr>
              <w:spacing w:line="360" w:lineRule="auto"/>
              <w:jc w:val="center"/>
              <w:rPr>
                <w:rFonts w:ascii="宋体" w:hAnsi="宋体"/>
                <w:color w:val="000000"/>
                <w:sz w:val="24"/>
                <w:highlight w:val="none"/>
              </w:rPr>
            </w:pPr>
            <w:r>
              <w:rPr>
                <w:rFonts w:hint="eastAsia" w:ascii="宋体" w:hAnsi="宋体"/>
                <w:color w:val="000000"/>
                <w:sz w:val="24"/>
                <w:highlight w:val="none"/>
              </w:rPr>
              <w:t>采购范围</w:t>
            </w:r>
          </w:p>
        </w:tc>
        <w:tc>
          <w:tcPr>
            <w:tcW w:w="4677" w:type="dxa"/>
            <w:noWrap w:val="0"/>
            <w:vAlign w:val="center"/>
          </w:tcPr>
          <w:p w14:paraId="1549BA78">
            <w:pPr>
              <w:spacing w:line="360" w:lineRule="auto"/>
              <w:rPr>
                <w:rFonts w:ascii="宋体" w:hAnsi="宋体"/>
                <w:color w:val="000000"/>
                <w:sz w:val="24"/>
                <w:highlight w:val="none"/>
              </w:rPr>
            </w:pPr>
            <w:r>
              <w:rPr>
                <w:rFonts w:hint="eastAsia" w:ascii="宋体" w:hAnsi="宋体"/>
                <w:color w:val="000000"/>
                <w:sz w:val="24"/>
                <w:highlight w:val="none"/>
              </w:rPr>
              <w:t>符合磋商文件规定</w:t>
            </w:r>
          </w:p>
        </w:tc>
      </w:tr>
      <w:tr w14:paraId="2417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87" w:type="dxa"/>
            <w:vMerge w:val="continue"/>
            <w:noWrap w:val="0"/>
            <w:vAlign w:val="center"/>
          </w:tcPr>
          <w:p w14:paraId="5C9A7B18">
            <w:pPr>
              <w:spacing w:line="360" w:lineRule="auto"/>
              <w:rPr>
                <w:rFonts w:ascii="宋体" w:hAnsi="宋体" w:cs="宋体"/>
                <w:snapToGrid w:val="0"/>
                <w:color w:val="000000"/>
                <w:sz w:val="24"/>
                <w:highlight w:val="none"/>
              </w:rPr>
            </w:pPr>
          </w:p>
        </w:tc>
        <w:tc>
          <w:tcPr>
            <w:tcW w:w="1276" w:type="dxa"/>
            <w:vMerge w:val="continue"/>
            <w:noWrap w:val="0"/>
            <w:vAlign w:val="center"/>
          </w:tcPr>
          <w:p w14:paraId="75C05933">
            <w:pPr>
              <w:spacing w:line="360" w:lineRule="auto"/>
              <w:jc w:val="center"/>
              <w:rPr>
                <w:rFonts w:ascii="宋体" w:hAnsi="宋体"/>
                <w:color w:val="000000"/>
                <w:sz w:val="24"/>
                <w:highlight w:val="none"/>
              </w:rPr>
            </w:pPr>
          </w:p>
        </w:tc>
        <w:tc>
          <w:tcPr>
            <w:tcW w:w="1701" w:type="dxa"/>
            <w:noWrap w:val="0"/>
            <w:vAlign w:val="center"/>
          </w:tcPr>
          <w:p w14:paraId="07E68EAA">
            <w:pPr>
              <w:spacing w:line="360" w:lineRule="auto"/>
              <w:jc w:val="center"/>
              <w:rPr>
                <w:rFonts w:ascii="宋体" w:hAnsi="宋体"/>
                <w:color w:val="000000"/>
                <w:sz w:val="24"/>
                <w:highlight w:val="none"/>
              </w:rPr>
            </w:pPr>
            <w:r>
              <w:rPr>
                <w:rFonts w:hint="eastAsia" w:ascii="宋体" w:hAnsi="宋体"/>
                <w:color w:val="000000"/>
                <w:sz w:val="24"/>
                <w:highlight w:val="none"/>
              </w:rPr>
              <w:t>交货期</w:t>
            </w:r>
          </w:p>
        </w:tc>
        <w:tc>
          <w:tcPr>
            <w:tcW w:w="4677" w:type="dxa"/>
            <w:noWrap w:val="0"/>
            <w:vAlign w:val="center"/>
          </w:tcPr>
          <w:p w14:paraId="7724076A">
            <w:pPr>
              <w:spacing w:line="360" w:lineRule="auto"/>
              <w:rPr>
                <w:rFonts w:hint="eastAsia" w:ascii="宋体" w:hAnsi="宋体" w:eastAsia="宋体"/>
                <w:color w:val="000000"/>
                <w:sz w:val="24"/>
                <w:highlight w:val="none"/>
                <w:lang w:eastAsia="zh-CN"/>
              </w:rPr>
            </w:pPr>
            <w:r>
              <w:rPr>
                <w:rFonts w:hint="eastAsia" w:ascii="宋体" w:hAnsi="宋体" w:cs="宋体"/>
                <w:sz w:val="24"/>
                <w:highlight w:val="none"/>
                <w:lang w:eastAsia="zh-CN"/>
              </w:rPr>
              <w:t>合同签订后30天内完成</w:t>
            </w:r>
          </w:p>
        </w:tc>
      </w:tr>
      <w:tr w14:paraId="35E1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24939893">
            <w:pPr>
              <w:spacing w:line="360" w:lineRule="auto"/>
              <w:rPr>
                <w:rFonts w:ascii="宋体" w:hAnsi="宋体" w:cs="宋体"/>
                <w:snapToGrid w:val="0"/>
                <w:color w:val="000000"/>
                <w:sz w:val="24"/>
                <w:highlight w:val="none"/>
              </w:rPr>
            </w:pPr>
          </w:p>
        </w:tc>
        <w:tc>
          <w:tcPr>
            <w:tcW w:w="1276" w:type="dxa"/>
            <w:vMerge w:val="continue"/>
            <w:noWrap w:val="0"/>
            <w:vAlign w:val="center"/>
          </w:tcPr>
          <w:p w14:paraId="41A4432E">
            <w:pPr>
              <w:spacing w:line="360" w:lineRule="auto"/>
              <w:jc w:val="center"/>
              <w:rPr>
                <w:rFonts w:ascii="宋体" w:hAnsi="宋体"/>
                <w:color w:val="000000"/>
                <w:sz w:val="24"/>
                <w:highlight w:val="none"/>
              </w:rPr>
            </w:pPr>
          </w:p>
        </w:tc>
        <w:tc>
          <w:tcPr>
            <w:tcW w:w="1701" w:type="dxa"/>
            <w:noWrap w:val="0"/>
            <w:vAlign w:val="center"/>
          </w:tcPr>
          <w:p w14:paraId="5B43595F">
            <w:pPr>
              <w:spacing w:line="360" w:lineRule="auto"/>
              <w:jc w:val="center"/>
              <w:rPr>
                <w:rFonts w:ascii="宋体" w:hAnsi="宋体"/>
                <w:color w:val="000000"/>
                <w:sz w:val="24"/>
                <w:highlight w:val="none"/>
              </w:rPr>
            </w:pPr>
            <w:r>
              <w:rPr>
                <w:rFonts w:hint="eastAsia" w:ascii="宋体" w:hAnsi="宋体"/>
                <w:color w:val="000000"/>
                <w:sz w:val="24"/>
                <w:highlight w:val="none"/>
              </w:rPr>
              <w:t>质量标准</w:t>
            </w:r>
          </w:p>
        </w:tc>
        <w:tc>
          <w:tcPr>
            <w:tcW w:w="4677" w:type="dxa"/>
            <w:noWrap w:val="0"/>
            <w:vAlign w:val="center"/>
          </w:tcPr>
          <w:p w14:paraId="1A59DDD4">
            <w:pPr>
              <w:spacing w:line="360" w:lineRule="auto"/>
              <w:rPr>
                <w:rFonts w:ascii="宋体" w:hAnsi="宋体"/>
                <w:color w:val="000000"/>
                <w:sz w:val="24"/>
                <w:highlight w:val="none"/>
              </w:rPr>
            </w:pPr>
            <w:r>
              <w:rPr>
                <w:rFonts w:hint="eastAsia" w:ascii="宋体" w:hAnsi="宋体"/>
                <w:color w:val="000000"/>
                <w:sz w:val="24"/>
                <w:highlight w:val="none"/>
              </w:rPr>
              <w:t>符合国家及行业标准需求并满足采购人要求。</w:t>
            </w:r>
          </w:p>
        </w:tc>
      </w:tr>
      <w:tr w14:paraId="6C34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322DAAD8">
            <w:pPr>
              <w:spacing w:line="360" w:lineRule="auto"/>
              <w:rPr>
                <w:rFonts w:ascii="宋体" w:hAnsi="宋体" w:cs="宋体"/>
                <w:snapToGrid w:val="0"/>
                <w:color w:val="000000"/>
                <w:sz w:val="24"/>
                <w:highlight w:val="none"/>
              </w:rPr>
            </w:pPr>
          </w:p>
        </w:tc>
        <w:tc>
          <w:tcPr>
            <w:tcW w:w="1276" w:type="dxa"/>
            <w:vMerge w:val="continue"/>
            <w:noWrap w:val="0"/>
            <w:vAlign w:val="center"/>
          </w:tcPr>
          <w:p w14:paraId="2869A3B0">
            <w:pPr>
              <w:spacing w:line="360" w:lineRule="auto"/>
              <w:jc w:val="center"/>
              <w:rPr>
                <w:rFonts w:ascii="宋体" w:hAnsi="宋体"/>
                <w:color w:val="000000"/>
                <w:sz w:val="24"/>
                <w:highlight w:val="none"/>
              </w:rPr>
            </w:pPr>
          </w:p>
        </w:tc>
        <w:tc>
          <w:tcPr>
            <w:tcW w:w="1701" w:type="dxa"/>
            <w:noWrap w:val="0"/>
            <w:vAlign w:val="center"/>
          </w:tcPr>
          <w:p w14:paraId="49ADBEA1">
            <w:pPr>
              <w:spacing w:line="360" w:lineRule="auto"/>
              <w:jc w:val="center"/>
              <w:rPr>
                <w:rFonts w:ascii="宋体" w:hAnsi="宋体"/>
                <w:color w:val="000000"/>
                <w:sz w:val="24"/>
                <w:highlight w:val="none"/>
              </w:rPr>
            </w:pPr>
            <w:r>
              <w:rPr>
                <w:rFonts w:hint="eastAsia" w:ascii="宋体" w:hAnsi="宋体"/>
                <w:color w:val="000000"/>
                <w:sz w:val="24"/>
                <w:highlight w:val="none"/>
              </w:rPr>
              <w:t>质保期</w:t>
            </w:r>
          </w:p>
        </w:tc>
        <w:tc>
          <w:tcPr>
            <w:tcW w:w="4677" w:type="dxa"/>
            <w:noWrap w:val="0"/>
            <w:vAlign w:val="center"/>
          </w:tcPr>
          <w:p w14:paraId="340B86B5">
            <w:pPr>
              <w:spacing w:line="360" w:lineRule="auto"/>
              <w:rPr>
                <w:rFonts w:hint="default" w:ascii="宋体" w:hAnsi="宋体" w:eastAsia="宋体"/>
                <w:color w:val="000000"/>
                <w:sz w:val="24"/>
                <w:highlight w:val="none"/>
                <w:lang w:val="en-US" w:eastAsia="zh-CN"/>
              </w:rPr>
            </w:pPr>
            <w:r>
              <w:rPr>
                <w:rFonts w:hint="eastAsia" w:ascii="宋体" w:hAnsi="宋体"/>
                <w:color w:val="000000"/>
                <w:sz w:val="24"/>
                <w:highlight w:val="none"/>
                <w:lang w:eastAsia="zh-CN"/>
              </w:rPr>
              <w:t>软件</w:t>
            </w:r>
            <w:r>
              <w:rPr>
                <w:rFonts w:hint="eastAsia" w:ascii="宋体" w:hAnsi="宋体"/>
                <w:color w:val="000000"/>
                <w:sz w:val="24"/>
                <w:highlight w:val="none"/>
              </w:rPr>
              <w:t>3年</w:t>
            </w:r>
            <w:r>
              <w:rPr>
                <w:rFonts w:hint="eastAsia" w:ascii="宋体" w:hAnsi="宋体"/>
                <w:color w:val="000000"/>
                <w:sz w:val="24"/>
                <w:highlight w:val="none"/>
                <w:lang w:eastAsia="zh-CN"/>
              </w:rPr>
              <w:t>，硬件</w:t>
            </w:r>
            <w:r>
              <w:rPr>
                <w:rFonts w:hint="eastAsia" w:ascii="宋体" w:hAnsi="宋体"/>
                <w:color w:val="000000"/>
                <w:sz w:val="24"/>
                <w:highlight w:val="none"/>
                <w:lang w:val="en-US" w:eastAsia="zh-CN"/>
              </w:rPr>
              <w:t>1年</w:t>
            </w:r>
          </w:p>
        </w:tc>
      </w:tr>
      <w:tr w14:paraId="7102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5CE89E2C">
            <w:pPr>
              <w:spacing w:line="360" w:lineRule="auto"/>
              <w:rPr>
                <w:rFonts w:ascii="宋体" w:hAnsi="宋体" w:cs="宋体"/>
                <w:snapToGrid w:val="0"/>
                <w:color w:val="000000"/>
                <w:sz w:val="24"/>
                <w:highlight w:val="none"/>
              </w:rPr>
            </w:pPr>
          </w:p>
        </w:tc>
        <w:tc>
          <w:tcPr>
            <w:tcW w:w="1276" w:type="dxa"/>
            <w:vMerge w:val="continue"/>
            <w:noWrap w:val="0"/>
            <w:vAlign w:val="center"/>
          </w:tcPr>
          <w:p w14:paraId="18AA068B">
            <w:pPr>
              <w:spacing w:line="360" w:lineRule="auto"/>
              <w:jc w:val="center"/>
              <w:rPr>
                <w:rFonts w:ascii="宋体" w:hAnsi="宋体"/>
                <w:color w:val="000000"/>
                <w:sz w:val="24"/>
                <w:highlight w:val="none"/>
              </w:rPr>
            </w:pPr>
          </w:p>
        </w:tc>
        <w:tc>
          <w:tcPr>
            <w:tcW w:w="1701" w:type="dxa"/>
            <w:noWrap w:val="0"/>
            <w:vAlign w:val="center"/>
          </w:tcPr>
          <w:p w14:paraId="3254836A">
            <w:pPr>
              <w:spacing w:line="360" w:lineRule="auto"/>
              <w:jc w:val="center"/>
              <w:rPr>
                <w:rFonts w:ascii="宋体" w:hAnsi="宋体"/>
                <w:color w:val="000000"/>
                <w:sz w:val="24"/>
                <w:highlight w:val="none"/>
              </w:rPr>
            </w:pPr>
            <w:r>
              <w:rPr>
                <w:rFonts w:hint="eastAsia" w:ascii="宋体" w:hAnsi="宋体"/>
                <w:color w:val="000000"/>
                <w:sz w:val="24"/>
                <w:highlight w:val="none"/>
              </w:rPr>
              <w:t>磋商有效期</w:t>
            </w:r>
          </w:p>
        </w:tc>
        <w:tc>
          <w:tcPr>
            <w:tcW w:w="4677" w:type="dxa"/>
            <w:noWrap w:val="0"/>
            <w:vAlign w:val="center"/>
          </w:tcPr>
          <w:p w14:paraId="796734D1">
            <w:pPr>
              <w:spacing w:line="360" w:lineRule="auto"/>
              <w:rPr>
                <w:rFonts w:ascii="宋体" w:hAnsi="宋体"/>
                <w:color w:val="000000"/>
                <w:sz w:val="24"/>
                <w:highlight w:val="none"/>
              </w:rPr>
            </w:pPr>
            <w:r>
              <w:rPr>
                <w:rFonts w:hint="eastAsia" w:ascii="宋体" w:hAnsi="宋体"/>
                <w:color w:val="000000"/>
                <w:sz w:val="24"/>
                <w:highlight w:val="none"/>
              </w:rPr>
              <w:t>符合磋商文件规定</w:t>
            </w:r>
          </w:p>
        </w:tc>
      </w:tr>
      <w:tr w14:paraId="002E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6600FA71">
            <w:pPr>
              <w:spacing w:line="360" w:lineRule="auto"/>
              <w:rPr>
                <w:rFonts w:ascii="宋体" w:hAnsi="宋体" w:cs="宋体"/>
                <w:snapToGrid w:val="0"/>
                <w:color w:val="000000"/>
                <w:sz w:val="24"/>
                <w:highlight w:val="none"/>
              </w:rPr>
            </w:pPr>
          </w:p>
        </w:tc>
        <w:tc>
          <w:tcPr>
            <w:tcW w:w="1276" w:type="dxa"/>
            <w:vMerge w:val="continue"/>
            <w:noWrap w:val="0"/>
            <w:vAlign w:val="center"/>
          </w:tcPr>
          <w:p w14:paraId="037DEB4C">
            <w:pPr>
              <w:spacing w:line="360" w:lineRule="auto"/>
              <w:jc w:val="center"/>
              <w:rPr>
                <w:rFonts w:ascii="宋体" w:hAnsi="宋体"/>
                <w:color w:val="000000"/>
                <w:sz w:val="24"/>
                <w:highlight w:val="none"/>
              </w:rPr>
            </w:pPr>
          </w:p>
        </w:tc>
        <w:tc>
          <w:tcPr>
            <w:tcW w:w="1701" w:type="dxa"/>
            <w:noWrap w:val="0"/>
            <w:vAlign w:val="center"/>
          </w:tcPr>
          <w:p w14:paraId="44B33671">
            <w:pPr>
              <w:spacing w:line="360" w:lineRule="auto"/>
              <w:jc w:val="center"/>
              <w:rPr>
                <w:rFonts w:ascii="宋体" w:hAnsi="宋体"/>
                <w:color w:val="000000"/>
                <w:sz w:val="24"/>
                <w:highlight w:val="none"/>
              </w:rPr>
            </w:pPr>
            <w:r>
              <w:rPr>
                <w:rFonts w:hint="eastAsia" w:ascii="宋体" w:hAnsi="宋体"/>
                <w:color w:val="000000"/>
                <w:sz w:val="24"/>
                <w:highlight w:val="none"/>
              </w:rPr>
              <w:t>磋商报价</w:t>
            </w:r>
          </w:p>
        </w:tc>
        <w:tc>
          <w:tcPr>
            <w:tcW w:w="4677" w:type="dxa"/>
            <w:noWrap w:val="0"/>
            <w:vAlign w:val="center"/>
          </w:tcPr>
          <w:p w14:paraId="0C156075">
            <w:pPr>
              <w:snapToGrid w:val="0"/>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第一次报价</w:t>
            </w:r>
            <w:r>
              <w:rPr>
                <w:rFonts w:hint="eastAsia"/>
                <w:color w:val="000000"/>
                <w:sz w:val="24"/>
                <w:highlight w:val="none"/>
              </w:rPr>
              <w:t>不得高于项目预算金额且不公开；</w:t>
            </w:r>
            <w:r>
              <w:rPr>
                <w:rFonts w:hint="eastAsia" w:ascii="宋体" w:hAnsi="宋体" w:cs="宋体"/>
                <w:color w:val="000000"/>
                <w:kern w:val="0"/>
                <w:sz w:val="24"/>
                <w:highlight w:val="none"/>
              </w:rPr>
              <w:t>第二次报价</w:t>
            </w:r>
            <w:r>
              <w:rPr>
                <w:rFonts w:hint="eastAsia" w:ascii="宋体" w:hAnsi="宋体" w:cs="宋体"/>
                <w:bCs/>
                <w:color w:val="000000"/>
                <w:kern w:val="0"/>
                <w:sz w:val="24"/>
                <w:highlight w:val="none"/>
              </w:rPr>
              <w:t>不得高于第一轮报价且为</w:t>
            </w:r>
            <w:r>
              <w:rPr>
                <w:rFonts w:hint="eastAsia" w:ascii="宋体" w:hAnsi="宋体" w:cs="宋体"/>
                <w:color w:val="000000"/>
                <w:kern w:val="0"/>
                <w:sz w:val="24"/>
                <w:highlight w:val="none"/>
              </w:rPr>
              <w:t>最终报价</w:t>
            </w:r>
            <w:r>
              <w:rPr>
                <w:rFonts w:hint="eastAsia" w:ascii="宋体" w:hAnsi="宋体" w:cs="宋体"/>
                <w:bCs/>
                <w:color w:val="000000"/>
                <w:kern w:val="0"/>
                <w:sz w:val="24"/>
                <w:highlight w:val="none"/>
              </w:rPr>
              <w:t>。</w:t>
            </w:r>
          </w:p>
        </w:tc>
      </w:tr>
    </w:tbl>
    <w:p w14:paraId="283C4708">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1.本次评标采用综合评估法。</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对满足磋商文件实质性要求和提交最后报的响应文件，按本章节规定的评分标准进行综合评分，并按得分由高到低顺序推荐</w:t>
      </w:r>
      <w:r>
        <w:rPr>
          <w:rFonts w:hint="eastAsia" w:ascii="宋体" w:hAnsi="宋体" w:cs="宋体"/>
          <w:color w:val="000000"/>
          <w:sz w:val="24"/>
          <w:szCs w:val="22"/>
          <w:highlight w:val="none"/>
        </w:rPr>
        <w:t>3</w:t>
      </w:r>
      <w:r>
        <w:rPr>
          <w:rFonts w:ascii="宋体" w:hAnsi="宋体" w:cs="宋体"/>
          <w:color w:val="000000"/>
          <w:sz w:val="24"/>
          <w:szCs w:val="22"/>
          <w:highlight w:val="none"/>
        </w:rPr>
        <w:t>名中标候选人。评审得分相同时，按照最后报价由低到高的顺序推荐。评审得分且最后报价相同时，由磋商小组按照技术指标优劣顺序推荐。</w:t>
      </w:r>
    </w:p>
    <w:p w14:paraId="3AE57C03">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w:t>
      </w:r>
      <w:r>
        <w:rPr>
          <w:rFonts w:ascii="宋体" w:hAnsi="宋体" w:cs="宋体"/>
          <w:color w:val="000000"/>
          <w:sz w:val="24"/>
          <w:szCs w:val="22"/>
          <w:highlight w:val="none"/>
        </w:rPr>
        <w:t>评审标准</w:t>
      </w:r>
    </w:p>
    <w:p w14:paraId="4A4EE427">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2.1初步评审标准</w:t>
      </w:r>
    </w:p>
    <w:p w14:paraId="507F18C6">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2.1.1形式评审标准：见评标办法前附表</w:t>
      </w:r>
    </w:p>
    <w:p w14:paraId="4518BD1C">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2.1.1资格评审标准：见评标办法前附表。</w:t>
      </w:r>
    </w:p>
    <w:p w14:paraId="5B8AE1FE">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2.1.2响应性评审标准：见评标办法前附表。</w:t>
      </w:r>
    </w:p>
    <w:p w14:paraId="678A0CF0">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2.2分值构成与评分标准</w:t>
      </w:r>
    </w:p>
    <w:p w14:paraId="27D1146F">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2.2.1分值构成</w:t>
      </w:r>
    </w:p>
    <w:p w14:paraId="6C540010">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（1）投标报价的权重占30%</w:t>
      </w:r>
    </w:p>
    <w:p w14:paraId="3705AEA1">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（2）技术</w:t>
      </w:r>
      <w:r>
        <w:rPr>
          <w:rFonts w:hint="eastAsia" w:ascii="宋体" w:hAnsi="宋体" w:cs="宋体"/>
          <w:color w:val="000000"/>
          <w:sz w:val="24"/>
          <w:szCs w:val="22"/>
          <w:highlight w:val="none"/>
          <w:lang w:eastAsia="zh-CN"/>
        </w:rPr>
        <w:t>部分</w:t>
      </w:r>
      <w:r>
        <w:rPr>
          <w:rFonts w:hint="eastAsia" w:ascii="宋体" w:hAnsi="宋体" w:cs="宋体"/>
          <w:color w:val="000000"/>
          <w:sz w:val="24"/>
          <w:szCs w:val="22"/>
          <w:highlight w:val="none"/>
        </w:rPr>
        <w:t>的权重占</w:t>
      </w:r>
      <w:r>
        <w:rPr>
          <w:rFonts w:hint="eastAsia" w:ascii="宋体" w:hAnsi="宋体" w:cs="宋体"/>
          <w:color w:val="000000"/>
          <w:sz w:val="24"/>
          <w:szCs w:val="22"/>
          <w:highlight w:val="none"/>
          <w:lang w:val="en-US" w:eastAsia="zh-CN"/>
        </w:rPr>
        <w:t>50</w:t>
      </w:r>
      <w:r>
        <w:rPr>
          <w:rFonts w:hint="eastAsia" w:ascii="宋体" w:hAnsi="宋体" w:cs="宋体"/>
          <w:color w:val="000000"/>
          <w:sz w:val="24"/>
          <w:szCs w:val="22"/>
          <w:highlight w:val="none"/>
        </w:rPr>
        <w:t>%</w:t>
      </w:r>
    </w:p>
    <w:p w14:paraId="1B732315">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（3）</w:t>
      </w:r>
      <w:r>
        <w:rPr>
          <w:rFonts w:hint="eastAsia" w:ascii="宋体" w:hAnsi="宋体" w:cs="宋体"/>
          <w:color w:val="000000"/>
          <w:sz w:val="24"/>
          <w:szCs w:val="22"/>
          <w:highlight w:val="none"/>
          <w:lang w:eastAsia="zh-CN"/>
        </w:rPr>
        <w:t>综合部分</w:t>
      </w:r>
      <w:r>
        <w:rPr>
          <w:rFonts w:hint="eastAsia" w:ascii="宋体" w:hAnsi="宋体" w:cs="宋体"/>
          <w:color w:val="000000"/>
          <w:sz w:val="24"/>
          <w:szCs w:val="22"/>
          <w:highlight w:val="none"/>
        </w:rPr>
        <w:t>的权重占</w:t>
      </w:r>
      <w:r>
        <w:rPr>
          <w:rFonts w:hint="eastAsia" w:ascii="宋体" w:hAnsi="宋体" w:cs="宋体"/>
          <w:color w:val="000000"/>
          <w:sz w:val="24"/>
          <w:szCs w:val="22"/>
          <w:highlight w:val="none"/>
          <w:lang w:val="en-US" w:eastAsia="zh-CN"/>
        </w:rPr>
        <w:t>20</w:t>
      </w:r>
      <w:r>
        <w:rPr>
          <w:rFonts w:hint="eastAsia" w:ascii="宋体" w:hAnsi="宋体" w:cs="宋体"/>
          <w:color w:val="000000"/>
          <w:sz w:val="24"/>
          <w:szCs w:val="22"/>
          <w:highlight w:val="none"/>
        </w:rPr>
        <w:t>%</w:t>
      </w:r>
    </w:p>
    <w:p w14:paraId="7C543B47">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2.2.2 评分标准：见评标办法前附表。</w:t>
      </w:r>
    </w:p>
    <w:p w14:paraId="60D17BA6">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3.</w:t>
      </w:r>
      <w:r>
        <w:rPr>
          <w:rFonts w:ascii="宋体" w:hAnsi="宋体" w:cs="宋体"/>
          <w:color w:val="000000"/>
          <w:sz w:val="24"/>
          <w:szCs w:val="22"/>
          <w:highlight w:val="none"/>
        </w:rPr>
        <w:t>评标程序</w:t>
      </w:r>
    </w:p>
    <w:p w14:paraId="2D5AA66A">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3.1</w:t>
      </w:r>
      <w:r>
        <w:rPr>
          <w:rFonts w:ascii="宋体" w:hAnsi="宋体" w:cs="宋体"/>
          <w:color w:val="000000"/>
          <w:sz w:val="24"/>
          <w:szCs w:val="22"/>
          <w:highlight w:val="none"/>
        </w:rPr>
        <w:t>初步评审</w:t>
      </w:r>
    </w:p>
    <w:p w14:paraId="52EC2577">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 xml:space="preserve">3.1.1 </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应该以投标人上传主体信息库的有关证明和证件的原件为准，进行核验。</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依据本章第2.1款规定的标准对响应文件进行初步评审。有一项不符合评审标准的，其投标将被否决。</w:t>
      </w:r>
    </w:p>
    <w:p w14:paraId="6E1FB8D5">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3.1.2</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依据本章第2.1.1项、第2.1.2项规定的评审标准对响应文件进行初步评审。有一项不符合评审标准的，其投标将被否决。</w:t>
      </w:r>
    </w:p>
    <w:p w14:paraId="2CB88AEB">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3.1.3投标人有以下情形之一的，其投标作无效标处理：</w:t>
      </w:r>
    </w:p>
    <w:p w14:paraId="363DB10B">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（1）</w:t>
      </w:r>
      <w:r>
        <w:rPr>
          <w:rFonts w:ascii="宋体" w:hAnsi="宋体" w:cs="宋体"/>
          <w:color w:val="000000"/>
          <w:sz w:val="24"/>
          <w:szCs w:val="22"/>
          <w:highlight w:val="none"/>
        </w:rPr>
        <w:t>串通投标或弄虚作假或有其他违法行为的；</w:t>
      </w:r>
    </w:p>
    <w:p w14:paraId="2FEE0F58">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（2）不按</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要求澄清、说明或补正的。</w:t>
      </w:r>
    </w:p>
    <w:p w14:paraId="519CF248">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3.1.4投标报价有算术错误的，</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按以下原则对投标报价进行修正，修正的价格经投标人书面确认后具有约束力。投标人不接受修正价格的，其投标将被否决。响应文件中的大写金额与小写金额不一致的，以大写金额为准；总价金额与依据单价计算出的结果不一致的，以单价金额为准修正总价，但单价金额小数点有明显错误的除外。</w:t>
      </w:r>
    </w:p>
    <w:p w14:paraId="38DEFDE5">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3.2 详细评审</w:t>
      </w:r>
    </w:p>
    <w:p w14:paraId="3C8C63E5">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3.2.1磋商小组</w:t>
      </w:r>
      <w:r>
        <w:rPr>
          <w:rFonts w:ascii="宋体" w:hAnsi="宋体" w:cs="宋体"/>
          <w:color w:val="000000"/>
          <w:sz w:val="24"/>
          <w:szCs w:val="22"/>
          <w:highlight w:val="none"/>
        </w:rPr>
        <w:t>按本章第2.2款规定的量化因素和分值进行打分，并计算出综合评估得分。</w:t>
      </w:r>
    </w:p>
    <w:p w14:paraId="4723B3A9">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3.2.2磋商小组</w:t>
      </w:r>
      <w:r>
        <w:rPr>
          <w:rFonts w:ascii="宋体" w:hAnsi="宋体" w:cs="宋体"/>
          <w:color w:val="000000"/>
          <w:sz w:val="24"/>
          <w:szCs w:val="22"/>
          <w:highlight w:val="none"/>
        </w:rPr>
        <w:t>发现投标人最终提交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认定该投标人以低于成本报价竞标，其投标作无效标处理。</w:t>
      </w:r>
    </w:p>
    <w:p w14:paraId="5611210C">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3.3 响应文件的澄清和补正</w:t>
      </w:r>
    </w:p>
    <w:p w14:paraId="380423C5">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3.3.1在评标过程中，磋商小组可以书面形式要求投标人对所提交响应文件中不明确的内容进行书面澄清或说明，或者对细微偏差进行补正。磋商小组不接受投标人主动提出的澄清、说明或补正。</w:t>
      </w:r>
    </w:p>
    <w:p w14:paraId="5D83D553">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3.3.2 澄清、说明和补正不得改变响应文件的实质性内容（算术性错误修正的除外）。投标人的书面澄清、说明和补正属于响应文件的组成部分。</w:t>
      </w:r>
    </w:p>
    <w:p w14:paraId="0FD3B8C8">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3.3.3 磋商小组对投标人提交的澄清、说明或补正有疑问的，可以要求投标人进一步澄清、说明或补正，直至满足磋商小组的要求。</w:t>
      </w:r>
    </w:p>
    <w:p w14:paraId="4B943958">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3.4投标人的最总得分</w:t>
      </w:r>
    </w:p>
    <w:p w14:paraId="611E7FB4">
      <w:pPr>
        <w:widowControl/>
        <w:spacing w:line="360" w:lineRule="auto"/>
        <w:ind w:firstLine="480" w:firstLineChars="200"/>
        <w:jc w:val="left"/>
        <w:rPr>
          <w:rFonts w:ascii="宋体" w:hAnsi="宋体" w:cs="宋体"/>
          <w:color w:val="000000"/>
          <w:sz w:val="24"/>
          <w:szCs w:val="22"/>
          <w:highlight w:val="none"/>
        </w:rPr>
      </w:pPr>
      <w:r>
        <w:rPr>
          <w:rFonts w:hint="eastAsia" w:ascii="宋体" w:hAnsi="宋体" w:cs="宋体"/>
          <w:color w:val="000000"/>
          <w:sz w:val="24"/>
          <w:szCs w:val="22"/>
          <w:highlight w:val="none"/>
        </w:rPr>
        <w:t>（1）磋商小组完成对技术标、商务标和综合标的汇总后，取平均值作为该投标人的最终得分，计算分值均保留两位小数。</w:t>
      </w:r>
    </w:p>
    <w:p w14:paraId="48F5A914">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3.5评标结果</w:t>
      </w:r>
    </w:p>
    <w:p w14:paraId="4C0605F2">
      <w:pPr>
        <w:widowControl/>
        <w:spacing w:line="360" w:lineRule="auto"/>
        <w:ind w:firstLine="480" w:firstLineChars="200"/>
        <w:jc w:val="left"/>
        <w:rPr>
          <w:rFonts w:ascii="宋体" w:hAnsi="宋体" w:cs="宋体"/>
          <w:color w:val="000000"/>
          <w:sz w:val="24"/>
          <w:szCs w:val="22"/>
          <w:highlight w:val="none"/>
        </w:rPr>
      </w:pPr>
      <w:r>
        <w:rPr>
          <w:rFonts w:ascii="宋体" w:hAnsi="宋体" w:cs="宋体"/>
          <w:color w:val="000000"/>
          <w:sz w:val="24"/>
          <w:szCs w:val="22"/>
          <w:highlight w:val="none"/>
        </w:rPr>
        <w:t>3.5.1</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按照得分由高到低的顺序推荐</w:t>
      </w:r>
      <w:r>
        <w:rPr>
          <w:rFonts w:hint="eastAsia" w:ascii="宋体" w:hAnsi="宋体" w:cs="宋体"/>
          <w:color w:val="000000"/>
          <w:sz w:val="24"/>
          <w:szCs w:val="22"/>
          <w:highlight w:val="none"/>
        </w:rPr>
        <w:t>3</w:t>
      </w:r>
      <w:r>
        <w:rPr>
          <w:rFonts w:ascii="宋体" w:hAnsi="宋体" w:cs="宋体"/>
          <w:color w:val="000000"/>
          <w:sz w:val="24"/>
          <w:szCs w:val="22"/>
          <w:highlight w:val="none"/>
        </w:rPr>
        <w:t>名中标候选人。</w:t>
      </w:r>
    </w:p>
    <w:p w14:paraId="159ED11B">
      <w:pPr>
        <w:spacing w:line="360" w:lineRule="auto"/>
        <w:ind w:firstLine="480" w:firstLineChars="200"/>
        <w:rPr>
          <w:rFonts w:ascii="宋体" w:hAnsi="宋体" w:cs="宋体"/>
          <w:color w:val="000000"/>
          <w:sz w:val="24"/>
          <w:szCs w:val="22"/>
          <w:highlight w:val="none"/>
        </w:rPr>
      </w:pPr>
      <w:r>
        <w:rPr>
          <w:rFonts w:ascii="宋体" w:hAnsi="宋体" w:cs="宋体"/>
          <w:color w:val="000000"/>
          <w:sz w:val="24"/>
          <w:szCs w:val="22"/>
          <w:highlight w:val="none"/>
        </w:rPr>
        <w:t xml:space="preserve">3.5.2 </w:t>
      </w:r>
      <w:r>
        <w:rPr>
          <w:rFonts w:hint="eastAsia" w:ascii="宋体" w:hAnsi="宋体" w:cs="宋体"/>
          <w:color w:val="000000"/>
          <w:sz w:val="24"/>
          <w:szCs w:val="22"/>
          <w:highlight w:val="none"/>
        </w:rPr>
        <w:t>磋商小组</w:t>
      </w:r>
      <w:r>
        <w:rPr>
          <w:rFonts w:ascii="宋体" w:hAnsi="宋体" w:cs="宋体"/>
          <w:color w:val="000000"/>
          <w:sz w:val="24"/>
          <w:szCs w:val="22"/>
          <w:highlight w:val="none"/>
        </w:rPr>
        <w:t>完成评标后，应当向采购人提交书面评标报告。</w:t>
      </w:r>
    </w:p>
    <w:p w14:paraId="781C4349">
      <w:pPr>
        <w:widowControl/>
        <w:spacing w:line="360" w:lineRule="auto"/>
        <w:ind w:firstLine="480" w:firstLineChars="200"/>
        <w:jc w:val="left"/>
        <w:rPr>
          <w:rFonts w:ascii="宋体" w:hAnsi="宋体" w:cs="宋体"/>
          <w:color w:val="000000"/>
          <w:sz w:val="24"/>
          <w:szCs w:val="22"/>
          <w:highlight w:val="none"/>
        </w:rPr>
      </w:pPr>
    </w:p>
    <w:p w14:paraId="71810F20">
      <w:pPr>
        <w:spacing w:line="360" w:lineRule="auto"/>
        <w:ind w:firstLine="480" w:firstLineChars="200"/>
        <w:rPr>
          <w:rFonts w:ascii="宋体" w:hAnsi="宋体"/>
          <w:color w:val="000000"/>
          <w:sz w:val="24"/>
          <w:highlight w:val="none"/>
        </w:rPr>
      </w:pPr>
    </w:p>
    <w:p w14:paraId="0E7854A6">
      <w:pPr>
        <w:pStyle w:val="3"/>
        <w:rPr>
          <w:highlight w:val="none"/>
        </w:rPr>
      </w:pPr>
    </w:p>
    <w:p w14:paraId="7E29E5DF">
      <w:pPr>
        <w:pStyle w:val="8"/>
        <w:rPr>
          <w:highlight w:val="none"/>
        </w:rPr>
      </w:pPr>
    </w:p>
    <w:p w14:paraId="3BA48E08">
      <w:pPr>
        <w:pStyle w:val="8"/>
        <w:rPr>
          <w:highlight w:val="none"/>
        </w:rPr>
      </w:pPr>
    </w:p>
    <w:p w14:paraId="3FEDA293">
      <w:pPr>
        <w:pStyle w:val="8"/>
        <w:rPr>
          <w:highlight w:val="none"/>
        </w:rPr>
      </w:pPr>
    </w:p>
    <w:p w14:paraId="676D929B">
      <w:pPr>
        <w:pStyle w:val="8"/>
        <w:rPr>
          <w:highlight w:val="none"/>
        </w:rPr>
      </w:pPr>
    </w:p>
    <w:p w14:paraId="072BF333">
      <w:pPr>
        <w:pStyle w:val="8"/>
        <w:rPr>
          <w:highlight w:val="none"/>
        </w:rPr>
      </w:pPr>
    </w:p>
    <w:p w14:paraId="6E3B6708">
      <w:pPr>
        <w:pStyle w:val="8"/>
        <w:rPr>
          <w:highlight w:val="none"/>
        </w:rPr>
      </w:pPr>
    </w:p>
    <w:p w14:paraId="26E0AF75">
      <w:pPr>
        <w:rPr>
          <w:rFonts w:hint="eastAsia" w:ascii="宋体" w:hAnsi="宋体"/>
          <w:b/>
          <w:color w:val="000000"/>
          <w:sz w:val="24"/>
          <w:highlight w:val="none"/>
        </w:rPr>
      </w:pPr>
      <w:r>
        <w:rPr>
          <w:rFonts w:hint="eastAsia" w:ascii="宋体" w:hAnsi="宋体"/>
          <w:b/>
          <w:color w:val="000000"/>
          <w:sz w:val="24"/>
          <w:highlight w:val="none"/>
        </w:rPr>
        <w:br w:type="page"/>
      </w:r>
    </w:p>
    <w:p w14:paraId="4A9DF532">
      <w:pPr>
        <w:spacing w:line="360" w:lineRule="auto"/>
        <w:rPr>
          <w:rFonts w:hint="eastAsia" w:ascii="宋体" w:hAnsi="宋体"/>
          <w:b/>
          <w:color w:val="000000"/>
          <w:sz w:val="24"/>
          <w:highlight w:val="none"/>
        </w:rPr>
      </w:pPr>
      <w:r>
        <w:rPr>
          <w:rFonts w:hint="eastAsia" w:ascii="宋体" w:hAnsi="宋体"/>
          <w:b/>
          <w:color w:val="000000"/>
          <w:sz w:val="24"/>
          <w:highlight w:val="none"/>
        </w:rPr>
        <w:t>附：评分计分标准，投标人评标得分</w:t>
      </w:r>
      <w:bookmarkStart w:id="74" w:name="_Toc6512"/>
      <w:bookmarkStart w:id="75" w:name="_Toc13887"/>
      <w:bookmarkStart w:id="76" w:name="_Toc29973"/>
      <w:bookmarkStart w:id="77" w:name="_Toc29012"/>
      <w:r>
        <w:rPr>
          <w:rFonts w:hint="eastAsia" w:ascii="宋体" w:hAnsi="宋体"/>
          <w:b/>
          <w:color w:val="000000"/>
          <w:sz w:val="24"/>
          <w:highlight w:val="none"/>
        </w:rPr>
        <w:t>为下表所列所有项的合计得分。</w:t>
      </w:r>
    </w:p>
    <w:tbl>
      <w:tblPr>
        <w:tblStyle w:val="14"/>
        <w:tblpPr w:leftFromText="180" w:rightFromText="180" w:vertAnchor="text" w:horzAnchor="margin" w:tblpXSpec="center" w:tblpY="17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42"/>
        <w:gridCol w:w="992"/>
        <w:gridCol w:w="6088"/>
      </w:tblGrid>
      <w:tr w14:paraId="7D51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4" w:type="dxa"/>
            <w:noWrap w:val="0"/>
            <w:vAlign w:val="center"/>
          </w:tcPr>
          <w:p w14:paraId="04524D37">
            <w:pPr>
              <w:spacing w:line="192" w:lineRule="auto"/>
              <w:jc w:val="center"/>
              <w:rPr>
                <w:rFonts w:ascii="宋体" w:hAnsi="Times New Roman" w:eastAsia="宋体" w:cs="Times New Roman"/>
                <w:b/>
                <w:bCs/>
                <w:highlight w:val="none"/>
              </w:rPr>
            </w:pPr>
            <w:r>
              <w:rPr>
                <w:rFonts w:hint="eastAsia" w:ascii="宋体" w:hAnsi="宋体" w:eastAsia="宋体" w:cs="宋体"/>
                <w:b/>
                <w:bCs/>
                <w:highlight w:val="none"/>
              </w:rPr>
              <w:t>评分因素</w:t>
            </w:r>
          </w:p>
        </w:tc>
        <w:tc>
          <w:tcPr>
            <w:tcW w:w="1242" w:type="dxa"/>
            <w:noWrap w:val="0"/>
            <w:vAlign w:val="center"/>
          </w:tcPr>
          <w:p w14:paraId="525CB236">
            <w:pPr>
              <w:spacing w:line="192" w:lineRule="auto"/>
              <w:jc w:val="center"/>
              <w:rPr>
                <w:rFonts w:ascii="宋体" w:hAnsi="Times New Roman" w:eastAsia="宋体" w:cs="Times New Roman"/>
                <w:b/>
                <w:bCs/>
                <w:highlight w:val="none"/>
              </w:rPr>
            </w:pPr>
            <w:r>
              <w:rPr>
                <w:rFonts w:hint="eastAsia" w:ascii="宋体" w:hAnsi="宋体" w:eastAsia="宋体" w:cs="宋体"/>
                <w:b/>
                <w:bCs/>
                <w:highlight w:val="none"/>
              </w:rPr>
              <w:t>评分内容</w:t>
            </w:r>
          </w:p>
        </w:tc>
        <w:tc>
          <w:tcPr>
            <w:tcW w:w="992" w:type="dxa"/>
            <w:noWrap w:val="0"/>
            <w:vAlign w:val="center"/>
          </w:tcPr>
          <w:p w14:paraId="03FC25A4">
            <w:pPr>
              <w:spacing w:line="192" w:lineRule="auto"/>
              <w:jc w:val="center"/>
              <w:rPr>
                <w:rFonts w:ascii="宋体" w:hAnsi="Times New Roman" w:eastAsia="宋体" w:cs="Times New Roman"/>
                <w:b/>
                <w:bCs/>
                <w:highlight w:val="none"/>
              </w:rPr>
            </w:pPr>
            <w:r>
              <w:rPr>
                <w:rFonts w:hint="eastAsia" w:ascii="宋体" w:hAnsi="宋体" w:eastAsia="宋体" w:cs="宋体"/>
                <w:b/>
                <w:bCs/>
                <w:highlight w:val="none"/>
              </w:rPr>
              <w:t>分值</w:t>
            </w:r>
          </w:p>
        </w:tc>
        <w:tc>
          <w:tcPr>
            <w:tcW w:w="6088" w:type="dxa"/>
            <w:noWrap w:val="0"/>
            <w:vAlign w:val="center"/>
          </w:tcPr>
          <w:p w14:paraId="0BFAEC99">
            <w:pPr>
              <w:spacing w:line="192" w:lineRule="auto"/>
              <w:ind w:firstLine="542"/>
              <w:jc w:val="center"/>
              <w:rPr>
                <w:rFonts w:ascii="宋体" w:hAnsi="Times New Roman" w:eastAsia="宋体" w:cs="Times New Roman"/>
                <w:b/>
                <w:bCs/>
                <w:highlight w:val="none"/>
              </w:rPr>
            </w:pPr>
            <w:r>
              <w:rPr>
                <w:rFonts w:hint="eastAsia" w:ascii="宋体" w:hAnsi="宋体" w:eastAsia="宋体" w:cs="宋体"/>
                <w:b/>
                <w:bCs/>
                <w:highlight w:val="none"/>
              </w:rPr>
              <w:t>评分标准</w:t>
            </w:r>
          </w:p>
        </w:tc>
      </w:tr>
      <w:tr w14:paraId="3AEC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34" w:type="dxa"/>
            <w:noWrap w:val="0"/>
            <w:vAlign w:val="center"/>
          </w:tcPr>
          <w:p w14:paraId="771425BD">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报价</w:t>
            </w:r>
          </w:p>
          <w:p w14:paraId="28EA7EF9">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3</w:t>
            </w:r>
            <w:r>
              <w:rPr>
                <w:rFonts w:ascii="宋体" w:hAnsi="宋体" w:eastAsia="宋体" w:cs="Times New Roman"/>
                <w:szCs w:val="21"/>
                <w:highlight w:val="none"/>
              </w:rPr>
              <w:t>0</w:t>
            </w:r>
            <w:r>
              <w:rPr>
                <w:rFonts w:hint="eastAsia" w:ascii="宋体" w:hAnsi="宋体" w:eastAsia="宋体" w:cs="Times New Roman"/>
                <w:szCs w:val="21"/>
                <w:highlight w:val="none"/>
              </w:rPr>
              <w:t>分）</w:t>
            </w:r>
          </w:p>
        </w:tc>
        <w:tc>
          <w:tcPr>
            <w:tcW w:w="1242" w:type="dxa"/>
            <w:noWrap w:val="0"/>
            <w:vAlign w:val="center"/>
          </w:tcPr>
          <w:p w14:paraId="1334A095">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投标报价</w:t>
            </w:r>
          </w:p>
        </w:tc>
        <w:tc>
          <w:tcPr>
            <w:tcW w:w="992" w:type="dxa"/>
            <w:noWrap w:val="0"/>
            <w:vAlign w:val="center"/>
          </w:tcPr>
          <w:p w14:paraId="63E7EEC2">
            <w:pPr>
              <w:spacing w:before="156" w:line="360" w:lineRule="auto"/>
              <w:jc w:val="center"/>
              <w:rPr>
                <w:rFonts w:ascii="宋体" w:hAnsi="宋体" w:eastAsia="宋体" w:cs="Times New Roman"/>
                <w:szCs w:val="21"/>
                <w:highlight w:val="none"/>
              </w:rPr>
            </w:pPr>
            <w:r>
              <w:rPr>
                <w:rFonts w:hint="eastAsia" w:ascii="宋体" w:hAnsi="宋体" w:eastAsia="宋体" w:cs="宋体"/>
                <w:szCs w:val="21"/>
                <w:highlight w:val="none"/>
                <w:lang w:val="en-US" w:eastAsia="zh-CN"/>
              </w:rPr>
              <w:t>3</w:t>
            </w:r>
            <w:r>
              <w:rPr>
                <w:rFonts w:ascii="宋体" w:hAnsi="宋体" w:eastAsia="宋体" w:cs="宋体"/>
                <w:szCs w:val="21"/>
                <w:highlight w:val="none"/>
              </w:rPr>
              <w:t>0</w:t>
            </w:r>
            <w:r>
              <w:rPr>
                <w:rFonts w:hint="eastAsia" w:ascii="宋体" w:hAnsi="宋体" w:eastAsia="宋体" w:cs="宋体"/>
                <w:szCs w:val="21"/>
                <w:highlight w:val="none"/>
              </w:rPr>
              <w:t>分</w:t>
            </w:r>
          </w:p>
        </w:tc>
        <w:tc>
          <w:tcPr>
            <w:tcW w:w="6088" w:type="dxa"/>
            <w:noWrap w:val="0"/>
            <w:vAlign w:val="center"/>
          </w:tcPr>
          <w:p w14:paraId="52291C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本项目投标价超出预算价的，采购人不予接受，且投标为无效。</w:t>
            </w:r>
            <w:r>
              <w:rPr>
                <w:rFonts w:hint="eastAsia" w:ascii="宋体" w:hAnsi="宋体" w:eastAsia="宋体" w:cs="仿宋_GB2312"/>
                <w:kern w:val="0"/>
                <w:szCs w:val="21"/>
                <w:highlight w:val="none"/>
              </w:rPr>
              <w:br w:type="textWrapping"/>
            </w:r>
            <w:r>
              <w:rPr>
                <w:rFonts w:hint="eastAsia" w:ascii="宋体" w:hAnsi="宋体" w:eastAsia="宋体" w:cs="仿宋_GB2312"/>
                <w:kern w:val="0"/>
                <w:szCs w:val="21"/>
                <w:highlight w:val="none"/>
              </w:rPr>
              <w:t>投标报价得分：价格分采用低价优先法计算，即满足招标文件要求且投标价格最低的投标报价为评标基准价，得30分，其他供应商的价格分按照下列公式计算：</w:t>
            </w:r>
            <w:r>
              <w:rPr>
                <w:rFonts w:hint="eastAsia" w:ascii="宋体" w:hAnsi="宋体" w:eastAsia="宋体" w:cs="仿宋_GB2312"/>
                <w:kern w:val="0"/>
                <w:szCs w:val="21"/>
                <w:highlight w:val="none"/>
              </w:rPr>
              <w:br w:type="textWrapping"/>
            </w:r>
            <w:r>
              <w:rPr>
                <w:rFonts w:hint="eastAsia" w:ascii="宋体" w:hAnsi="宋体" w:eastAsia="宋体" w:cs="仿宋_GB2312"/>
                <w:kern w:val="0"/>
                <w:szCs w:val="21"/>
                <w:highlight w:val="none"/>
              </w:rPr>
              <w:t>报价得分=（评标基准价/投标报价）×30(精确到小数点后两位,四舍五入)</w:t>
            </w:r>
          </w:p>
          <w:p w14:paraId="049804DE">
            <w:pPr>
              <w:spacing w:line="360" w:lineRule="auto"/>
              <w:rPr>
                <w:rFonts w:ascii="宋体" w:hAnsi="宋体" w:eastAsia="宋体" w:cs="Times New Roman"/>
                <w:b/>
                <w:sz w:val="30"/>
                <w:szCs w:val="30"/>
                <w:highlight w:val="none"/>
              </w:rPr>
            </w:pPr>
            <w:r>
              <w:rPr>
                <w:rFonts w:hint="eastAsia" w:ascii="宋体" w:hAnsi="宋体" w:eastAsia="宋体" w:cs="Times New Roman"/>
                <w:b/>
                <w:szCs w:val="21"/>
                <w:highlight w:val="none"/>
              </w:rPr>
              <w:t>价格扣除：</w:t>
            </w:r>
            <w:r>
              <w:rPr>
                <w:rFonts w:hint="eastAsia" w:ascii="宋体" w:hAnsi="宋体" w:eastAsia="宋体" w:cs="Arial Unicode MS"/>
                <w:b/>
                <w:szCs w:val="21"/>
                <w:highlight w:val="none"/>
              </w:rPr>
              <w:t>《国务院关于印发扎实稳住经济一揽子政策措施的通知》（国发〔2022〕12号）对外发布，《通知》指出，加大政府采购支持中小企业力度。</w:t>
            </w:r>
            <w:r>
              <w:rPr>
                <w:rFonts w:hint="eastAsia" w:ascii="宋体" w:hAnsi="宋体" w:eastAsia="宋体" w:cs="Times New Roman"/>
                <w:b/>
                <w:szCs w:val="21"/>
                <w:highlight w:val="none"/>
              </w:rPr>
              <w:t>投标供应商为中小微企业的，对所投标的小型和微型企业制造的产品的价格给予20%的扣除，用扣除后的价格参与评审。</w:t>
            </w:r>
            <w:r>
              <w:rPr>
                <w:rFonts w:hint="eastAsia" w:ascii="宋体" w:hAnsi="宋体" w:eastAsia="宋体" w:cs="Times New Roman"/>
                <w:b/>
                <w:szCs w:val="21"/>
                <w:highlight w:val="none"/>
              </w:rPr>
              <w:br w:type="textWrapping"/>
            </w:r>
            <w:r>
              <w:rPr>
                <w:rFonts w:hint="eastAsia" w:ascii="宋体" w:hAnsi="宋体" w:eastAsia="宋体" w:cs="Times New Roman"/>
                <w:b/>
                <w:szCs w:val="21"/>
                <w:highlight w:val="none"/>
              </w:rPr>
              <w:t>所投中小微企业产品报价=所投中小微企业产品报价×（1-20%）</w:t>
            </w:r>
          </w:p>
        </w:tc>
      </w:tr>
      <w:tr w14:paraId="59CB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34" w:type="dxa"/>
            <w:vMerge w:val="restart"/>
            <w:noWrap w:val="0"/>
            <w:vAlign w:val="center"/>
          </w:tcPr>
          <w:p w14:paraId="67F30DBC">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技术部分</w:t>
            </w:r>
          </w:p>
          <w:p w14:paraId="258B9959">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50</w:t>
            </w:r>
            <w:r>
              <w:rPr>
                <w:rFonts w:hint="eastAsia" w:ascii="宋体" w:hAnsi="宋体" w:eastAsia="宋体" w:cs="Times New Roman"/>
                <w:szCs w:val="21"/>
                <w:highlight w:val="none"/>
              </w:rPr>
              <w:t>分）</w:t>
            </w:r>
          </w:p>
        </w:tc>
        <w:tc>
          <w:tcPr>
            <w:tcW w:w="1242" w:type="dxa"/>
            <w:noWrap w:val="0"/>
            <w:vAlign w:val="center"/>
          </w:tcPr>
          <w:p w14:paraId="4EE369A5">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技术参数</w:t>
            </w:r>
          </w:p>
        </w:tc>
        <w:tc>
          <w:tcPr>
            <w:tcW w:w="992" w:type="dxa"/>
            <w:noWrap w:val="0"/>
            <w:vAlign w:val="center"/>
          </w:tcPr>
          <w:p w14:paraId="38DF0BEC">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25</w:t>
            </w:r>
            <w:r>
              <w:rPr>
                <w:rFonts w:hint="eastAsia" w:ascii="宋体" w:hAnsi="宋体" w:eastAsia="宋体" w:cs="Times New Roman"/>
                <w:szCs w:val="21"/>
                <w:highlight w:val="none"/>
              </w:rPr>
              <w:t>分</w:t>
            </w:r>
          </w:p>
        </w:tc>
        <w:tc>
          <w:tcPr>
            <w:tcW w:w="6088" w:type="dxa"/>
            <w:noWrap w:val="0"/>
            <w:vAlign w:val="center"/>
          </w:tcPr>
          <w:p w14:paraId="6DC32F55">
            <w:pPr>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zh-CN"/>
              </w:rPr>
              <w:t>投标货物的性能指标及技术参数满足招标文件要求，性能说明真实、详尽、合理得</w:t>
            </w:r>
            <w:r>
              <w:rPr>
                <w:rFonts w:hint="eastAsia" w:ascii="宋体" w:hAnsi="宋体" w:eastAsia="宋体" w:cs="Times New Roman"/>
                <w:szCs w:val="21"/>
                <w:highlight w:val="none"/>
                <w:lang w:val="en-US" w:eastAsia="zh-CN"/>
              </w:rPr>
              <w:t>25</w:t>
            </w:r>
            <w:r>
              <w:rPr>
                <w:rFonts w:hint="eastAsia" w:ascii="宋体" w:hAnsi="宋体" w:eastAsia="宋体" w:cs="Times New Roman"/>
                <w:szCs w:val="21"/>
                <w:highlight w:val="none"/>
                <w:lang w:val="zh-CN"/>
              </w:rPr>
              <w:t>分，其中技术参数中带</w:t>
            </w:r>
            <w:r>
              <w:rPr>
                <w:rFonts w:hint="cs" w:ascii="宋体" w:hAnsi="宋体" w:eastAsia="宋体" w:cs="Times New Roman"/>
                <w:szCs w:val="21"/>
                <w:highlight w:val="none"/>
                <w:cs/>
                <w:lang w:val="zh-CN"/>
              </w:rPr>
              <w:t>“</w:t>
            </w:r>
            <w:r>
              <w:rPr>
                <w:rFonts w:hint="eastAsia" w:ascii="宋体" w:hAnsi="宋体" w:eastAsia="宋体" w:cs="Times New Roman"/>
                <w:szCs w:val="21"/>
                <w:highlight w:val="none"/>
                <w:lang w:val="zh-CN"/>
              </w:rPr>
              <w:t>★</w:t>
            </w:r>
            <w:r>
              <w:rPr>
                <w:rFonts w:hint="cs" w:ascii="宋体" w:hAnsi="宋体" w:eastAsia="宋体" w:cs="Times New Roman"/>
                <w:szCs w:val="21"/>
                <w:highlight w:val="none"/>
                <w:cs/>
                <w:lang w:val="zh-CN"/>
              </w:rPr>
              <w:t>”</w:t>
            </w:r>
            <w:r>
              <w:rPr>
                <w:rFonts w:hint="eastAsia" w:ascii="宋体" w:hAnsi="宋体" w:eastAsia="宋体" w:cs="Times New Roman"/>
                <w:szCs w:val="21"/>
                <w:highlight w:val="none"/>
                <w:lang w:val="zh-CN"/>
              </w:rPr>
              <w:t>为重要指标，需按招标文件技术参数要求提供相应证</w:t>
            </w:r>
            <w:bookmarkStart w:id="201" w:name="_GoBack"/>
            <w:bookmarkEnd w:id="201"/>
            <w:r>
              <w:rPr>
                <w:rFonts w:hint="eastAsia" w:ascii="宋体" w:hAnsi="宋体" w:eastAsia="宋体" w:cs="Times New Roman"/>
                <w:szCs w:val="21"/>
                <w:highlight w:val="none"/>
                <w:lang w:val="zh-CN"/>
              </w:rPr>
              <w:t>明文件，投标文件中每有一项不满足扣</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val="zh-CN"/>
              </w:rPr>
              <w:t>分，扣完为止；技术参数中无标记</w:t>
            </w:r>
            <w:r>
              <w:rPr>
                <w:rFonts w:hint="cs" w:ascii="宋体" w:hAnsi="宋体" w:eastAsia="宋体" w:cs="Times New Roman"/>
                <w:szCs w:val="21"/>
                <w:highlight w:val="none"/>
                <w:cs/>
                <w:lang w:val="zh-CN"/>
              </w:rPr>
              <w:t>“</w:t>
            </w:r>
            <w:r>
              <w:rPr>
                <w:rFonts w:hint="eastAsia" w:ascii="宋体" w:hAnsi="宋体" w:eastAsia="宋体" w:cs="Times New Roman"/>
                <w:szCs w:val="21"/>
                <w:highlight w:val="none"/>
                <w:lang w:val="zh-CN"/>
              </w:rPr>
              <w:t>★</w:t>
            </w:r>
            <w:r>
              <w:rPr>
                <w:rFonts w:hint="cs" w:ascii="宋体" w:hAnsi="宋体" w:eastAsia="宋体" w:cs="Times New Roman"/>
                <w:szCs w:val="21"/>
                <w:highlight w:val="none"/>
                <w:cs/>
                <w:lang w:val="zh-CN"/>
              </w:rPr>
              <w:t>”</w:t>
            </w:r>
            <w:r>
              <w:rPr>
                <w:rFonts w:hint="eastAsia" w:ascii="宋体" w:hAnsi="宋体" w:eastAsia="宋体" w:cs="Times New Roman"/>
                <w:szCs w:val="21"/>
                <w:highlight w:val="none"/>
                <w:lang w:val="zh-CN"/>
              </w:rPr>
              <w:t>的技术参数为一般技术指标，每有一项不满足招标文件要求，则扣1分，扣完为止。</w:t>
            </w:r>
          </w:p>
        </w:tc>
      </w:tr>
      <w:tr w14:paraId="2670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34" w:type="dxa"/>
            <w:vMerge w:val="continue"/>
            <w:noWrap w:val="0"/>
            <w:vAlign w:val="center"/>
          </w:tcPr>
          <w:p w14:paraId="2D751677">
            <w:pPr>
              <w:spacing w:line="360" w:lineRule="auto"/>
              <w:jc w:val="center"/>
              <w:rPr>
                <w:rFonts w:hint="eastAsia" w:ascii="宋体" w:hAnsi="宋体" w:eastAsia="宋体" w:cs="Times New Roman"/>
                <w:szCs w:val="21"/>
                <w:highlight w:val="none"/>
              </w:rPr>
            </w:pPr>
          </w:p>
        </w:tc>
        <w:tc>
          <w:tcPr>
            <w:tcW w:w="1242" w:type="dxa"/>
            <w:noWrap w:val="0"/>
            <w:vAlign w:val="center"/>
          </w:tcPr>
          <w:p w14:paraId="30A96AF2">
            <w:pPr>
              <w:spacing w:line="360" w:lineRule="auto"/>
              <w:jc w:val="center"/>
              <w:rPr>
                <w:rFonts w:hint="eastAsia" w:ascii="宋体" w:hAnsi="宋体" w:eastAsia="宋体" w:cs="Times New Roman"/>
                <w:szCs w:val="21"/>
                <w:highlight w:val="none"/>
              </w:rPr>
            </w:pPr>
            <w:r>
              <w:rPr>
                <w:rFonts w:hint="eastAsia" w:ascii="宋体" w:hAnsi="宋体" w:eastAsia="宋体" w:cs="Times New Roman"/>
                <w:szCs w:val="21"/>
                <w:highlight w:val="none"/>
                <w:lang w:val="zh-CN"/>
              </w:rPr>
              <w:t>其它技术要求</w:t>
            </w:r>
          </w:p>
        </w:tc>
        <w:tc>
          <w:tcPr>
            <w:tcW w:w="992" w:type="dxa"/>
            <w:noWrap w:val="0"/>
            <w:vAlign w:val="center"/>
          </w:tcPr>
          <w:p w14:paraId="71AEE81D">
            <w:pPr>
              <w:spacing w:line="36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10分</w:t>
            </w:r>
          </w:p>
        </w:tc>
        <w:tc>
          <w:tcPr>
            <w:tcW w:w="6088" w:type="dxa"/>
            <w:noWrap w:val="0"/>
            <w:vAlign w:val="center"/>
          </w:tcPr>
          <w:p w14:paraId="45CC0E5A">
            <w:pPr>
              <w:spacing w:line="360" w:lineRule="auto"/>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1、</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rPr>
              <w:t>所投智慧社区矫正指挥综合管理服务软件（服务端）开发厂商，连续五年获得国家规划布局内重点软件企业认证证书的得5分，没有不得分。</w:t>
            </w:r>
            <w:r>
              <w:rPr>
                <w:rFonts w:hint="eastAsia" w:ascii="宋体" w:hAnsi="宋体" w:eastAsia="宋体" w:cs="Times New Roman"/>
                <w:szCs w:val="21"/>
                <w:highlight w:val="none"/>
                <w:lang w:val="zh-CN"/>
              </w:rPr>
              <w:br w:type="textWrapping"/>
            </w:r>
            <w:r>
              <w:rPr>
                <w:rFonts w:hint="eastAsia" w:ascii="宋体" w:hAnsi="宋体" w:eastAsia="宋体" w:cs="Times New Roman"/>
                <w:szCs w:val="21"/>
                <w:highlight w:val="none"/>
                <w:lang w:val="zh-CN"/>
              </w:rPr>
              <w:t>2、</w:t>
            </w: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rPr>
              <w:t>所投智慧社区矫正指挥综合管理矫情态势软件（服务端）开发厂商，具有司法行业类似软件著作权证书的得5分，没有不得分。</w:t>
            </w:r>
          </w:p>
          <w:p w14:paraId="377C17A1">
            <w:pPr>
              <w:spacing w:line="360" w:lineRule="auto"/>
              <w:jc w:val="left"/>
              <w:rPr>
                <w:rFonts w:hint="eastAsia" w:ascii="宋体" w:hAnsi="宋体" w:eastAsia="宋体" w:cs="Times New Roman"/>
                <w:szCs w:val="21"/>
                <w:highlight w:val="none"/>
              </w:rPr>
            </w:pPr>
            <w:r>
              <w:rPr>
                <w:rFonts w:hint="eastAsia" w:ascii="宋体" w:hAnsi="宋体" w:eastAsia="宋体" w:cs="Times New Roman"/>
                <w:szCs w:val="21"/>
                <w:highlight w:val="none"/>
                <w:lang w:val="zh-CN"/>
              </w:rPr>
              <w:t>注：投标文件中应附加盖投标人电子签章的证书原件扫描件，否则不得分。</w:t>
            </w:r>
          </w:p>
        </w:tc>
      </w:tr>
      <w:tr w14:paraId="5A5E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34" w:type="dxa"/>
            <w:vMerge w:val="continue"/>
            <w:noWrap w:val="0"/>
            <w:vAlign w:val="center"/>
          </w:tcPr>
          <w:p w14:paraId="0BD80292">
            <w:pPr>
              <w:spacing w:line="360" w:lineRule="auto"/>
              <w:jc w:val="center"/>
              <w:rPr>
                <w:rFonts w:hint="eastAsia" w:ascii="宋体" w:hAnsi="宋体" w:eastAsia="宋体" w:cs="Times New Roman"/>
                <w:szCs w:val="21"/>
                <w:highlight w:val="none"/>
              </w:rPr>
            </w:pPr>
          </w:p>
        </w:tc>
        <w:tc>
          <w:tcPr>
            <w:tcW w:w="1242" w:type="dxa"/>
            <w:noWrap w:val="0"/>
            <w:vAlign w:val="center"/>
          </w:tcPr>
          <w:p w14:paraId="1762A642">
            <w:pPr>
              <w:spacing w:line="360" w:lineRule="auto"/>
              <w:ind w:right="56" w:rightChars="27"/>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项目实施方案</w:t>
            </w:r>
          </w:p>
        </w:tc>
        <w:tc>
          <w:tcPr>
            <w:tcW w:w="992" w:type="dxa"/>
            <w:noWrap w:val="0"/>
            <w:vAlign w:val="center"/>
          </w:tcPr>
          <w:p w14:paraId="1A9B43DE">
            <w:pPr>
              <w:spacing w:line="36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10分</w:t>
            </w:r>
          </w:p>
        </w:tc>
        <w:tc>
          <w:tcPr>
            <w:tcW w:w="6088" w:type="dxa"/>
            <w:noWrap w:val="0"/>
            <w:vAlign w:val="center"/>
          </w:tcPr>
          <w:p w14:paraId="1A2FA8FD">
            <w:pPr>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项目实施方案包括但不限于设备安装调试、检验、交工验收、培训计划等；</w:t>
            </w:r>
          </w:p>
          <w:p w14:paraId="45C5B417">
            <w:pPr>
              <w:numPr>
                <w:ilvl w:val="0"/>
                <w:numId w:val="0"/>
              </w:numPr>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kern w:val="2"/>
                <w:sz w:val="21"/>
                <w:szCs w:val="21"/>
                <w:highlight w:val="none"/>
                <w:lang w:val="en-US" w:eastAsia="zh-CN" w:bidi="ar-SA"/>
              </w:rPr>
              <w:t>1、</w:t>
            </w:r>
            <w:r>
              <w:rPr>
                <w:rFonts w:hint="eastAsia" w:ascii="宋体" w:hAnsi="宋体" w:eastAsia="宋体" w:cs="Times New Roman"/>
                <w:szCs w:val="21"/>
                <w:highlight w:val="none"/>
                <w:lang w:val="en-US" w:eastAsia="zh-CN"/>
              </w:rPr>
              <w:t>供应商编制的实施方案有利于项目实施，且科学、合理、符合国家相关标准及规定，对招标文件响应程度高的得10分；</w:t>
            </w:r>
          </w:p>
          <w:p w14:paraId="24D832B2">
            <w:pPr>
              <w:numPr>
                <w:ilvl w:val="0"/>
                <w:numId w:val="0"/>
              </w:numPr>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kern w:val="2"/>
                <w:sz w:val="21"/>
                <w:szCs w:val="21"/>
                <w:highlight w:val="none"/>
                <w:lang w:val="en-US" w:eastAsia="zh-CN" w:bidi="ar-SA"/>
              </w:rPr>
              <w:t>2、</w:t>
            </w:r>
            <w:r>
              <w:rPr>
                <w:rFonts w:hint="eastAsia" w:ascii="宋体" w:hAnsi="宋体" w:eastAsia="宋体" w:cs="Times New Roman"/>
                <w:szCs w:val="21"/>
                <w:highlight w:val="none"/>
                <w:lang w:val="en-US" w:eastAsia="zh-CN"/>
              </w:rPr>
              <w:t>供应商编制的实施方案比较利于项目实施，基本科学、合理、符合国家相关标准及规定，对招标文件响应程度较高的得7分；</w:t>
            </w:r>
          </w:p>
          <w:p w14:paraId="67A223CB">
            <w:pPr>
              <w:numPr>
                <w:ilvl w:val="0"/>
                <w:numId w:val="0"/>
              </w:numPr>
              <w:spacing w:line="360" w:lineRule="auto"/>
              <w:jc w:val="left"/>
              <w:rPr>
                <w:rFonts w:hint="default" w:ascii="宋体" w:hAnsi="宋体" w:eastAsia="宋体" w:cs="Times New Roman"/>
                <w:szCs w:val="21"/>
                <w:highlight w:val="none"/>
                <w:lang w:val="en-US" w:eastAsia="zh-CN"/>
              </w:rPr>
            </w:pPr>
            <w:r>
              <w:rPr>
                <w:rFonts w:hint="eastAsia" w:ascii="宋体" w:hAnsi="宋体" w:eastAsia="宋体" w:cs="Times New Roman"/>
                <w:kern w:val="2"/>
                <w:sz w:val="21"/>
                <w:szCs w:val="21"/>
                <w:highlight w:val="none"/>
                <w:lang w:val="en-US" w:eastAsia="zh-CN" w:bidi="ar-SA"/>
              </w:rPr>
              <w:t>3、</w:t>
            </w:r>
            <w:r>
              <w:rPr>
                <w:rFonts w:hint="eastAsia" w:ascii="宋体" w:hAnsi="宋体" w:eastAsia="宋体" w:cs="Times New Roman"/>
                <w:szCs w:val="21"/>
                <w:highlight w:val="none"/>
                <w:lang w:val="en-US" w:eastAsia="zh-CN"/>
              </w:rPr>
              <w:t>供应商编制的实施方案一般，不太科学、合理，对招标文件响应程度一般的得3分。</w:t>
            </w:r>
          </w:p>
        </w:tc>
      </w:tr>
      <w:tr w14:paraId="5565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34" w:type="dxa"/>
            <w:vMerge w:val="continue"/>
            <w:noWrap w:val="0"/>
            <w:vAlign w:val="center"/>
          </w:tcPr>
          <w:p w14:paraId="51DFBD2F">
            <w:pPr>
              <w:spacing w:line="360" w:lineRule="auto"/>
              <w:jc w:val="center"/>
              <w:rPr>
                <w:rFonts w:hint="eastAsia" w:ascii="宋体" w:hAnsi="宋体" w:eastAsia="宋体" w:cs="Times New Roman"/>
                <w:szCs w:val="21"/>
                <w:highlight w:val="none"/>
              </w:rPr>
            </w:pPr>
          </w:p>
        </w:tc>
        <w:tc>
          <w:tcPr>
            <w:tcW w:w="1242" w:type="dxa"/>
            <w:noWrap w:val="0"/>
            <w:vAlign w:val="center"/>
          </w:tcPr>
          <w:p w14:paraId="1C6966FB">
            <w:pPr>
              <w:spacing w:line="360" w:lineRule="auto"/>
              <w:ind w:right="56" w:rightChars="27"/>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培训方案</w:t>
            </w:r>
          </w:p>
        </w:tc>
        <w:tc>
          <w:tcPr>
            <w:tcW w:w="992" w:type="dxa"/>
            <w:noWrap w:val="0"/>
            <w:vAlign w:val="center"/>
          </w:tcPr>
          <w:p w14:paraId="73D21419">
            <w:pPr>
              <w:spacing w:line="36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5分</w:t>
            </w:r>
          </w:p>
        </w:tc>
        <w:tc>
          <w:tcPr>
            <w:tcW w:w="6088" w:type="dxa"/>
            <w:noWrap w:val="0"/>
            <w:vAlign w:val="center"/>
          </w:tcPr>
          <w:p w14:paraId="6A11B2E7">
            <w:pPr>
              <w:numPr>
                <w:ilvl w:val="0"/>
                <w:numId w:val="0"/>
              </w:numPr>
              <w:autoSpaceDE w:val="0"/>
              <w:autoSpaceDN w:val="0"/>
              <w:adjustRightInd w:val="0"/>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kern w:val="2"/>
                <w:sz w:val="21"/>
                <w:szCs w:val="21"/>
                <w:highlight w:val="none"/>
                <w:lang w:val="en-US" w:eastAsia="zh-CN" w:bidi="ar-SA"/>
              </w:rPr>
              <w:t>1、</w:t>
            </w:r>
            <w:r>
              <w:rPr>
                <w:rFonts w:hint="eastAsia" w:ascii="宋体" w:hAnsi="宋体" w:eastAsia="宋体" w:cs="Times New Roman"/>
                <w:szCs w:val="21"/>
                <w:highlight w:val="none"/>
                <w:lang w:val="en-US" w:eastAsia="zh-CN"/>
              </w:rPr>
              <w:t>培训计划完善，培训内容全面，培训方案可操作性强，能结合采购需求制定且非常合理，有明显优越计划内容的得5分；</w:t>
            </w:r>
          </w:p>
          <w:p w14:paraId="06216A3D">
            <w:pPr>
              <w:numPr>
                <w:ilvl w:val="0"/>
                <w:numId w:val="0"/>
              </w:numPr>
              <w:autoSpaceDE w:val="0"/>
              <w:autoSpaceDN w:val="0"/>
              <w:adjustRightInd w:val="0"/>
              <w:spacing w:line="360" w:lineRule="auto"/>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kern w:val="2"/>
                <w:sz w:val="21"/>
                <w:szCs w:val="22"/>
                <w:highlight w:val="none"/>
                <w:lang w:val="en-US" w:eastAsia="zh-CN" w:bidi="ar-SA"/>
              </w:rPr>
              <w:t>2、</w:t>
            </w:r>
            <w:r>
              <w:rPr>
                <w:rFonts w:hint="eastAsia" w:ascii="宋体" w:hAnsi="宋体" w:eastAsia="宋体" w:cs="Times New Roman"/>
                <w:szCs w:val="21"/>
                <w:highlight w:val="none"/>
                <w:lang w:val="en-US" w:eastAsia="zh-CN"/>
              </w:rPr>
              <w:t>培训计划较完善，培训内容较全面，培训方案可操作性较强的得3分；</w:t>
            </w:r>
          </w:p>
          <w:p w14:paraId="51C26AF2">
            <w:pPr>
              <w:numPr>
                <w:ilvl w:val="0"/>
                <w:numId w:val="0"/>
              </w:numPr>
              <w:autoSpaceDE w:val="0"/>
              <w:autoSpaceDN w:val="0"/>
              <w:adjustRightInd w:val="0"/>
              <w:spacing w:line="360" w:lineRule="auto"/>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kern w:val="2"/>
                <w:sz w:val="21"/>
                <w:szCs w:val="22"/>
                <w:highlight w:val="none"/>
                <w:lang w:val="en-US" w:eastAsia="zh-CN" w:bidi="ar-SA"/>
              </w:rPr>
              <w:t>3、</w:t>
            </w:r>
            <w:r>
              <w:rPr>
                <w:rFonts w:hint="eastAsia" w:ascii="宋体" w:hAnsi="宋体" w:eastAsia="宋体" w:cs="Times New Roman"/>
                <w:szCs w:val="21"/>
                <w:highlight w:val="none"/>
                <w:lang w:val="en-US" w:eastAsia="zh-CN"/>
              </w:rPr>
              <w:t>培训计划一般，培训内容不全面，培训方案可操作性不强，未能紧密结合采购需求制定的，得1分。</w:t>
            </w:r>
          </w:p>
        </w:tc>
      </w:tr>
      <w:tr w14:paraId="2D6C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34" w:type="dxa"/>
            <w:vMerge w:val="restart"/>
            <w:noWrap w:val="0"/>
            <w:vAlign w:val="center"/>
          </w:tcPr>
          <w:p w14:paraId="58D64DC6">
            <w:pPr>
              <w:autoSpaceDE w:val="0"/>
              <w:autoSpaceDN w:val="0"/>
              <w:adjustRightInd w:val="0"/>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商务部分（20分）</w:t>
            </w:r>
          </w:p>
        </w:tc>
        <w:tc>
          <w:tcPr>
            <w:tcW w:w="1242" w:type="dxa"/>
            <w:noWrap w:val="0"/>
            <w:vAlign w:val="center"/>
          </w:tcPr>
          <w:p w14:paraId="5CA450F7">
            <w:pPr>
              <w:numPr>
                <w:ilvl w:val="0"/>
                <w:numId w:val="0"/>
              </w:numPr>
              <w:autoSpaceDE w:val="0"/>
              <w:autoSpaceDN w:val="0"/>
              <w:adjustRightInd w:val="0"/>
              <w:spacing w:line="36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企业业绩</w:t>
            </w:r>
          </w:p>
        </w:tc>
        <w:tc>
          <w:tcPr>
            <w:tcW w:w="992" w:type="dxa"/>
            <w:noWrap w:val="0"/>
            <w:vAlign w:val="center"/>
          </w:tcPr>
          <w:p w14:paraId="3E22F18A">
            <w:pPr>
              <w:numPr>
                <w:ilvl w:val="0"/>
                <w:numId w:val="0"/>
              </w:numPr>
              <w:autoSpaceDE w:val="0"/>
              <w:autoSpaceDN w:val="0"/>
              <w:adjustRightInd w:val="0"/>
              <w:spacing w:line="36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6分</w:t>
            </w:r>
          </w:p>
        </w:tc>
        <w:tc>
          <w:tcPr>
            <w:tcW w:w="6088" w:type="dxa"/>
            <w:noWrap w:val="0"/>
            <w:vAlign w:val="center"/>
          </w:tcPr>
          <w:p w14:paraId="7F23A925">
            <w:pPr>
              <w:numPr>
                <w:ilvl w:val="0"/>
                <w:numId w:val="0"/>
              </w:numPr>
              <w:autoSpaceDE w:val="0"/>
              <w:autoSpaceDN w:val="0"/>
              <w:adjustRightInd w:val="0"/>
              <w:spacing w:line="360" w:lineRule="auto"/>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供应商</w:t>
            </w:r>
            <w:r>
              <w:rPr>
                <w:rFonts w:hint="eastAsia" w:ascii="宋体" w:hAnsi="宋体" w:eastAsia="宋体" w:cs="Times New Roman"/>
                <w:szCs w:val="21"/>
                <w:highlight w:val="none"/>
                <w:lang w:val="zh-CN" w:eastAsia="zh-CN"/>
              </w:rPr>
              <w:t>提供20</w:t>
            </w: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lang w:val="zh-CN" w:eastAsia="zh-CN"/>
              </w:rPr>
              <w:t>年以来承接过类似项目</w:t>
            </w:r>
            <w:r>
              <w:rPr>
                <w:rFonts w:hint="eastAsia" w:ascii="宋体" w:hAnsi="宋体" w:eastAsia="宋体" w:cs="Times New Roman"/>
                <w:szCs w:val="21"/>
                <w:highlight w:val="none"/>
                <w:lang w:val="en-US" w:eastAsia="zh-CN"/>
              </w:rPr>
              <w:t>业绩的，每提供一份得2分，最多得6分。（提供中标通知书或合同扫描件），不提供不得分。</w:t>
            </w:r>
          </w:p>
        </w:tc>
      </w:tr>
      <w:tr w14:paraId="1496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34" w:type="dxa"/>
            <w:vMerge w:val="continue"/>
            <w:noWrap w:val="0"/>
            <w:vAlign w:val="center"/>
          </w:tcPr>
          <w:p w14:paraId="30F8B500">
            <w:pPr>
              <w:autoSpaceDE w:val="0"/>
              <w:autoSpaceDN w:val="0"/>
              <w:adjustRightInd w:val="0"/>
              <w:spacing w:line="360" w:lineRule="auto"/>
              <w:jc w:val="left"/>
              <w:rPr>
                <w:rFonts w:hint="eastAsia" w:ascii="宋体" w:hAnsi="宋体" w:eastAsia="宋体" w:cs="Times New Roman"/>
                <w:szCs w:val="21"/>
                <w:highlight w:val="none"/>
                <w:lang w:val="en-US" w:eastAsia="zh-CN"/>
              </w:rPr>
            </w:pPr>
          </w:p>
        </w:tc>
        <w:tc>
          <w:tcPr>
            <w:tcW w:w="1242" w:type="dxa"/>
            <w:noWrap w:val="0"/>
            <w:vAlign w:val="center"/>
          </w:tcPr>
          <w:p w14:paraId="7D6B5EDE">
            <w:pPr>
              <w:autoSpaceDE w:val="0"/>
              <w:autoSpaceDN w:val="0"/>
              <w:adjustRightInd w:val="0"/>
              <w:spacing w:line="36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服务质量保证措施</w:t>
            </w:r>
          </w:p>
        </w:tc>
        <w:tc>
          <w:tcPr>
            <w:tcW w:w="992" w:type="dxa"/>
            <w:noWrap w:val="0"/>
            <w:vAlign w:val="center"/>
          </w:tcPr>
          <w:p w14:paraId="13C23360">
            <w:pPr>
              <w:autoSpaceDE w:val="0"/>
              <w:autoSpaceDN w:val="0"/>
              <w:adjustRightInd w:val="0"/>
              <w:spacing w:line="36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7分</w:t>
            </w:r>
          </w:p>
        </w:tc>
        <w:tc>
          <w:tcPr>
            <w:tcW w:w="6088" w:type="dxa"/>
            <w:noWrap w:val="0"/>
            <w:vAlign w:val="center"/>
          </w:tcPr>
          <w:p w14:paraId="13EB1131">
            <w:pPr>
              <w:autoSpaceDE w:val="0"/>
              <w:autoSpaceDN w:val="0"/>
              <w:adjustRightInd w:val="0"/>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供应商</w:t>
            </w:r>
            <w:r>
              <w:rPr>
                <w:rFonts w:hint="default" w:ascii="宋体" w:hAnsi="宋体" w:eastAsia="宋体" w:cs="Times New Roman"/>
                <w:szCs w:val="21"/>
                <w:highlight w:val="none"/>
                <w:lang w:val="en-US" w:eastAsia="zh-CN"/>
              </w:rPr>
              <w:t>提供产品具有相应的服务质量保证措施，根据其科学性、可靠性、先进性、稳定性，由评标委员会对比打</w:t>
            </w:r>
            <w:r>
              <w:rPr>
                <w:rFonts w:hint="eastAsia" w:ascii="宋体" w:hAnsi="宋体" w:eastAsia="宋体" w:cs="Times New Roman"/>
                <w:szCs w:val="21"/>
                <w:highlight w:val="none"/>
                <w:lang w:val="en-US" w:eastAsia="zh-CN"/>
              </w:rPr>
              <w:t>分</w:t>
            </w:r>
          </w:p>
          <w:p w14:paraId="47FF35A4">
            <w:pPr>
              <w:autoSpaceDE w:val="0"/>
              <w:autoSpaceDN w:val="0"/>
              <w:adjustRightInd w:val="0"/>
              <w:spacing w:line="360" w:lineRule="auto"/>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全面、详实、可行、合法有效得7分；基本全面、可行、基本合法有效得5分；一般得3分。</w:t>
            </w:r>
          </w:p>
        </w:tc>
      </w:tr>
      <w:tr w14:paraId="002F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34" w:type="dxa"/>
            <w:vMerge w:val="continue"/>
            <w:noWrap w:val="0"/>
            <w:vAlign w:val="center"/>
          </w:tcPr>
          <w:p w14:paraId="7B2FE61F">
            <w:pPr>
              <w:autoSpaceDE w:val="0"/>
              <w:autoSpaceDN w:val="0"/>
              <w:adjustRightInd w:val="0"/>
              <w:spacing w:line="360" w:lineRule="auto"/>
              <w:jc w:val="left"/>
              <w:rPr>
                <w:rFonts w:hint="eastAsia" w:ascii="宋体" w:hAnsi="宋体" w:eastAsia="宋体" w:cs="Times New Roman"/>
                <w:szCs w:val="21"/>
                <w:highlight w:val="none"/>
                <w:lang w:val="en-US" w:eastAsia="zh-CN"/>
              </w:rPr>
            </w:pPr>
          </w:p>
        </w:tc>
        <w:tc>
          <w:tcPr>
            <w:tcW w:w="1242" w:type="dxa"/>
            <w:noWrap w:val="0"/>
            <w:vAlign w:val="center"/>
          </w:tcPr>
          <w:p w14:paraId="06429F83">
            <w:pPr>
              <w:autoSpaceDE w:val="0"/>
              <w:autoSpaceDN w:val="0"/>
              <w:adjustRightInd w:val="0"/>
              <w:spacing w:line="36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售后服务方案</w:t>
            </w:r>
          </w:p>
        </w:tc>
        <w:tc>
          <w:tcPr>
            <w:tcW w:w="992" w:type="dxa"/>
            <w:noWrap w:val="0"/>
            <w:vAlign w:val="center"/>
          </w:tcPr>
          <w:p w14:paraId="039AD116">
            <w:pPr>
              <w:autoSpaceDE w:val="0"/>
              <w:autoSpaceDN w:val="0"/>
              <w:adjustRightInd w:val="0"/>
              <w:spacing w:line="360" w:lineRule="auto"/>
              <w:jc w:val="center"/>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7分</w:t>
            </w:r>
          </w:p>
        </w:tc>
        <w:tc>
          <w:tcPr>
            <w:tcW w:w="6088" w:type="dxa"/>
            <w:noWrap w:val="0"/>
            <w:vAlign w:val="center"/>
          </w:tcPr>
          <w:p w14:paraId="01916BAD">
            <w:pPr>
              <w:numPr>
                <w:ilvl w:val="0"/>
                <w:numId w:val="2"/>
              </w:numPr>
              <w:autoSpaceDE w:val="0"/>
              <w:autoSpaceDN w:val="0"/>
              <w:adjustRightInd w:val="0"/>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售后服务方案合理成熟，服务承诺内容齐全，应急预案和时间安排科学合理，对招标文件响应程度高得7分；</w:t>
            </w:r>
          </w:p>
          <w:p w14:paraId="4502C74E">
            <w:pPr>
              <w:numPr>
                <w:ilvl w:val="0"/>
                <w:numId w:val="2"/>
              </w:numPr>
              <w:autoSpaceDE w:val="0"/>
              <w:autoSpaceDN w:val="0"/>
              <w:adjustRightInd w:val="0"/>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售后服务方案基本合理，服务承诺内容基本齐全，应急预案和时间安排基本科学合理，对招标文件响应程度较高得5分；</w:t>
            </w:r>
          </w:p>
          <w:p w14:paraId="373CF89D">
            <w:pPr>
              <w:numPr>
                <w:ilvl w:val="0"/>
                <w:numId w:val="2"/>
              </w:numPr>
              <w:autoSpaceDE w:val="0"/>
              <w:autoSpaceDN w:val="0"/>
              <w:adjustRightInd w:val="0"/>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售后服务方案一般，服务承诺内容一般，应急预案和时间安排一般，对招标文件的响应程度一般，得3分；</w:t>
            </w:r>
          </w:p>
        </w:tc>
      </w:tr>
      <w:tr w14:paraId="17E9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34" w:type="dxa"/>
            <w:noWrap w:val="0"/>
            <w:vAlign w:val="center"/>
          </w:tcPr>
          <w:p w14:paraId="346C7E71">
            <w:pPr>
              <w:autoSpaceDE w:val="0"/>
              <w:autoSpaceDN w:val="0"/>
              <w:adjustRightInd w:val="0"/>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备注</w:t>
            </w:r>
          </w:p>
        </w:tc>
        <w:tc>
          <w:tcPr>
            <w:tcW w:w="8322" w:type="dxa"/>
            <w:gridSpan w:val="3"/>
            <w:noWrap w:val="0"/>
            <w:vAlign w:val="center"/>
          </w:tcPr>
          <w:p w14:paraId="0D73F1F1">
            <w:pPr>
              <w:autoSpaceDE w:val="0"/>
              <w:autoSpaceDN w:val="0"/>
              <w:adjustRightInd w:val="0"/>
              <w:spacing w:line="360" w:lineRule="auto"/>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以上各评分项若有缺项，对应项不得分；</w:t>
            </w:r>
          </w:p>
        </w:tc>
      </w:tr>
    </w:tbl>
    <w:p w14:paraId="5129E4D5">
      <w:pPr>
        <w:spacing w:line="360" w:lineRule="auto"/>
        <w:rPr>
          <w:rFonts w:hint="eastAsia" w:ascii="宋体" w:hAnsi="宋体"/>
          <w:b/>
          <w:color w:val="000000"/>
          <w:sz w:val="24"/>
          <w:highlight w:val="none"/>
        </w:rPr>
      </w:pPr>
    </w:p>
    <w:p w14:paraId="3FDF75FA">
      <w:pPr>
        <w:pStyle w:val="9"/>
        <w:rPr>
          <w:rFonts w:ascii="黑体" w:hAnsi="黑体" w:eastAsia="黑体"/>
          <w:color w:val="000000"/>
          <w:sz w:val="36"/>
          <w:szCs w:val="36"/>
          <w:highlight w:val="none"/>
        </w:rPr>
      </w:pPr>
      <w:bookmarkStart w:id="78" w:name="_Toc6967"/>
      <w:bookmarkStart w:id="79" w:name="_Toc7691"/>
      <w:bookmarkStart w:id="80" w:name="_Toc57277891"/>
      <w:bookmarkStart w:id="81" w:name="_Toc516499662"/>
      <w:bookmarkStart w:id="82" w:name="_Toc3245"/>
      <w:r>
        <w:rPr>
          <w:rFonts w:hint="eastAsia" w:ascii="黑体" w:hAnsi="黑体" w:eastAsia="黑体"/>
          <w:bCs/>
          <w:color w:val="000000"/>
          <w:sz w:val="36"/>
          <w:szCs w:val="36"/>
          <w:highlight w:val="none"/>
        </w:rPr>
        <w:t>第</w:t>
      </w:r>
      <w:r>
        <w:rPr>
          <w:rFonts w:hint="eastAsia" w:ascii="黑体" w:hAnsi="黑体" w:eastAsia="黑体"/>
          <w:color w:val="000000"/>
          <w:sz w:val="36"/>
          <w:szCs w:val="36"/>
          <w:highlight w:val="none"/>
        </w:rPr>
        <w:t>五章 合同文本格式</w:t>
      </w:r>
      <w:bookmarkEnd w:id="74"/>
      <w:bookmarkEnd w:id="75"/>
      <w:bookmarkEnd w:id="76"/>
      <w:bookmarkEnd w:id="77"/>
      <w:bookmarkEnd w:id="78"/>
      <w:bookmarkEnd w:id="79"/>
      <w:bookmarkEnd w:id="80"/>
      <w:bookmarkEnd w:id="81"/>
      <w:bookmarkEnd w:id="82"/>
    </w:p>
    <w:p w14:paraId="1E05244C">
      <w:pPr>
        <w:jc w:val="center"/>
        <w:rPr>
          <w:rFonts w:ascii="宋体" w:hAnsi="宋体"/>
          <w:b/>
          <w:color w:val="000000"/>
          <w:sz w:val="32"/>
          <w:szCs w:val="32"/>
          <w:highlight w:val="none"/>
        </w:rPr>
      </w:pPr>
      <w:r>
        <w:rPr>
          <w:rFonts w:hint="eastAsia" w:ascii="宋体" w:hAnsi="宋体"/>
          <w:b/>
          <w:color w:val="000000"/>
          <w:sz w:val="32"/>
          <w:szCs w:val="32"/>
          <w:highlight w:val="none"/>
        </w:rPr>
        <w:t>（仅做参考）</w:t>
      </w:r>
    </w:p>
    <w:p w14:paraId="28D7C350">
      <w:pPr>
        <w:widowControl/>
        <w:spacing w:line="520" w:lineRule="atLeast"/>
        <w:ind w:firstLine="480"/>
        <w:jc w:val="center"/>
        <w:rPr>
          <w:rFonts w:ascii="宋体" w:hAnsi="宋体" w:cs="宋体"/>
          <w:color w:val="000000"/>
          <w:kern w:val="0"/>
          <w:sz w:val="24"/>
          <w:highlight w:val="none"/>
        </w:rPr>
      </w:pPr>
      <w:bookmarkStart w:id="83" w:name="_Toc14753"/>
      <w:bookmarkStart w:id="84" w:name="_Toc21580"/>
      <w:bookmarkStart w:id="85" w:name="_Toc4343"/>
      <w:bookmarkStart w:id="86" w:name="_Toc516499663"/>
      <w:bookmarkStart w:id="87" w:name="_Toc27356"/>
      <w:bookmarkStart w:id="88" w:name="_Toc57277892"/>
      <w:bookmarkStart w:id="89" w:name="_Toc13778"/>
      <w:bookmarkStart w:id="90" w:name="_Toc18857"/>
      <w:bookmarkStart w:id="91" w:name="_Toc99007055"/>
      <w:r>
        <w:rPr>
          <w:rFonts w:hint="eastAsia" w:ascii="宋体" w:hAnsi="宋体" w:cs="宋体"/>
          <w:b/>
          <w:bCs/>
          <w:color w:val="000000"/>
          <w:kern w:val="0"/>
          <w:sz w:val="24"/>
          <w:highlight w:val="none"/>
        </w:rPr>
        <w:t>（</w:t>
      </w:r>
      <w:r>
        <w:rPr>
          <w:rFonts w:hint="eastAsia" w:ascii="宋体" w:hAnsi="宋体" w:cs="宋体"/>
          <w:color w:val="000000"/>
          <w:kern w:val="0"/>
          <w:sz w:val="24"/>
          <w:highlight w:val="none"/>
        </w:rPr>
        <w:t>招标人可根据招标项目的实际情况增减条款和内容</w:t>
      </w:r>
      <w:r>
        <w:rPr>
          <w:rFonts w:hint="eastAsia" w:ascii="宋体" w:hAnsi="宋体" w:cs="宋体"/>
          <w:b/>
          <w:bCs/>
          <w:color w:val="000000"/>
          <w:kern w:val="0"/>
          <w:sz w:val="24"/>
          <w:highlight w:val="none"/>
        </w:rPr>
        <w:t>）</w:t>
      </w:r>
    </w:p>
    <w:p w14:paraId="0C92478D">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项目名称：                          </w:t>
      </w:r>
    </w:p>
    <w:p w14:paraId="3A00636A">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甲方：（招标人）</w:t>
      </w:r>
    </w:p>
    <w:p w14:paraId="491D0829">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乙方：（中标投标人）</w:t>
      </w:r>
    </w:p>
    <w:p w14:paraId="7F3893FD">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甲、乙双方根据《中华人民共和国采购法》、《中华人民共和国民法典》等法律法规的规定，按照</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项目名称）的中标结果签订本合同。</w:t>
      </w:r>
    </w:p>
    <w:p w14:paraId="5B77051E">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1.合同内容</w:t>
      </w:r>
    </w:p>
    <w:p w14:paraId="64614663">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1.1 项目名称：</w:t>
      </w:r>
    </w:p>
    <w:p w14:paraId="0B712372">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1.2 型号规格：</w:t>
      </w:r>
    </w:p>
    <w:p w14:paraId="727004FB">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1.3 技术参数：</w:t>
      </w:r>
    </w:p>
    <w:p w14:paraId="52DBE978">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1.4 数量（单位）：</w:t>
      </w:r>
    </w:p>
    <w:p w14:paraId="289C5102">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2.合同金额</w:t>
      </w:r>
    </w:p>
    <w:p w14:paraId="2E63EB8F">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本合同金额为人民币（大写）：_________（¥________元）。</w:t>
      </w:r>
    </w:p>
    <w:p w14:paraId="5D82469A">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3.技术资料</w:t>
      </w:r>
    </w:p>
    <w:p w14:paraId="70625BF1">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3.1乙方按磋商文件规定的时间向甲方提供使用货物的有关技术资料。</w:t>
      </w:r>
    </w:p>
    <w:p w14:paraId="1895FB0F">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3.2 没有甲方事先书面同意，乙方不得将由甲方提供的有关合同或任何合同条文、规格、计划、样品或资料提供给与履行本合同无关的任何其他人。</w:t>
      </w:r>
    </w:p>
    <w:p w14:paraId="1B28699D">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4.知识产权</w:t>
      </w:r>
    </w:p>
    <w:p w14:paraId="75D79AAA">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乙方保证所提供的货物或其任何一部分均不会侵犯任何第三方的知识产权。</w:t>
      </w:r>
    </w:p>
    <w:p w14:paraId="097A3236">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5.产权担保</w:t>
      </w:r>
    </w:p>
    <w:p w14:paraId="6F29BA41">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乙方保证所交付的货物的所有权完全属于乙方且无任何抵押、查封等产权瑕疵。</w:t>
      </w:r>
    </w:p>
    <w:p w14:paraId="563AD615">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6.质量保证金</w:t>
      </w:r>
    </w:p>
    <w:p w14:paraId="5A155BFD">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6.1扣除合同总价的3﹪作为质量保证金。</w:t>
      </w:r>
    </w:p>
    <w:p w14:paraId="675A3317">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6.2在保修期内中标投标人提供的货物质量和服务符合合同约定，经验收合格，保修期满后10个工作日内该款无息退还。</w:t>
      </w:r>
    </w:p>
    <w:p w14:paraId="31A00054">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7.转包或分包</w:t>
      </w:r>
    </w:p>
    <w:p w14:paraId="47D9736A">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7.1本合同范围的货物，由乙方直接供应，不得转让他人供应。</w:t>
      </w:r>
    </w:p>
    <w:p w14:paraId="3F7C8D65">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7.2 除非得到甲方的书面同意，乙方不得部分分包给他人供应。</w:t>
      </w:r>
    </w:p>
    <w:p w14:paraId="53438EB8">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7.3如有转让和未经甲方同意的分包行为，甲方有权给予终止合同。</w:t>
      </w:r>
    </w:p>
    <w:p w14:paraId="3E3329BF">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8.交货期、交货方式及交货地点</w:t>
      </w:r>
    </w:p>
    <w:p w14:paraId="1B3D2A2C">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8.1 交货期： </w:t>
      </w:r>
    </w:p>
    <w:p w14:paraId="2D86ACF3">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8.2 交货方式：</w:t>
      </w:r>
    </w:p>
    <w:p w14:paraId="61D52730">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8.3 交货地点： </w:t>
      </w:r>
    </w:p>
    <w:p w14:paraId="1F22B90F">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9.货款支付：</w:t>
      </w:r>
      <w:r>
        <w:rPr>
          <w:rFonts w:hint="eastAsia" w:ascii="宋体" w:hAnsi="宋体" w:cs="宋体"/>
          <w:color w:val="000000"/>
          <w:kern w:val="0"/>
          <w:sz w:val="24"/>
          <w:highlight w:val="none"/>
        </w:rPr>
        <w:t xml:space="preserve">详见投标人须知前附表 </w:t>
      </w:r>
    </w:p>
    <w:p w14:paraId="446B3306">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10.税费</w:t>
      </w:r>
    </w:p>
    <w:p w14:paraId="242D66FC">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本合同执行中相关的一切税费均由乙方负担。</w:t>
      </w:r>
    </w:p>
    <w:p w14:paraId="602A13B1">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11.货物包装、发运及运输</w:t>
      </w:r>
    </w:p>
    <w:p w14:paraId="3F244611">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11.1 乙方在货物发运前对其进行满足运输距离、防潮、防震、防锈和防破损装卸等要求包装，以保证货物安全运达甲方指定地点。</w:t>
      </w:r>
    </w:p>
    <w:p w14:paraId="508600DD">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11.2 使用说明书、质量检验证明书、随配附件和工具以及清单一并附于货物内。</w:t>
      </w:r>
    </w:p>
    <w:p w14:paraId="4C0FDDB4">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11.3 乙方在货物发运手续办理完毕后24小时内或货到甲方48小时前通知甲方，以准备接货。</w:t>
      </w:r>
    </w:p>
    <w:p w14:paraId="4BEDB93D">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11.4 货物在交付甲方前发生的风险均由乙方负责。</w:t>
      </w:r>
    </w:p>
    <w:p w14:paraId="43A43936">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11.5 货物在规定的交付期限内由乙方送达甲方指定的地点视为交付，乙方同时需通知甲方货物已送达。</w:t>
      </w:r>
    </w:p>
    <w:p w14:paraId="27DA85B4">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12.质量保证及售后服务</w:t>
      </w:r>
    </w:p>
    <w:p w14:paraId="15E08AE4">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12.1 乙方提供的货物是全新、未使用过的，并完全符合强制性的国家技术质量规范和磋商文件规定的质量、规格、性能和技术规范等的要求。</w:t>
      </w:r>
    </w:p>
    <w:p w14:paraId="022ABB6F">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3FFD12FB">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12.3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 w:hAnsi="宋体" w:cs="宋体"/>
          <w:color w:val="000000"/>
          <w:kern w:val="0"/>
          <w:sz w:val="24"/>
          <w:highlight w:val="none"/>
          <w:u w:val="single"/>
        </w:rPr>
        <w:t>7</w:t>
      </w:r>
      <w:r>
        <w:rPr>
          <w:rFonts w:hint="eastAsia" w:ascii="宋体" w:hAnsi="宋体" w:cs="宋体"/>
          <w:color w:val="000000"/>
          <w:kern w:val="0"/>
          <w:sz w:val="24"/>
          <w:highlight w:val="none"/>
        </w:rPr>
        <w:t>日内应免费维修或更换有缺陷的货物或部件。如果乙方在收到通知后</w:t>
      </w:r>
      <w:r>
        <w:rPr>
          <w:rFonts w:hint="eastAsia" w:ascii="宋体" w:hAnsi="宋体" w:cs="宋体"/>
          <w:color w:val="000000"/>
          <w:kern w:val="0"/>
          <w:sz w:val="24"/>
          <w:highlight w:val="none"/>
          <w:u w:val="single"/>
        </w:rPr>
        <w:t>7</w:t>
      </w:r>
      <w:r>
        <w:rPr>
          <w:rFonts w:hint="eastAsia" w:ascii="宋体" w:hAnsi="宋体" w:cs="宋体"/>
          <w:color w:val="000000"/>
          <w:kern w:val="0"/>
          <w:sz w:val="24"/>
          <w:highlight w:val="none"/>
        </w:rPr>
        <w:t>日内没有弥补缺陷，甲方可采取必要的补救措施，但由此引发的风险和费用将由乙方承担。</w:t>
      </w:r>
    </w:p>
    <w:p w14:paraId="79192DC0">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12.4合同项下货物的质量保证期为自货物通过最终验收起个月，在保修期内，因人为因素出现故障外，乙方对货物出现的质量及安全问题负责处理解决并承担一切费用。</w:t>
      </w:r>
    </w:p>
    <w:p w14:paraId="61D28CAA">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12.5合同项下货物免费保修期为质量保证期满后个月，因人为因素出现的故障不在免费保修范围内。对超过保修期的货物终生维修，维修时只收部件成本费。</w:t>
      </w:r>
    </w:p>
    <w:p w14:paraId="49B88875">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12.6在使用过程中发生故障，乙方在接到甲方通知后在小时内到达甲方现场，小时内解除故障。</w:t>
      </w:r>
    </w:p>
    <w:p w14:paraId="76A6394C">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13.调试和验收</w:t>
      </w:r>
    </w:p>
    <w:p w14:paraId="15EB3F41">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13.1乙方交货前对产品作出全面检查和对验收文件进行整理，并列出清单，作为甲方收货验收和使用的技术条件依据，检验的结果应随货物交甲方。</w:t>
      </w:r>
    </w:p>
    <w:p w14:paraId="5E6C2F59">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13.2货物运抵现场后，甲方依据磋商文件上的技术规格要求和国家有关质量标准在3个工作日内组织初步验收，并制作验收备忘录，签署验收意见。初步验收不合格的不予签收。</w:t>
      </w:r>
    </w:p>
    <w:p w14:paraId="2AA65F43">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13.3 甲方对乙方提供的货物在使用前进行调试时，乙方负责安装并培训甲方的使用操作人员，并协助甲方一起调试，直到符合技术要求，甲方才做最终验收并签署验收意见。</w:t>
      </w:r>
    </w:p>
    <w:p w14:paraId="76B7C9EA">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13.4 对大型或技术复杂的货物，甲方应邀请国家认可的专业检测机构参与初步验收及最终验收，并由其出具质量检测报告。</w:t>
      </w:r>
    </w:p>
    <w:p w14:paraId="40AA21E0">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13.5 验收时乙方必须在现场，验收完毕后作出验收结果报告。验收费用由乙方负责。</w:t>
      </w:r>
    </w:p>
    <w:p w14:paraId="6C198D55">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14.索赔</w:t>
      </w:r>
    </w:p>
    <w:p w14:paraId="0721D7E6">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301EE0A4">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14.2 在根据合同第12条和第13条规定的检验期和质量保证期内，如果乙方对甲方提出的索赔负有责任，乙方应按照甲方同意的下列一种或多种方式解决索赔事宜：</w:t>
      </w:r>
    </w:p>
    <w:p w14:paraId="4B8F3A82">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5AF1314">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14.2.2 根据货物低劣程度、损坏程度以及甲方所遭受损失的数额，经双方商定降低货物的价格，或由有权的部门评估，以降低后的价格或评估价格为准。</w:t>
      </w:r>
    </w:p>
    <w:p w14:paraId="5FB43CA4">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1F7918CB">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76178C04">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15.违约责任</w:t>
      </w:r>
    </w:p>
    <w:p w14:paraId="298F0FBF">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15.1 甲方无正当理由拒收货物的，甲方向乙方偿付拒收货款总值的百分之五违约金。</w:t>
      </w:r>
    </w:p>
    <w:p w14:paraId="50B19D75">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15.2 甲方无故逾期验收和办理货款支付手续的,甲方按逾期付款总额每日万分之五向乙方支付违约金。</w:t>
      </w:r>
    </w:p>
    <w:p w14:paraId="521340C9">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15.3 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5623F12B">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16.不可抗力事件处理</w:t>
      </w:r>
    </w:p>
    <w:p w14:paraId="06343752">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6AE3B15">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696BFA80">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17.合同纠纷处理</w:t>
      </w:r>
    </w:p>
    <w:p w14:paraId="54F7C654">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因本合同或与本合同有关的一切事项发生争议，由双方友好协商解决。协商不成的，任何一方均可选择以下方式解决：</w:t>
      </w:r>
    </w:p>
    <w:p w14:paraId="1ED2D9B9">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17.1 向合同签订地人民法院提起诉讼。</w:t>
      </w:r>
    </w:p>
    <w:p w14:paraId="08D8C13C">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18.违约解除合同</w:t>
      </w:r>
    </w:p>
    <w:p w14:paraId="7774FBB6">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18.1在乙方违约的情况下，甲方可向乙方发出书面通知，部分或全部终止合同，同时保留向对方追诉的权利。</w:t>
      </w:r>
    </w:p>
    <w:p w14:paraId="218F76C7">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18.1.1 乙方未能在合同规定的限期或甲方同意延长的限期内提供全部或部分货物，按合同第15.3的规定可以解除合同的。</w:t>
      </w:r>
    </w:p>
    <w:p w14:paraId="509EC16B">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18.1.2 乙方有转让和未经甲方同意的分包行为，按合同第7.3的规定可以解除合同的。</w:t>
      </w:r>
    </w:p>
    <w:p w14:paraId="3C3A547C">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18.1.3 乙方未能履行合同规定的其它主要义务的。</w:t>
      </w:r>
    </w:p>
    <w:p w14:paraId="0A5B8F6E">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18.1.4 在本合同履行过程中有腐败和欺诈行为的。</w:t>
      </w:r>
    </w:p>
    <w:p w14:paraId="68AB3563">
      <w:pPr>
        <w:widowControl/>
        <w:spacing w:line="360" w:lineRule="auto"/>
        <w:ind w:firstLine="360"/>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5C790FF6">
      <w:pPr>
        <w:widowControl/>
        <w:spacing w:line="360" w:lineRule="auto"/>
        <w:ind w:firstLine="480"/>
        <w:jc w:val="left"/>
        <w:rPr>
          <w:rFonts w:ascii="宋体" w:hAnsi="宋体" w:cs="宋体"/>
          <w:color w:val="000000"/>
          <w:kern w:val="0"/>
          <w:sz w:val="24"/>
          <w:highlight w:val="none"/>
        </w:rPr>
      </w:pPr>
      <w:r>
        <w:rPr>
          <w:rFonts w:hint="eastAsia" w:ascii="宋体" w:hAnsi="宋体" w:cs="宋体"/>
          <w:b/>
          <w:bCs/>
          <w:color w:val="000000"/>
          <w:kern w:val="0"/>
          <w:sz w:val="24"/>
          <w:highlight w:val="none"/>
        </w:rPr>
        <w:t>19.其他约定</w:t>
      </w:r>
    </w:p>
    <w:p w14:paraId="136C79B4">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19.1 本采购项目的磋商文件、中标投标人的投标文件以及相关的澄清确认函（如果有的话）均为本合同不可分割的一部分，与本合同具有同等法律效力。</w:t>
      </w:r>
    </w:p>
    <w:p w14:paraId="74FE25D5">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19.2 本合同未尽事宜，双方另行补充。</w:t>
      </w:r>
    </w:p>
    <w:p w14:paraId="19459034">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19.3本合同正本一式份，具有同等法律效力，甲、乙双方各执两份。自采购合同签订之日起7个工作日内，甲方按照有关规定将合同副本报同级财政部门备案。</w:t>
      </w:r>
    </w:p>
    <w:p w14:paraId="4F92DAB8">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19.4 签定地点：</w:t>
      </w:r>
    </w:p>
    <w:p w14:paraId="18E6F7E7">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甲 方：                          乙 方：</w:t>
      </w:r>
    </w:p>
    <w:p w14:paraId="0854D855">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单位地址：                       单位地址：</w:t>
      </w:r>
    </w:p>
    <w:p w14:paraId="75A4C973">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法定代表人：                     法定代表人：</w:t>
      </w:r>
    </w:p>
    <w:p w14:paraId="60D0AC51">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委托代理人：                     委托代理人：</w:t>
      </w:r>
    </w:p>
    <w:p w14:paraId="3EB3320C">
      <w:pPr>
        <w:widowControl/>
        <w:spacing w:line="360" w:lineRule="auto"/>
        <w:ind w:firstLine="480"/>
        <w:jc w:val="left"/>
        <w:rPr>
          <w:rFonts w:ascii="宋体" w:hAnsi="宋体" w:cs="宋体"/>
          <w:color w:val="000000"/>
          <w:kern w:val="0"/>
          <w:sz w:val="24"/>
          <w:highlight w:val="none"/>
        </w:rPr>
      </w:pPr>
      <w:r>
        <w:rPr>
          <w:rFonts w:hint="eastAsia" w:ascii="宋体" w:hAnsi="宋体" w:cs="宋体"/>
          <w:color w:val="000000"/>
          <w:kern w:val="0"/>
          <w:sz w:val="24"/>
          <w:highlight w:val="none"/>
        </w:rPr>
        <w:t>电 话：                          电 话：</w:t>
      </w:r>
    </w:p>
    <w:p w14:paraId="7266CDC1">
      <w:pPr>
        <w:widowControl/>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（监督管理部门）</w:t>
      </w:r>
    </w:p>
    <w:p w14:paraId="07A30969">
      <w:pPr>
        <w:widowControl/>
        <w:spacing w:line="360" w:lineRule="auto"/>
        <w:ind w:firstLine="4200" w:firstLineChars="1750"/>
        <w:jc w:val="left"/>
        <w:rPr>
          <w:rFonts w:ascii="宋体" w:hAnsi="宋体" w:cs="宋体"/>
          <w:color w:val="000000"/>
          <w:kern w:val="0"/>
          <w:sz w:val="24"/>
          <w:highlight w:val="none"/>
        </w:rPr>
      </w:pPr>
      <w:r>
        <w:rPr>
          <w:rFonts w:hint="eastAsia" w:ascii="宋体" w:hAnsi="宋体" w:cs="宋体"/>
          <w:color w:val="000000"/>
          <w:kern w:val="0"/>
          <w:sz w:val="24"/>
          <w:highlight w:val="none"/>
        </w:rPr>
        <w:t>签订日期： 年 月 日</w:t>
      </w:r>
    </w:p>
    <w:p w14:paraId="2655102B">
      <w:pPr>
        <w:widowControl/>
        <w:jc w:val="both"/>
        <w:rPr>
          <w:rFonts w:ascii="宋体" w:hAnsi="宋体"/>
          <w:b/>
          <w:bCs/>
          <w:color w:val="000000"/>
          <w:kern w:val="0"/>
          <w:sz w:val="44"/>
          <w:szCs w:val="44"/>
          <w:highlight w:val="none"/>
        </w:rPr>
      </w:pPr>
    </w:p>
    <w:p w14:paraId="23BEE1C9">
      <w:pPr>
        <w:spacing w:line="360" w:lineRule="auto"/>
        <w:jc w:val="center"/>
        <w:outlineLvl w:val="0"/>
        <w:rPr>
          <w:rFonts w:ascii="宋体" w:hAnsi="宋体"/>
          <w:b/>
          <w:color w:val="000000"/>
          <w:sz w:val="36"/>
          <w:szCs w:val="36"/>
          <w:highlight w:val="none"/>
        </w:rPr>
      </w:pPr>
      <w:bookmarkStart w:id="92" w:name="_Toc30109"/>
      <w:r>
        <w:rPr>
          <w:rFonts w:hint="eastAsia" w:ascii="黑体" w:hAnsi="黑体" w:eastAsia="黑体"/>
          <w:b/>
          <w:color w:val="000000"/>
          <w:sz w:val="36"/>
          <w:szCs w:val="36"/>
          <w:highlight w:val="none"/>
        </w:rPr>
        <w:t xml:space="preserve">第六章   </w:t>
      </w:r>
      <w:bookmarkEnd w:id="83"/>
      <w:bookmarkEnd w:id="84"/>
      <w:bookmarkEnd w:id="85"/>
      <w:bookmarkEnd w:id="86"/>
      <w:bookmarkEnd w:id="87"/>
      <w:bookmarkEnd w:id="88"/>
      <w:bookmarkEnd w:id="89"/>
      <w:bookmarkEnd w:id="90"/>
      <w:bookmarkEnd w:id="91"/>
      <w:r>
        <w:rPr>
          <w:rFonts w:hint="eastAsia" w:ascii="宋体" w:hAnsi="宋体"/>
          <w:b/>
          <w:color w:val="000000"/>
          <w:sz w:val="36"/>
          <w:szCs w:val="36"/>
          <w:highlight w:val="none"/>
        </w:rPr>
        <w:t xml:space="preserve"> 响应性文件格式</w:t>
      </w:r>
      <w:bookmarkEnd w:id="92"/>
    </w:p>
    <w:p w14:paraId="7FD3EC35">
      <w:pPr>
        <w:spacing w:line="360" w:lineRule="auto"/>
        <w:rPr>
          <w:rFonts w:ascii="宋体" w:hAnsi="宋体" w:cs="宋体"/>
          <w:color w:val="000000"/>
          <w:kern w:val="10"/>
          <w:sz w:val="24"/>
          <w:highlight w:val="none"/>
        </w:rPr>
      </w:pPr>
    </w:p>
    <w:p w14:paraId="29FCE90C">
      <w:pPr>
        <w:spacing w:line="360" w:lineRule="auto"/>
        <w:rPr>
          <w:rFonts w:ascii="宋体" w:hAnsi="宋体" w:cs="宋体"/>
          <w:color w:val="000000"/>
          <w:kern w:val="10"/>
          <w:sz w:val="24"/>
          <w:highlight w:val="none"/>
        </w:rPr>
      </w:pPr>
    </w:p>
    <w:p w14:paraId="7390DDFB">
      <w:pPr>
        <w:spacing w:line="360" w:lineRule="auto"/>
        <w:jc w:val="center"/>
        <w:rPr>
          <w:rFonts w:ascii="宋体" w:hAnsi="宋体" w:cs="宋体"/>
          <w:b/>
          <w:color w:val="000000"/>
          <w:kern w:val="10"/>
          <w:sz w:val="24"/>
          <w:highlight w:val="none"/>
        </w:rPr>
      </w:pPr>
      <w:r>
        <w:rPr>
          <w:rFonts w:hint="eastAsia" w:ascii="宋体" w:hAnsi="宋体" w:cs="宋体"/>
          <w:b/>
          <w:color w:val="000000"/>
          <w:kern w:val="10"/>
          <w:sz w:val="32"/>
          <w:szCs w:val="32"/>
          <w:highlight w:val="none"/>
          <w:u w:val="single"/>
        </w:rPr>
        <w:t xml:space="preserve">                        （项目名称）</w:t>
      </w:r>
    </w:p>
    <w:p w14:paraId="5E579A36">
      <w:pPr>
        <w:spacing w:line="360" w:lineRule="auto"/>
        <w:rPr>
          <w:rFonts w:ascii="宋体" w:hAnsi="宋体" w:cs="宋体"/>
          <w:b/>
          <w:color w:val="000000"/>
          <w:kern w:val="10"/>
          <w:sz w:val="24"/>
          <w:highlight w:val="none"/>
        </w:rPr>
      </w:pPr>
    </w:p>
    <w:p w14:paraId="7EFEDE94">
      <w:pPr>
        <w:spacing w:line="360" w:lineRule="auto"/>
        <w:rPr>
          <w:rFonts w:ascii="宋体" w:hAnsi="宋体" w:cs="宋体"/>
          <w:b/>
          <w:color w:val="000000"/>
          <w:kern w:val="10"/>
          <w:sz w:val="44"/>
          <w:szCs w:val="44"/>
          <w:highlight w:val="none"/>
        </w:rPr>
      </w:pPr>
    </w:p>
    <w:p w14:paraId="3430C525">
      <w:pPr>
        <w:spacing w:line="360" w:lineRule="auto"/>
        <w:rPr>
          <w:rFonts w:ascii="宋体" w:hAnsi="宋体" w:cs="宋体"/>
          <w:b/>
          <w:color w:val="000000"/>
          <w:kern w:val="10"/>
          <w:sz w:val="44"/>
          <w:szCs w:val="44"/>
          <w:highlight w:val="none"/>
        </w:rPr>
      </w:pPr>
    </w:p>
    <w:p w14:paraId="34831208">
      <w:pPr>
        <w:spacing w:line="360" w:lineRule="auto"/>
        <w:jc w:val="center"/>
        <w:rPr>
          <w:rFonts w:ascii="宋体" w:hAnsi="宋体" w:cs="宋体"/>
          <w:b/>
          <w:color w:val="000000"/>
          <w:kern w:val="10"/>
          <w:sz w:val="44"/>
          <w:szCs w:val="44"/>
          <w:highlight w:val="none"/>
        </w:rPr>
      </w:pPr>
      <w:r>
        <w:rPr>
          <w:rFonts w:hint="eastAsia" w:ascii="宋体" w:hAnsi="宋体" w:cs="宋体"/>
          <w:b/>
          <w:color w:val="000000"/>
          <w:kern w:val="10"/>
          <w:sz w:val="44"/>
          <w:szCs w:val="44"/>
          <w:highlight w:val="none"/>
          <w:lang w:val="en-US" w:eastAsia="zh-CN"/>
        </w:rPr>
        <w:t xml:space="preserve">响 应 性 </w:t>
      </w:r>
      <w:r>
        <w:rPr>
          <w:rFonts w:hint="eastAsia" w:ascii="宋体" w:hAnsi="宋体" w:cs="宋体"/>
          <w:b/>
          <w:color w:val="000000"/>
          <w:kern w:val="10"/>
          <w:sz w:val="44"/>
          <w:szCs w:val="44"/>
          <w:highlight w:val="none"/>
        </w:rPr>
        <w:t>文 件</w:t>
      </w:r>
    </w:p>
    <w:p w14:paraId="54D8057B">
      <w:pPr>
        <w:spacing w:line="360" w:lineRule="auto"/>
        <w:jc w:val="center"/>
        <w:rPr>
          <w:rFonts w:ascii="宋体" w:hAnsi="宋体" w:cs="宋体"/>
          <w:b/>
          <w:color w:val="000000"/>
          <w:kern w:val="10"/>
          <w:sz w:val="32"/>
          <w:szCs w:val="32"/>
          <w:highlight w:val="none"/>
        </w:rPr>
      </w:pPr>
    </w:p>
    <w:p w14:paraId="570F9E6F">
      <w:pPr>
        <w:spacing w:line="360" w:lineRule="auto"/>
        <w:jc w:val="center"/>
        <w:rPr>
          <w:rFonts w:ascii="宋体" w:hAnsi="宋体" w:cs="宋体"/>
          <w:b/>
          <w:color w:val="000000"/>
          <w:kern w:val="10"/>
          <w:sz w:val="32"/>
          <w:szCs w:val="32"/>
          <w:highlight w:val="none"/>
        </w:rPr>
      </w:pPr>
      <w:r>
        <w:rPr>
          <w:rFonts w:hint="eastAsia" w:ascii="宋体" w:hAnsi="宋体"/>
          <w:b/>
          <w:color w:val="000000"/>
          <w:sz w:val="32"/>
          <w:szCs w:val="32"/>
          <w:highlight w:val="none"/>
        </w:rPr>
        <w:t>项目编号：</w:t>
      </w:r>
    </w:p>
    <w:p w14:paraId="6804B417">
      <w:pPr>
        <w:spacing w:line="360" w:lineRule="auto"/>
        <w:rPr>
          <w:rFonts w:ascii="宋体" w:hAnsi="宋体" w:cs="宋体"/>
          <w:b/>
          <w:color w:val="000000"/>
          <w:kern w:val="10"/>
          <w:sz w:val="24"/>
          <w:highlight w:val="none"/>
        </w:rPr>
      </w:pPr>
    </w:p>
    <w:p w14:paraId="78F3FC28">
      <w:pPr>
        <w:spacing w:line="360" w:lineRule="auto"/>
        <w:rPr>
          <w:rFonts w:ascii="宋体" w:hAnsi="宋体" w:cs="宋体"/>
          <w:b/>
          <w:color w:val="000000"/>
          <w:kern w:val="10"/>
          <w:sz w:val="24"/>
          <w:highlight w:val="none"/>
        </w:rPr>
      </w:pPr>
    </w:p>
    <w:p w14:paraId="64830E57">
      <w:pPr>
        <w:spacing w:line="360" w:lineRule="auto"/>
        <w:rPr>
          <w:rFonts w:ascii="宋体" w:hAnsi="宋体" w:cs="宋体"/>
          <w:b/>
          <w:color w:val="000000"/>
          <w:kern w:val="10"/>
          <w:sz w:val="24"/>
          <w:highlight w:val="none"/>
        </w:rPr>
      </w:pPr>
    </w:p>
    <w:p w14:paraId="0B36418B">
      <w:pPr>
        <w:spacing w:line="360" w:lineRule="auto"/>
        <w:rPr>
          <w:rFonts w:ascii="宋体" w:hAnsi="宋体" w:cs="宋体"/>
          <w:b/>
          <w:color w:val="000000"/>
          <w:kern w:val="10"/>
          <w:sz w:val="24"/>
          <w:highlight w:val="none"/>
        </w:rPr>
      </w:pPr>
    </w:p>
    <w:p w14:paraId="12C3A3B6">
      <w:pPr>
        <w:spacing w:line="360" w:lineRule="auto"/>
        <w:rPr>
          <w:rFonts w:ascii="宋体" w:hAnsi="宋体" w:cs="宋体"/>
          <w:b/>
          <w:color w:val="000000"/>
          <w:kern w:val="10"/>
          <w:sz w:val="24"/>
          <w:highlight w:val="none"/>
        </w:rPr>
      </w:pPr>
    </w:p>
    <w:p w14:paraId="63CE8087">
      <w:pPr>
        <w:spacing w:line="360" w:lineRule="auto"/>
        <w:rPr>
          <w:rFonts w:ascii="宋体" w:hAnsi="宋体" w:cs="宋体"/>
          <w:b/>
          <w:color w:val="000000"/>
          <w:kern w:val="10"/>
          <w:sz w:val="24"/>
          <w:highlight w:val="none"/>
        </w:rPr>
      </w:pPr>
    </w:p>
    <w:p w14:paraId="3A558BAF">
      <w:pPr>
        <w:spacing w:line="360" w:lineRule="auto"/>
        <w:rPr>
          <w:rFonts w:ascii="宋体" w:hAnsi="宋体" w:cs="宋体"/>
          <w:b/>
          <w:color w:val="000000"/>
          <w:kern w:val="10"/>
          <w:sz w:val="24"/>
          <w:highlight w:val="none"/>
        </w:rPr>
      </w:pPr>
    </w:p>
    <w:p w14:paraId="10530474">
      <w:pPr>
        <w:spacing w:line="360" w:lineRule="auto"/>
        <w:jc w:val="center"/>
        <w:rPr>
          <w:rFonts w:ascii="宋体" w:hAnsi="宋体" w:cs="宋体"/>
          <w:b/>
          <w:color w:val="000000"/>
          <w:kern w:val="10"/>
          <w:sz w:val="28"/>
          <w:szCs w:val="28"/>
          <w:highlight w:val="none"/>
        </w:rPr>
      </w:pPr>
      <w:r>
        <w:rPr>
          <w:rFonts w:hint="eastAsia" w:ascii="宋体" w:hAnsi="宋体" w:cs="宋体"/>
          <w:b/>
          <w:color w:val="000000"/>
          <w:kern w:val="10"/>
          <w:sz w:val="28"/>
          <w:szCs w:val="28"/>
          <w:highlight w:val="none"/>
          <w:lang w:val="en-US" w:eastAsia="zh-CN"/>
        </w:rPr>
        <w:t>供应商</w:t>
      </w:r>
      <w:r>
        <w:rPr>
          <w:rFonts w:hint="eastAsia" w:ascii="宋体" w:hAnsi="宋体" w:cs="宋体"/>
          <w:b/>
          <w:color w:val="000000"/>
          <w:kern w:val="10"/>
          <w:sz w:val="28"/>
          <w:szCs w:val="28"/>
          <w:highlight w:val="none"/>
        </w:rPr>
        <w:t>：</w:t>
      </w:r>
      <w:r>
        <w:rPr>
          <w:rFonts w:hint="eastAsia" w:ascii="宋体" w:hAnsi="宋体" w:cs="宋体"/>
          <w:b/>
          <w:color w:val="000000"/>
          <w:kern w:val="10"/>
          <w:sz w:val="28"/>
          <w:szCs w:val="28"/>
          <w:highlight w:val="none"/>
          <w:u w:val="single"/>
        </w:rPr>
        <w:t xml:space="preserve">                          （电子签章）</w:t>
      </w:r>
    </w:p>
    <w:p w14:paraId="4FDF9E43">
      <w:pPr>
        <w:spacing w:line="360" w:lineRule="auto"/>
        <w:jc w:val="center"/>
        <w:rPr>
          <w:rFonts w:ascii="宋体" w:hAnsi="宋体" w:cs="宋体"/>
          <w:b/>
          <w:color w:val="000000"/>
          <w:kern w:val="10"/>
          <w:sz w:val="28"/>
          <w:szCs w:val="28"/>
          <w:highlight w:val="none"/>
        </w:rPr>
      </w:pPr>
    </w:p>
    <w:p w14:paraId="05609EB5">
      <w:pPr>
        <w:spacing w:line="360" w:lineRule="auto"/>
        <w:jc w:val="center"/>
        <w:rPr>
          <w:rFonts w:ascii="宋体" w:hAnsi="宋体" w:cs="宋体"/>
          <w:b/>
          <w:color w:val="000000"/>
          <w:kern w:val="10"/>
          <w:sz w:val="28"/>
          <w:szCs w:val="28"/>
          <w:highlight w:val="none"/>
        </w:rPr>
      </w:pPr>
      <w:r>
        <w:rPr>
          <w:rFonts w:hint="eastAsia" w:ascii="宋体" w:hAnsi="宋体" w:cs="宋体"/>
          <w:b/>
          <w:color w:val="000000"/>
          <w:kern w:val="10"/>
          <w:sz w:val="28"/>
          <w:szCs w:val="28"/>
          <w:highlight w:val="none"/>
        </w:rPr>
        <w:t>法定代表人：</w:t>
      </w:r>
      <w:r>
        <w:rPr>
          <w:rFonts w:hint="eastAsia" w:ascii="宋体" w:hAnsi="宋体" w:cs="宋体"/>
          <w:b/>
          <w:color w:val="000000"/>
          <w:kern w:val="10"/>
          <w:sz w:val="28"/>
          <w:szCs w:val="28"/>
          <w:highlight w:val="none"/>
          <w:u w:val="single"/>
        </w:rPr>
        <w:t xml:space="preserve">                       （电子签章）</w:t>
      </w:r>
    </w:p>
    <w:p w14:paraId="77E9C4EF">
      <w:pPr>
        <w:spacing w:line="360" w:lineRule="auto"/>
        <w:rPr>
          <w:rFonts w:ascii="宋体" w:hAnsi="宋体" w:cs="宋体"/>
          <w:b/>
          <w:color w:val="000000"/>
          <w:kern w:val="10"/>
          <w:sz w:val="28"/>
          <w:szCs w:val="28"/>
          <w:highlight w:val="none"/>
        </w:rPr>
      </w:pPr>
    </w:p>
    <w:p w14:paraId="4236C7AB">
      <w:pPr>
        <w:spacing w:line="360" w:lineRule="auto"/>
        <w:jc w:val="center"/>
        <w:rPr>
          <w:rFonts w:ascii="宋体" w:hAnsi="宋体" w:cs="宋体"/>
          <w:b/>
          <w:color w:val="000000"/>
          <w:kern w:val="10"/>
          <w:sz w:val="28"/>
          <w:szCs w:val="28"/>
          <w:highlight w:val="none"/>
        </w:rPr>
      </w:pPr>
      <w:r>
        <w:rPr>
          <w:rFonts w:hint="eastAsia" w:ascii="宋体" w:hAnsi="宋体" w:cs="宋体"/>
          <w:b/>
          <w:color w:val="000000"/>
          <w:kern w:val="10"/>
          <w:sz w:val="28"/>
          <w:szCs w:val="28"/>
          <w:highlight w:val="none"/>
        </w:rPr>
        <w:t>年      月     日</w:t>
      </w:r>
    </w:p>
    <w:p w14:paraId="42DDBA8B">
      <w:pPr>
        <w:spacing w:line="360" w:lineRule="auto"/>
        <w:jc w:val="center"/>
        <w:rPr>
          <w:rFonts w:ascii="宋体" w:hAnsi="宋体" w:cs="宋体"/>
          <w:b/>
          <w:color w:val="000000"/>
          <w:kern w:val="10"/>
          <w:sz w:val="28"/>
          <w:szCs w:val="28"/>
          <w:highlight w:val="none"/>
        </w:rPr>
      </w:pPr>
    </w:p>
    <w:p w14:paraId="27B7A247">
      <w:pPr>
        <w:spacing w:line="360" w:lineRule="auto"/>
        <w:rPr>
          <w:rFonts w:ascii="宋体" w:hAnsi="宋体" w:cs="宋体"/>
          <w:b/>
          <w:color w:val="000000"/>
          <w:kern w:val="10"/>
          <w:sz w:val="32"/>
          <w:szCs w:val="32"/>
          <w:highlight w:val="none"/>
        </w:rPr>
      </w:pPr>
    </w:p>
    <w:p w14:paraId="494C4764">
      <w:pPr>
        <w:spacing w:line="360" w:lineRule="auto"/>
        <w:jc w:val="center"/>
        <w:rPr>
          <w:rFonts w:ascii="宋体" w:hAnsi="宋体" w:cs="宋体"/>
          <w:b/>
          <w:color w:val="000000"/>
          <w:kern w:val="10"/>
          <w:sz w:val="32"/>
          <w:szCs w:val="32"/>
          <w:highlight w:val="none"/>
        </w:rPr>
      </w:pPr>
      <w:r>
        <w:rPr>
          <w:rFonts w:hint="eastAsia" w:ascii="宋体" w:hAnsi="宋体" w:cs="宋体"/>
          <w:b/>
          <w:color w:val="000000"/>
          <w:kern w:val="10"/>
          <w:sz w:val="32"/>
          <w:szCs w:val="32"/>
          <w:highlight w:val="none"/>
        </w:rPr>
        <w:t>目  录</w:t>
      </w:r>
    </w:p>
    <w:p w14:paraId="576C164B">
      <w:pPr>
        <w:spacing w:line="360" w:lineRule="auto"/>
        <w:rPr>
          <w:rFonts w:ascii="宋体" w:hAnsi="宋体" w:cs="宋体"/>
          <w:color w:val="000000"/>
          <w:kern w:val="10"/>
          <w:sz w:val="24"/>
          <w:highlight w:val="none"/>
        </w:rPr>
      </w:pPr>
    </w:p>
    <w:p w14:paraId="38268AED">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一、投标函</w:t>
      </w:r>
    </w:p>
    <w:p w14:paraId="367753D6">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二、法定代表人身份证明及授权委托书</w:t>
      </w:r>
    </w:p>
    <w:p w14:paraId="02537CB7">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三、投标承诺函</w:t>
      </w:r>
    </w:p>
    <w:p w14:paraId="720C6C4A">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四、报价一览表 </w:t>
      </w:r>
    </w:p>
    <w:p w14:paraId="775AFAD5">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五、实施方案及技术方案</w:t>
      </w:r>
    </w:p>
    <w:p w14:paraId="70DC630A">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六、质保及售后服务承诺</w:t>
      </w:r>
    </w:p>
    <w:p w14:paraId="18C283F4">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七、中小微企业声明函</w:t>
      </w:r>
    </w:p>
    <w:p w14:paraId="4571585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八、监狱企业证明材料</w:t>
      </w:r>
    </w:p>
    <w:p w14:paraId="7C60FD18">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九、资格审查资料</w:t>
      </w:r>
    </w:p>
    <w:p w14:paraId="0C1C5ACE">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十、其他材料</w:t>
      </w:r>
    </w:p>
    <w:p w14:paraId="5EA80D78">
      <w:pPr>
        <w:spacing w:line="360" w:lineRule="auto"/>
        <w:rPr>
          <w:rFonts w:ascii="宋体" w:hAnsi="宋体" w:cs="宋体"/>
          <w:color w:val="000000"/>
          <w:kern w:val="10"/>
          <w:sz w:val="24"/>
          <w:highlight w:val="none"/>
        </w:rPr>
      </w:pPr>
    </w:p>
    <w:p w14:paraId="2CE57E7E">
      <w:pPr>
        <w:spacing w:line="360" w:lineRule="auto"/>
        <w:rPr>
          <w:rFonts w:ascii="宋体" w:hAnsi="宋体" w:cs="宋体"/>
          <w:color w:val="000000"/>
          <w:kern w:val="10"/>
          <w:sz w:val="24"/>
          <w:highlight w:val="none"/>
        </w:rPr>
      </w:pPr>
    </w:p>
    <w:p w14:paraId="0F9A1057">
      <w:pPr>
        <w:spacing w:line="360" w:lineRule="auto"/>
        <w:rPr>
          <w:rFonts w:ascii="宋体" w:hAnsi="宋体" w:cs="宋体"/>
          <w:color w:val="000000"/>
          <w:kern w:val="10"/>
          <w:sz w:val="24"/>
          <w:highlight w:val="none"/>
        </w:rPr>
      </w:pPr>
    </w:p>
    <w:p w14:paraId="7F7A0FBA">
      <w:pPr>
        <w:spacing w:line="360" w:lineRule="auto"/>
        <w:rPr>
          <w:rFonts w:ascii="宋体" w:hAnsi="宋体" w:cs="宋体"/>
          <w:color w:val="000000"/>
          <w:kern w:val="10"/>
          <w:sz w:val="24"/>
          <w:highlight w:val="none"/>
        </w:rPr>
      </w:pPr>
    </w:p>
    <w:p w14:paraId="2DF8550B">
      <w:pPr>
        <w:spacing w:line="360" w:lineRule="auto"/>
        <w:rPr>
          <w:rFonts w:ascii="宋体" w:hAnsi="宋体" w:cs="宋体"/>
          <w:color w:val="000000"/>
          <w:kern w:val="10"/>
          <w:sz w:val="24"/>
          <w:highlight w:val="none"/>
        </w:rPr>
      </w:pPr>
    </w:p>
    <w:p w14:paraId="67D6408F">
      <w:pPr>
        <w:spacing w:line="360" w:lineRule="auto"/>
        <w:rPr>
          <w:rFonts w:ascii="宋体" w:hAnsi="宋体" w:cs="宋体"/>
          <w:color w:val="000000"/>
          <w:kern w:val="10"/>
          <w:sz w:val="24"/>
          <w:highlight w:val="none"/>
        </w:rPr>
      </w:pPr>
    </w:p>
    <w:p w14:paraId="616FA540">
      <w:pPr>
        <w:pStyle w:val="4"/>
        <w:rPr>
          <w:highlight w:val="none"/>
        </w:rPr>
      </w:pPr>
    </w:p>
    <w:p w14:paraId="76595271">
      <w:pPr>
        <w:pStyle w:val="2"/>
        <w:ind w:firstLine="210"/>
        <w:rPr>
          <w:highlight w:val="none"/>
        </w:rPr>
      </w:pPr>
    </w:p>
    <w:p w14:paraId="6BF62AA2">
      <w:pPr>
        <w:pStyle w:val="2"/>
        <w:ind w:firstLine="210"/>
        <w:rPr>
          <w:highlight w:val="none"/>
        </w:rPr>
      </w:pPr>
    </w:p>
    <w:p w14:paraId="4BC901E3">
      <w:pPr>
        <w:pStyle w:val="2"/>
        <w:ind w:firstLine="210"/>
        <w:rPr>
          <w:highlight w:val="none"/>
        </w:rPr>
      </w:pPr>
    </w:p>
    <w:p w14:paraId="22A00A1A">
      <w:pPr>
        <w:pStyle w:val="2"/>
        <w:ind w:firstLine="210"/>
        <w:rPr>
          <w:highlight w:val="none"/>
        </w:rPr>
      </w:pPr>
    </w:p>
    <w:p w14:paraId="775DD954">
      <w:pPr>
        <w:pStyle w:val="2"/>
        <w:ind w:firstLine="210"/>
        <w:rPr>
          <w:highlight w:val="none"/>
        </w:rPr>
      </w:pPr>
    </w:p>
    <w:p w14:paraId="49F941C8">
      <w:pPr>
        <w:pStyle w:val="2"/>
        <w:ind w:firstLine="210"/>
        <w:rPr>
          <w:highlight w:val="none"/>
        </w:rPr>
      </w:pPr>
    </w:p>
    <w:p w14:paraId="66939643">
      <w:pPr>
        <w:pStyle w:val="2"/>
        <w:ind w:firstLine="210"/>
        <w:rPr>
          <w:highlight w:val="none"/>
        </w:rPr>
      </w:pPr>
    </w:p>
    <w:p w14:paraId="5D879E91">
      <w:pPr>
        <w:pStyle w:val="2"/>
        <w:ind w:firstLine="210"/>
        <w:rPr>
          <w:highlight w:val="none"/>
        </w:rPr>
      </w:pPr>
    </w:p>
    <w:p w14:paraId="479F4616">
      <w:pPr>
        <w:pStyle w:val="2"/>
        <w:ind w:firstLine="210"/>
        <w:rPr>
          <w:highlight w:val="none"/>
        </w:rPr>
      </w:pPr>
    </w:p>
    <w:p w14:paraId="737DF5D6">
      <w:pPr>
        <w:pStyle w:val="2"/>
        <w:ind w:firstLine="210"/>
        <w:rPr>
          <w:highlight w:val="none"/>
        </w:rPr>
      </w:pPr>
    </w:p>
    <w:p w14:paraId="5945AEEE">
      <w:pPr>
        <w:pStyle w:val="4"/>
        <w:rPr>
          <w:highlight w:val="none"/>
        </w:rPr>
      </w:pPr>
    </w:p>
    <w:p w14:paraId="7ECA45FF">
      <w:pPr>
        <w:spacing w:line="360" w:lineRule="auto"/>
        <w:jc w:val="center"/>
        <w:outlineLvl w:val="1"/>
        <w:rPr>
          <w:rFonts w:ascii="宋体" w:hAnsi="宋体" w:cs="宋体"/>
          <w:b/>
          <w:bCs/>
          <w:color w:val="000000"/>
          <w:kern w:val="10"/>
          <w:sz w:val="28"/>
          <w:szCs w:val="28"/>
          <w:highlight w:val="none"/>
        </w:rPr>
      </w:pPr>
      <w:bookmarkStart w:id="93" w:name="_Toc15192"/>
      <w:bookmarkStart w:id="94" w:name="_Toc99007056"/>
      <w:bookmarkStart w:id="95" w:name="_Toc17554"/>
      <w:bookmarkStart w:id="96" w:name="_Toc11031"/>
      <w:bookmarkStart w:id="97" w:name="_Toc11591"/>
      <w:bookmarkStart w:id="98" w:name="_Toc516499664"/>
      <w:bookmarkStart w:id="99" w:name="_Toc7366"/>
      <w:bookmarkStart w:id="100" w:name="_Toc20924"/>
      <w:bookmarkStart w:id="101" w:name="_Toc57277893"/>
      <w:bookmarkStart w:id="102" w:name="_Toc31372"/>
      <w:bookmarkStart w:id="103" w:name="_Toc22238"/>
      <w:r>
        <w:rPr>
          <w:rFonts w:hint="eastAsia" w:ascii="宋体" w:hAnsi="宋体" w:cs="宋体"/>
          <w:b/>
          <w:bCs/>
          <w:color w:val="000000"/>
          <w:kern w:val="10"/>
          <w:sz w:val="28"/>
          <w:szCs w:val="28"/>
          <w:highlight w:val="none"/>
        </w:rPr>
        <w:t>一、投标函</w:t>
      </w:r>
      <w:bookmarkEnd w:id="93"/>
      <w:bookmarkEnd w:id="94"/>
      <w:bookmarkEnd w:id="95"/>
      <w:bookmarkEnd w:id="96"/>
      <w:bookmarkEnd w:id="97"/>
      <w:bookmarkEnd w:id="98"/>
      <w:bookmarkEnd w:id="99"/>
      <w:bookmarkEnd w:id="100"/>
      <w:bookmarkEnd w:id="101"/>
      <w:bookmarkEnd w:id="102"/>
      <w:bookmarkEnd w:id="103"/>
      <w:bookmarkStart w:id="104" w:name="_Toc234382958"/>
    </w:p>
    <w:bookmarkEnd w:id="104"/>
    <w:p w14:paraId="59AD5127">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致：</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w:t>
      </w:r>
      <w:r>
        <w:rPr>
          <w:rFonts w:hint="eastAsia" w:ascii="宋体" w:hAnsi="宋体" w:cs="宋体"/>
          <w:color w:val="000000"/>
          <w:kern w:val="10"/>
          <w:sz w:val="24"/>
          <w:highlight w:val="none"/>
          <w:lang w:val="en-US" w:eastAsia="zh-CN"/>
        </w:rPr>
        <w:t>采购</w:t>
      </w:r>
      <w:r>
        <w:rPr>
          <w:rFonts w:hint="eastAsia" w:ascii="宋体" w:hAnsi="宋体" w:cs="宋体"/>
          <w:color w:val="000000"/>
          <w:kern w:val="10"/>
          <w:sz w:val="24"/>
          <w:highlight w:val="none"/>
        </w:rPr>
        <w:t>人名称）：</w:t>
      </w:r>
    </w:p>
    <w:p w14:paraId="049EE2C4">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1、根据贵方为</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项目的竞争性磋商公告，遵照《中华人民共和国政府采购法》等有关法律、法规的规定，经认真研究竞争性磋商文件后，我方投标报价为人民币（大写）</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），交货期</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w:t>
      </w:r>
    </w:p>
    <w:p w14:paraId="5A50EE96">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2、如果我们的投标书被接受，我们将履行竞争性磋商文件中规定的每一项要求，按期、按质、按量履行合同。</w:t>
      </w:r>
    </w:p>
    <w:p w14:paraId="2B38AEB9">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3、我方愿按《中华人民共和国合同法》履行我方的全部责任。</w:t>
      </w:r>
    </w:p>
    <w:p w14:paraId="284A9C02">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4、我方已详细研究全部竞争性磋商文件，包括修改文件以及全部参考资料和有关附件。我们完全理解并同意放弃对这方面有不明及误解的权力。</w:t>
      </w:r>
    </w:p>
    <w:p w14:paraId="4C58AE23">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5、本项目投标有效期为</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w:t>
      </w:r>
    </w:p>
    <w:p w14:paraId="2174BE42">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6、我方同意提供按照贵方可能要求的与投标有关的一切数据或资料，理解贵方不一定接受最低价的投标或收到的任何投标。</w:t>
      </w:r>
    </w:p>
    <w:p w14:paraId="22BD5DF2">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7、我单位声明参加本次政府采购活动前3年内在经营活动中没有重大违法记录（重大违法记录，是指投标人因违法经营受到刑事处罚或者责令停产停业、吊销许可证或者执照、较大数额罚款等行政处罚）。</w:t>
      </w:r>
    </w:p>
    <w:p w14:paraId="3559B1B6">
      <w:pPr>
        <w:spacing w:line="360" w:lineRule="auto"/>
        <w:ind w:firstLine="480" w:firstLineChars="200"/>
        <w:rPr>
          <w:rFonts w:ascii="宋体" w:hAnsi="宋体" w:cs="宋体"/>
          <w:b/>
          <w:bCs/>
          <w:color w:val="000000"/>
          <w:kern w:val="10"/>
          <w:sz w:val="24"/>
          <w:highlight w:val="none"/>
        </w:rPr>
      </w:pPr>
      <w:r>
        <w:rPr>
          <w:rFonts w:hint="eastAsia" w:ascii="宋体" w:hAnsi="宋体" w:cs="宋体"/>
          <w:b/>
          <w:bCs/>
          <w:color w:val="000000"/>
          <w:kern w:val="10"/>
          <w:sz w:val="24"/>
          <w:highlight w:val="none"/>
        </w:rPr>
        <w:t>8、我方保证投标文件中的所有资料均为真实、有效的，如有虚假，我方承诺投标文件无效并愿承担一切责任。</w:t>
      </w:r>
    </w:p>
    <w:p w14:paraId="105B48BF">
      <w:pPr>
        <w:spacing w:line="360" w:lineRule="auto"/>
        <w:rPr>
          <w:rFonts w:ascii="宋体" w:hAnsi="宋体" w:cs="宋体"/>
          <w:color w:val="000000"/>
          <w:kern w:val="10"/>
          <w:sz w:val="24"/>
          <w:highlight w:val="none"/>
        </w:rPr>
      </w:pPr>
    </w:p>
    <w:p w14:paraId="530C6249">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(电子签章)：</w:t>
      </w:r>
    </w:p>
    <w:p w14:paraId="5440ED68">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法定代表人(电子签章)：</w:t>
      </w:r>
    </w:p>
    <w:p w14:paraId="0D29BDD3">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单位地址：</w:t>
      </w:r>
    </w:p>
    <w:p w14:paraId="13C6E562">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电话： （填写能联系到的电话号码，方便通知二次报价）</w:t>
      </w:r>
    </w:p>
    <w:p w14:paraId="1A705291">
      <w:pPr>
        <w:spacing w:line="360" w:lineRule="auto"/>
        <w:rPr>
          <w:rFonts w:ascii="宋体" w:hAnsi="宋体" w:cs="宋体"/>
          <w:color w:val="000000"/>
          <w:sz w:val="24"/>
          <w:highlight w:val="none"/>
        </w:rPr>
      </w:pPr>
      <w:bookmarkStart w:id="105" w:name="_Toc78"/>
      <w:bookmarkStart w:id="106" w:name="_Toc16260"/>
      <w:bookmarkStart w:id="107" w:name="_Toc234382961"/>
      <w:bookmarkStart w:id="108" w:name="_Toc8145"/>
      <w:bookmarkStart w:id="109" w:name="_Toc14945"/>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705BBB7B">
      <w:pPr>
        <w:spacing w:line="360" w:lineRule="auto"/>
        <w:rPr>
          <w:rFonts w:ascii="宋体" w:hAnsi="宋体" w:cs="宋体"/>
          <w:color w:val="000000"/>
          <w:sz w:val="24"/>
          <w:highlight w:val="none"/>
        </w:rPr>
      </w:pPr>
    </w:p>
    <w:p w14:paraId="7FC06C37">
      <w:pPr>
        <w:spacing w:line="360" w:lineRule="auto"/>
        <w:rPr>
          <w:rFonts w:ascii="宋体" w:hAnsi="宋体" w:cs="宋体"/>
          <w:color w:val="000000"/>
          <w:sz w:val="24"/>
          <w:highlight w:val="none"/>
        </w:rPr>
      </w:pPr>
    </w:p>
    <w:p w14:paraId="5F6D03FC">
      <w:pPr>
        <w:spacing w:line="360" w:lineRule="auto"/>
        <w:rPr>
          <w:rFonts w:ascii="宋体" w:hAnsi="宋体" w:cs="宋体"/>
          <w:color w:val="000000"/>
          <w:sz w:val="24"/>
          <w:highlight w:val="none"/>
        </w:rPr>
      </w:pPr>
    </w:p>
    <w:p w14:paraId="2A02B4DB">
      <w:pPr>
        <w:spacing w:line="360" w:lineRule="auto"/>
        <w:rPr>
          <w:rFonts w:ascii="宋体" w:hAnsi="宋体" w:cs="宋体"/>
          <w:color w:val="000000"/>
          <w:sz w:val="24"/>
          <w:highlight w:val="none"/>
        </w:rPr>
      </w:pPr>
    </w:p>
    <w:p w14:paraId="7D61A6C3">
      <w:pPr>
        <w:spacing w:line="360" w:lineRule="auto"/>
        <w:rPr>
          <w:rFonts w:ascii="宋体" w:hAnsi="宋体" w:cs="宋体"/>
          <w:b/>
          <w:bCs/>
          <w:color w:val="000000"/>
          <w:kern w:val="10"/>
          <w:sz w:val="24"/>
          <w:highlight w:val="none"/>
        </w:rPr>
      </w:pPr>
      <w:bookmarkStart w:id="110" w:name="_Toc516499665"/>
    </w:p>
    <w:p w14:paraId="4F4AF40D">
      <w:pPr>
        <w:spacing w:line="360" w:lineRule="auto"/>
        <w:jc w:val="center"/>
        <w:outlineLvl w:val="1"/>
        <w:rPr>
          <w:rFonts w:ascii="宋体" w:hAnsi="宋体" w:cs="宋体"/>
          <w:b/>
          <w:bCs/>
          <w:color w:val="000000"/>
          <w:kern w:val="10"/>
          <w:sz w:val="28"/>
          <w:szCs w:val="28"/>
          <w:highlight w:val="none"/>
        </w:rPr>
      </w:pPr>
      <w:bookmarkStart w:id="111" w:name="_Toc99007057"/>
      <w:bookmarkStart w:id="112" w:name="_Toc9610"/>
      <w:bookmarkStart w:id="113" w:name="_Toc18464"/>
      <w:bookmarkStart w:id="114" w:name="_Toc57277894"/>
      <w:bookmarkStart w:id="115" w:name="_Toc13521"/>
      <w:bookmarkStart w:id="116" w:name="_Toc24521"/>
      <w:r>
        <w:rPr>
          <w:rFonts w:hint="eastAsia" w:ascii="宋体" w:hAnsi="宋体" w:cs="宋体"/>
          <w:b/>
          <w:bCs/>
          <w:color w:val="000000"/>
          <w:kern w:val="10"/>
          <w:sz w:val="28"/>
          <w:szCs w:val="28"/>
          <w:highlight w:val="none"/>
        </w:rPr>
        <w:t>二、法定代表人身份证明及授权委托书</w:t>
      </w:r>
      <w:bookmarkEnd w:id="105"/>
      <w:bookmarkEnd w:id="106"/>
      <w:bookmarkEnd w:id="107"/>
      <w:bookmarkEnd w:id="108"/>
      <w:bookmarkEnd w:id="109"/>
      <w:bookmarkEnd w:id="110"/>
      <w:bookmarkEnd w:id="111"/>
      <w:bookmarkEnd w:id="112"/>
      <w:bookmarkEnd w:id="113"/>
      <w:bookmarkEnd w:id="114"/>
      <w:bookmarkEnd w:id="115"/>
      <w:bookmarkEnd w:id="116"/>
      <w:bookmarkStart w:id="117" w:name="_Toc234382962"/>
    </w:p>
    <w:p w14:paraId="5F6AD898">
      <w:pPr>
        <w:spacing w:line="360" w:lineRule="auto"/>
        <w:jc w:val="center"/>
        <w:rPr>
          <w:rFonts w:ascii="宋体" w:hAnsi="宋体" w:cs="宋体"/>
          <w:b/>
          <w:color w:val="000000"/>
          <w:kern w:val="10"/>
          <w:sz w:val="28"/>
          <w:szCs w:val="28"/>
          <w:highlight w:val="none"/>
        </w:rPr>
      </w:pPr>
      <w:r>
        <w:rPr>
          <w:rFonts w:hint="eastAsia" w:ascii="宋体" w:hAnsi="宋体" w:cs="宋体"/>
          <w:b/>
          <w:color w:val="000000"/>
          <w:kern w:val="10"/>
          <w:sz w:val="28"/>
          <w:szCs w:val="28"/>
          <w:highlight w:val="none"/>
        </w:rPr>
        <w:t>（一）法定代表人身份证明</w:t>
      </w:r>
      <w:bookmarkEnd w:id="117"/>
    </w:p>
    <w:p w14:paraId="7103DA10">
      <w:pPr>
        <w:spacing w:line="360" w:lineRule="auto"/>
        <w:rPr>
          <w:rFonts w:ascii="宋体" w:hAnsi="宋体" w:cs="宋体"/>
          <w:color w:val="000000"/>
          <w:kern w:val="10"/>
          <w:sz w:val="24"/>
          <w:highlight w:val="none"/>
        </w:rPr>
      </w:pPr>
    </w:p>
    <w:p w14:paraId="1EA9132B">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名称：</w:t>
      </w:r>
      <w:r>
        <w:rPr>
          <w:rFonts w:hint="eastAsia" w:ascii="宋体" w:hAnsi="宋体" w:cs="宋体"/>
          <w:color w:val="000000"/>
          <w:kern w:val="10"/>
          <w:sz w:val="24"/>
          <w:highlight w:val="none"/>
          <w:u w:val="single"/>
        </w:rPr>
        <w:t xml:space="preserve">                        </w:t>
      </w:r>
    </w:p>
    <w:p w14:paraId="474EED86">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单位性质：</w:t>
      </w:r>
      <w:r>
        <w:rPr>
          <w:rFonts w:hint="eastAsia" w:ascii="宋体" w:hAnsi="宋体" w:cs="宋体"/>
          <w:color w:val="000000"/>
          <w:kern w:val="10"/>
          <w:sz w:val="24"/>
          <w:highlight w:val="none"/>
          <w:u w:val="single"/>
        </w:rPr>
        <w:t xml:space="preserve">                        </w:t>
      </w:r>
    </w:p>
    <w:p w14:paraId="7D726BDF">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地址：</w:t>
      </w:r>
      <w:r>
        <w:rPr>
          <w:rFonts w:hint="eastAsia" w:ascii="宋体" w:hAnsi="宋体" w:cs="宋体"/>
          <w:color w:val="000000"/>
          <w:kern w:val="10"/>
          <w:sz w:val="24"/>
          <w:highlight w:val="none"/>
          <w:u w:val="single"/>
        </w:rPr>
        <w:t xml:space="preserve">                        </w:t>
      </w:r>
    </w:p>
    <w:p w14:paraId="6A2436A4">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成立时间：</w:t>
      </w:r>
      <w:r>
        <w:rPr>
          <w:rFonts w:hint="eastAsia" w:ascii="宋体" w:hAnsi="宋体" w:cs="宋体"/>
          <w:color w:val="000000"/>
          <w:kern w:val="10"/>
          <w:sz w:val="24"/>
          <w:highlight w:val="none"/>
          <w:u w:val="single"/>
        </w:rPr>
        <w:t xml:space="preserve">        年      月      日</w:t>
      </w:r>
    </w:p>
    <w:p w14:paraId="18EB2522">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经营期限：</w:t>
      </w:r>
      <w:r>
        <w:rPr>
          <w:rFonts w:hint="eastAsia" w:ascii="宋体" w:hAnsi="宋体" w:cs="宋体"/>
          <w:color w:val="000000"/>
          <w:kern w:val="10"/>
          <w:sz w:val="24"/>
          <w:highlight w:val="none"/>
          <w:u w:val="single"/>
        </w:rPr>
        <w:t xml:space="preserve">          </w:t>
      </w:r>
    </w:p>
    <w:p w14:paraId="304CC4A4">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姓名：</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性别：</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年龄：</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 职务：</w:t>
      </w:r>
      <w:r>
        <w:rPr>
          <w:rFonts w:hint="eastAsia" w:ascii="宋体" w:hAnsi="宋体" w:cs="宋体"/>
          <w:color w:val="000000"/>
          <w:kern w:val="10"/>
          <w:sz w:val="24"/>
          <w:highlight w:val="none"/>
          <w:u w:val="single"/>
        </w:rPr>
        <w:t xml:space="preserve">          </w:t>
      </w:r>
    </w:p>
    <w:p w14:paraId="38388AA2">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系</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w:t>
      </w: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名称）的法定代表人。</w:t>
      </w:r>
    </w:p>
    <w:p w14:paraId="57907C26">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特此证明。</w:t>
      </w:r>
    </w:p>
    <w:p w14:paraId="295BEC2C">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p>
    <w:p w14:paraId="1CAAE1B2">
      <w:pPr>
        <w:spacing w:line="360" w:lineRule="auto"/>
        <w:rPr>
          <w:rFonts w:ascii="宋体" w:hAnsi="宋体" w:cs="宋体"/>
          <w:color w:val="000000"/>
          <w:kern w:val="10"/>
          <w:sz w:val="24"/>
          <w:highlight w:val="none"/>
        </w:rPr>
      </w:pPr>
    </w:p>
    <w:p w14:paraId="3288A268">
      <w:pPr>
        <w:spacing w:line="360" w:lineRule="auto"/>
        <w:jc w:val="right"/>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w:t>
      </w:r>
      <w:r>
        <w:rPr>
          <w:rFonts w:hint="eastAsia" w:ascii="宋体" w:hAnsi="宋体" w:cs="宋体"/>
          <w:color w:val="000000"/>
          <w:kern w:val="10"/>
          <w:sz w:val="24"/>
          <w:highlight w:val="none"/>
          <w:u w:val="single"/>
        </w:rPr>
        <w:t xml:space="preserve">          （电子签章）      </w:t>
      </w:r>
      <w:r>
        <w:rPr>
          <w:rFonts w:hint="eastAsia" w:ascii="宋体" w:hAnsi="宋体" w:cs="宋体"/>
          <w:color w:val="000000"/>
          <w:kern w:val="10"/>
          <w:sz w:val="24"/>
          <w:highlight w:val="none"/>
        </w:rPr>
        <w:t xml:space="preserve"> </w:t>
      </w:r>
    </w:p>
    <w:p w14:paraId="7ED4E964">
      <w:pPr>
        <w:spacing w:line="360" w:lineRule="auto"/>
        <w:rPr>
          <w:rFonts w:ascii="宋体" w:hAnsi="宋体" w:cs="宋体"/>
          <w:color w:val="000000"/>
          <w:kern w:val="10"/>
          <w:sz w:val="24"/>
          <w:highlight w:val="none"/>
        </w:rPr>
      </w:pPr>
    </w:p>
    <w:p w14:paraId="333D4616">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64C1A051">
      <w:pPr>
        <w:spacing w:line="360" w:lineRule="auto"/>
        <w:rPr>
          <w:rFonts w:ascii="宋体" w:hAnsi="宋体" w:cs="宋体"/>
          <w:color w:val="000000"/>
          <w:kern w:val="10"/>
          <w:sz w:val="24"/>
          <w:highlight w:val="none"/>
        </w:rPr>
      </w:pPr>
    </w:p>
    <w:p w14:paraId="7BCB9432">
      <w:pPr>
        <w:spacing w:line="360" w:lineRule="auto"/>
        <w:rPr>
          <w:rFonts w:ascii="宋体" w:hAnsi="宋体" w:cs="宋体"/>
          <w:color w:val="000000"/>
          <w:kern w:val="10"/>
          <w:sz w:val="24"/>
          <w:highlight w:val="none"/>
        </w:rPr>
      </w:pPr>
    </w:p>
    <w:p w14:paraId="4393F0DB">
      <w:pPr>
        <w:spacing w:line="360" w:lineRule="auto"/>
        <w:rPr>
          <w:rFonts w:ascii="宋体" w:hAnsi="宋体" w:cs="宋体"/>
          <w:color w:val="000000"/>
          <w:kern w:val="10"/>
          <w:sz w:val="24"/>
          <w:highlight w:val="none"/>
        </w:rPr>
      </w:pPr>
      <w:r>
        <w:rPr>
          <w:rFonts w:hint="eastAsia" w:ascii="宋体" w:hAnsi="宋体" w:cs="宋体"/>
          <w:color w:val="000000"/>
          <w:sz w:val="24"/>
          <w:highlight w:val="none"/>
        </w:rPr>
        <w:t>附：法定代表人身份证复印件或扫描件</w:t>
      </w:r>
    </w:p>
    <w:p w14:paraId="5442D484">
      <w:pPr>
        <w:spacing w:line="360" w:lineRule="auto"/>
        <w:rPr>
          <w:rFonts w:ascii="宋体" w:hAnsi="宋体" w:cs="宋体"/>
          <w:color w:val="000000"/>
          <w:kern w:val="10"/>
          <w:sz w:val="24"/>
          <w:highlight w:val="none"/>
        </w:rPr>
      </w:pPr>
    </w:p>
    <w:p w14:paraId="0409B6F6">
      <w:pPr>
        <w:spacing w:line="360" w:lineRule="auto"/>
        <w:rPr>
          <w:rFonts w:ascii="宋体" w:hAnsi="宋体" w:cs="宋体"/>
          <w:color w:val="000000"/>
          <w:kern w:val="10"/>
          <w:sz w:val="24"/>
          <w:highlight w:val="none"/>
        </w:rPr>
      </w:pPr>
    </w:p>
    <w:p w14:paraId="7BC9127E">
      <w:pPr>
        <w:spacing w:line="360" w:lineRule="auto"/>
        <w:rPr>
          <w:rFonts w:ascii="宋体" w:hAnsi="宋体" w:cs="宋体"/>
          <w:color w:val="000000"/>
          <w:kern w:val="10"/>
          <w:sz w:val="24"/>
          <w:highlight w:val="none"/>
        </w:rPr>
      </w:pPr>
    </w:p>
    <w:p w14:paraId="060423DF">
      <w:pPr>
        <w:spacing w:line="360" w:lineRule="auto"/>
        <w:rPr>
          <w:rFonts w:ascii="宋体" w:hAnsi="宋体" w:cs="宋体"/>
          <w:color w:val="000000"/>
          <w:kern w:val="10"/>
          <w:sz w:val="24"/>
          <w:highlight w:val="none"/>
        </w:rPr>
      </w:pPr>
    </w:p>
    <w:p w14:paraId="1363C7C9">
      <w:pPr>
        <w:spacing w:line="360" w:lineRule="auto"/>
        <w:rPr>
          <w:rFonts w:ascii="宋体" w:hAnsi="宋体" w:cs="宋体"/>
          <w:color w:val="000000"/>
          <w:kern w:val="10"/>
          <w:sz w:val="24"/>
          <w:highlight w:val="none"/>
        </w:rPr>
      </w:pPr>
    </w:p>
    <w:p w14:paraId="643897E0">
      <w:pPr>
        <w:spacing w:line="360" w:lineRule="auto"/>
        <w:rPr>
          <w:rFonts w:ascii="宋体" w:hAnsi="宋体" w:cs="宋体"/>
          <w:color w:val="000000"/>
          <w:kern w:val="10"/>
          <w:sz w:val="24"/>
          <w:highlight w:val="none"/>
        </w:rPr>
      </w:pPr>
    </w:p>
    <w:p w14:paraId="248461FF">
      <w:pPr>
        <w:spacing w:line="360" w:lineRule="auto"/>
        <w:rPr>
          <w:rFonts w:ascii="宋体" w:hAnsi="宋体" w:cs="宋体"/>
          <w:color w:val="000000"/>
          <w:kern w:val="10"/>
          <w:sz w:val="24"/>
          <w:highlight w:val="none"/>
        </w:rPr>
      </w:pPr>
    </w:p>
    <w:p w14:paraId="788AED68">
      <w:pPr>
        <w:spacing w:line="360" w:lineRule="auto"/>
        <w:rPr>
          <w:rFonts w:ascii="宋体" w:hAnsi="宋体" w:cs="宋体"/>
          <w:color w:val="000000"/>
          <w:kern w:val="10"/>
          <w:sz w:val="24"/>
          <w:highlight w:val="none"/>
        </w:rPr>
      </w:pPr>
    </w:p>
    <w:p w14:paraId="19553D4A">
      <w:pPr>
        <w:spacing w:line="360" w:lineRule="auto"/>
        <w:rPr>
          <w:rFonts w:ascii="宋体" w:hAnsi="宋体" w:cs="宋体"/>
          <w:color w:val="000000"/>
          <w:kern w:val="10"/>
          <w:sz w:val="24"/>
          <w:highlight w:val="none"/>
        </w:rPr>
      </w:pPr>
    </w:p>
    <w:p w14:paraId="30EDE6E9">
      <w:pPr>
        <w:spacing w:line="360" w:lineRule="auto"/>
        <w:rPr>
          <w:rFonts w:ascii="宋体" w:hAnsi="宋体" w:cs="宋体"/>
          <w:color w:val="000000"/>
          <w:kern w:val="10"/>
          <w:sz w:val="24"/>
          <w:highlight w:val="none"/>
        </w:rPr>
      </w:pPr>
    </w:p>
    <w:p w14:paraId="78719E06">
      <w:pPr>
        <w:spacing w:line="360" w:lineRule="auto"/>
        <w:jc w:val="center"/>
        <w:rPr>
          <w:rFonts w:ascii="宋体" w:hAnsi="宋体" w:cs="宋体"/>
          <w:b/>
          <w:color w:val="000000"/>
          <w:kern w:val="10"/>
          <w:sz w:val="28"/>
          <w:szCs w:val="28"/>
          <w:highlight w:val="none"/>
        </w:rPr>
      </w:pPr>
      <w:r>
        <w:rPr>
          <w:rFonts w:hint="eastAsia" w:ascii="宋体" w:hAnsi="宋体" w:cs="宋体"/>
          <w:b/>
          <w:color w:val="000000"/>
          <w:kern w:val="10"/>
          <w:sz w:val="28"/>
          <w:szCs w:val="28"/>
          <w:highlight w:val="none"/>
        </w:rPr>
        <w:t>（二）授权委托书</w:t>
      </w:r>
    </w:p>
    <w:p w14:paraId="6C26319A">
      <w:pPr>
        <w:spacing w:line="360" w:lineRule="auto"/>
        <w:rPr>
          <w:rFonts w:ascii="宋体" w:hAnsi="宋体" w:cs="宋体"/>
          <w:color w:val="000000"/>
          <w:kern w:val="10"/>
          <w:sz w:val="24"/>
          <w:highlight w:val="none"/>
        </w:rPr>
      </w:pPr>
    </w:p>
    <w:p w14:paraId="1B99EEE4">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名称）的法定代表人，现委托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（姓名）为我方代理人。代理人根据授权，以我方名义签署、澄清、递交、撤回、修改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（项目名称）投标文件、签订合同和处理有关事宜，其法律后果由我方承担。</w:t>
      </w:r>
    </w:p>
    <w:p w14:paraId="33D46714">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委托期限：</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1FD94BF2">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代理人无转委托权。 </w:t>
      </w:r>
    </w:p>
    <w:p w14:paraId="20F34821">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附：委托代理人身份证扫描件正反面</w:t>
      </w:r>
    </w:p>
    <w:p w14:paraId="776AE0C3">
      <w:pPr>
        <w:spacing w:line="500" w:lineRule="exact"/>
        <w:rPr>
          <w:rFonts w:ascii="宋体" w:hAnsi="宋体" w:cs="宋体"/>
          <w:color w:val="000000"/>
          <w:sz w:val="24"/>
          <w:highlight w:val="none"/>
        </w:rPr>
      </w:pPr>
    </w:p>
    <w:p w14:paraId="7A8072E2">
      <w:pPr>
        <w:spacing w:line="500" w:lineRule="exact"/>
        <w:rPr>
          <w:rFonts w:ascii="宋体" w:hAnsi="宋体" w:cs="宋体"/>
          <w:color w:val="000000"/>
          <w:sz w:val="24"/>
          <w:highlight w:val="none"/>
        </w:rPr>
      </w:pPr>
    </w:p>
    <w:p w14:paraId="591BA7CA">
      <w:pPr>
        <w:spacing w:line="500" w:lineRule="exact"/>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供应商</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（盖单位章）</w:t>
      </w:r>
    </w:p>
    <w:p w14:paraId="3F3AF139">
      <w:pPr>
        <w:spacing w:line="500" w:lineRule="exact"/>
        <w:rPr>
          <w:rFonts w:ascii="宋体" w:hAnsi="宋体" w:cs="宋体"/>
          <w:color w:val="000000"/>
          <w:sz w:val="24"/>
          <w:highlight w:val="none"/>
        </w:rPr>
      </w:pPr>
      <w:r>
        <w:rPr>
          <w:rFonts w:hint="eastAsia" w:ascii="宋体" w:hAnsi="宋体" w:cs="宋体"/>
          <w:color w:val="000000"/>
          <w:sz w:val="24"/>
          <w:highlight w:val="none"/>
        </w:rPr>
        <w:t xml:space="preserve">                                法定代表人：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（电子签章）</w:t>
      </w:r>
    </w:p>
    <w:p w14:paraId="485D8CE4">
      <w:pPr>
        <w:spacing w:line="500" w:lineRule="exact"/>
        <w:rPr>
          <w:rFonts w:ascii="宋体" w:hAnsi="宋体" w:cs="宋体"/>
          <w:color w:val="000000"/>
          <w:sz w:val="24"/>
          <w:highlight w:val="none"/>
        </w:rPr>
      </w:pPr>
      <w:r>
        <w:rPr>
          <w:rFonts w:hint="eastAsia" w:ascii="宋体" w:hAnsi="宋体" w:cs="宋体"/>
          <w:color w:val="000000"/>
          <w:sz w:val="24"/>
          <w:highlight w:val="none"/>
        </w:rPr>
        <w:t xml:space="preserve">                             </w:t>
      </w:r>
    </w:p>
    <w:p w14:paraId="0CC35A92">
      <w:pPr>
        <w:spacing w:line="500" w:lineRule="exact"/>
        <w:rPr>
          <w:rFonts w:ascii="宋体" w:hAnsi="宋体" w:cs="宋体"/>
          <w:color w:val="000000"/>
          <w:sz w:val="24"/>
          <w:highlight w:val="none"/>
        </w:rPr>
      </w:pPr>
    </w:p>
    <w:p w14:paraId="6E67DB92">
      <w:pPr>
        <w:autoSpaceDE w:val="0"/>
        <w:autoSpaceDN w:val="0"/>
        <w:spacing w:line="560" w:lineRule="exact"/>
        <w:rPr>
          <w:rFonts w:ascii="宋体" w:hAnsi="宋体" w:cs="宋体"/>
          <w:b/>
          <w:bCs/>
          <w:color w:val="000000"/>
          <w:sz w:val="44"/>
          <w:szCs w:val="44"/>
          <w:highlight w:val="none"/>
          <w:lang w:val="zh-CN"/>
        </w:rPr>
      </w:pP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6ABFD29F">
      <w:pPr>
        <w:spacing w:line="360" w:lineRule="auto"/>
        <w:rPr>
          <w:rFonts w:ascii="宋体" w:hAnsi="宋体" w:cs="宋体"/>
          <w:color w:val="000000"/>
          <w:kern w:val="10"/>
          <w:sz w:val="24"/>
          <w:highlight w:val="none"/>
        </w:rPr>
      </w:pPr>
    </w:p>
    <w:p w14:paraId="493B7267">
      <w:pPr>
        <w:spacing w:line="360" w:lineRule="auto"/>
        <w:rPr>
          <w:rFonts w:ascii="宋体" w:hAnsi="宋体" w:cs="宋体"/>
          <w:color w:val="000000"/>
          <w:kern w:val="10"/>
          <w:sz w:val="24"/>
          <w:highlight w:val="none"/>
        </w:rPr>
      </w:pPr>
    </w:p>
    <w:p w14:paraId="2906A7A8">
      <w:pPr>
        <w:spacing w:line="360" w:lineRule="auto"/>
        <w:rPr>
          <w:rFonts w:ascii="宋体" w:hAnsi="宋体" w:cs="宋体"/>
          <w:color w:val="000000"/>
          <w:kern w:val="10"/>
          <w:sz w:val="24"/>
          <w:highlight w:val="none"/>
        </w:rPr>
      </w:pPr>
    </w:p>
    <w:p w14:paraId="75F9EE76">
      <w:pPr>
        <w:spacing w:line="360" w:lineRule="auto"/>
        <w:rPr>
          <w:rFonts w:ascii="宋体" w:hAnsi="宋体" w:cs="宋体"/>
          <w:color w:val="000000"/>
          <w:kern w:val="10"/>
          <w:sz w:val="24"/>
          <w:highlight w:val="none"/>
        </w:rPr>
      </w:pPr>
    </w:p>
    <w:p w14:paraId="6518F25B">
      <w:pPr>
        <w:spacing w:line="360" w:lineRule="auto"/>
        <w:jc w:val="center"/>
        <w:rPr>
          <w:rFonts w:ascii="宋体" w:hAnsi="宋体" w:cs="宋体"/>
          <w:b/>
          <w:bCs/>
          <w:color w:val="000000"/>
          <w:kern w:val="10"/>
          <w:sz w:val="28"/>
          <w:szCs w:val="28"/>
          <w:highlight w:val="none"/>
        </w:rPr>
      </w:pPr>
      <w:bookmarkStart w:id="118" w:name="_Toc18813"/>
      <w:bookmarkStart w:id="119" w:name="_Toc22419"/>
      <w:bookmarkStart w:id="120" w:name="_Toc234382964"/>
      <w:bookmarkStart w:id="121" w:name="_Toc29319"/>
      <w:bookmarkStart w:id="122" w:name="_Toc6625"/>
    </w:p>
    <w:p w14:paraId="023065A5">
      <w:pPr>
        <w:spacing w:line="360" w:lineRule="auto"/>
        <w:jc w:val="center"/>
        <w:rPr>
          <w:rFonts w:ascii="宋体" w:hAnsi="宋体" w:cs="宋体"/>
          <w:b/>
          <w:bCs/>
          <w:color w:val="000000"/>
          <w:kern w:val="10"/>
          <w:sz w:val="28"/>
          <w:szCs w:val="28"/>
          <w:highlight w:val="none"/>
        </w:rPr>
      </w:pPr>
    </w:p>
    <w:p w14:paraId="2A1CA27C">
      <w:pPr>
        <w:spacing w:line="360" w:lineRule="auto"/>
        <w:jc w:val="center"/>
        <w:rPr>
          <w:rFonts w:ascii="宋体" w:hAnsi="宋体" w:cs="宋体"/>
          <w:b/>
          <w:bCs/>
          <w:color w:val="000000"/>
          <w:kern w:val="10"/>
          <w:sz w:val="28"/>
          <w:szCs w:val="28"/>
          <w:highlight w:val="none"/>
        </w:rPr>
      </w:pPr>
    </w:p>
    <w:p w14:paraId="78254565">
      <w:pPr>
        <w:spacing w:line="360" w:lineRule="auto"/>
        <w:jc w:val="center"/>
        <w:rPr>
          <w:rFonts w:ascii="宋体" w:hAnsi="宋体" w:cs="宋体"/>
          <w:b/>
          <w:bCs/>
          <w:color w:val="000000"/>
          <w:kern w:val="10"/>
          <w:sz w:val="28"/>
          <w:szCs w:val="28"/>
          <w:highlight w:val="none"/>
        </w:rPr>
      </w:pPr>
    </w:p>
    <w:p w14:paraId="36C38958">
      <w:pPr>
        <w:spacing w:line="360" w:lineRule="auto"/>
        <w:jc w:val="center"/>
        <w:rPr>
          <w:rFonts w:ascii="宋体" w:hAnsi="宋体" w:cs="宋体"/>
          <w:b/>
          <w:bCs/>
          <w:color w:val="000000"/>
          <w:kern w:val="10"/>
          <w:sz w:val="28"/>
          <w:szCs w:val="28"/>
          <w:highlight w:val="none"/>
        </w:rPr>
      </w:pPr>
    </w:p>
    <w:p w14:paraId="445F45D8">
      <w:pPr>
        <w:spacing w:line="360" w:lineRule="auto"/>
        <w:jc w:val="center"/>
        <w:rPr>
          <w:rFonts w:ascii="宋体" w:hAnsi="宋体" w:cs="宋体"/>
          <w:b/>
          <w:bCs/>
          <w:color w:val="000000"/>
          <w:kern w:val="10"/>
          <w:sz w:val="28"/>
          <w:szCs w:val="28"/>
          <w:highlight w:val="none"/>
        </w:rPr>
      </w:pPr>
    </w:p>
    <w:p w14:paraId="44B747A3">
      <w:pPr>
        <w:spacing w:line="360" w:lineRule="auto"/>
        <w:jc w:val="center"/>
        <w:outlineLvl w:val="1"/>
        <w:rPr>
          <w:rFonts w:ascii="宋体" w:hAnsi="宋体" w:cs="宋体"/>
          <w:b/>
          <w:bCs/>
          <w:color w:val="000000"/>
          <w:kern w:val="10"/>
          <w:sz w:val="28"/>
          <w:szCs w:val="28"/>
          <w:highlight w:val="none"/>
        </w:rPr>
      </w:pPr>
      <w:bookmarkStart w:id="123" w:name="_Toc516499666"/>
      <w:bookmarkStart w:id="124" w:name="_Toc16571"/>
      <w:bookmarkStart w:id="125" w:name="_Toc57277895"/>
      <w:bookmarkStart w:id="126" w:name="_Toc25589"/>
      <w:bookmarkStart w:id="127" w:name="_Toc99007058"/>
      <w:bookmarkStart w:id="128" w:name="_Toc23732"/>
      <w:bookmarkStart w:id="129" w:name="_Toc23239"/>
      <w:r>
        <w:rPr>
          <w:rFonts w:hint="eastAsia" w:ascii="宋体" w:hAnsi="宋体" w:cs="宋体"/>
          <w:b/>
          <w:bCs/>
          <w:color w:val="000000"/>
          <w:kern w:val="10"/>
          <w:sz w:val="28"/>
          <w:szCs w:val="28"/>
          <w:highlight w:val="none"/>
        </w:rPr>
        <w:t>三、投标</w:t>
      </w:r>
      <w:bookmarkEnd w:id="118"/>
      <w:bookmarkEnd w:id="119"/>
      <w:bookmarkEnd w:id="120"/>
      <w:bookmarkEnd w:id="121"/>
      <w:bookmarkEnd w:id="122"/>
      <w:bookmarkEnd w:id="123"/>
      <w:r>
        <w:rPr>
          <w:rFonts w:hint="eastAsia" w:ascii="宋体" w:hAnsi="宋体" w:cs="宋体"/>
          <w:b/>
          <w:bCs/>
          <w:color w:val="000000"/>
          <w:kern w:val="10"/>
          <w:sz w:val="28"/>
          <w:szCs w:val="28"/>
          <w:highlight w:val="none"/>
        </w:rPr>
        <w:t>承诺函</w:t>
      </w:r>
      <w:bookmarkEnd w:id="124"/>
      <w:bookmarkEnd w:id="125"/>
      <w:bookmarkEnd w:id="126"/>
      <w:bookmarkEnd w:id="127"/>
      <w:bookmarkEnd w:id="128"/>
      <w:bookmarkEnd w:id="129"/>
    </w:p>
    <w:p w14:paraId="0875D0E1">
      <w:pPr>
        <w:spacing w:line="360" w:lineRule="auto"/>
        <w:rPr>
          <w:rFonts w:ascii="宋体" w:hAnsi="宋体" w:cs="宋体"/>
          <w:b/>
          <w:color w:val="000000"/>
          <w:kern w:val="10"/>
          <w:sz w:val="24"/>
          <w:highlight w:val="none"/>
        </w:rPr>
      </w:pPr>
      <w:r>
        <w:rPr>
          <w:rFonts w:hint="eastAsia" w:ascii="宋体" w:hAnsi="宋体" w:cs="宋体"/>
          <w:b/>
          <w:color w:val="000000"/>
          <w:kern w:val="10"/>
          <w:sz w:val="24"/>
          <w:highlight w:val="none"/>
        </w:rPr>
        <w:t>致：</w:t>
      </w:r>
      <w:r>
        <w:rPr>
          <w:rFonts w:hint="eastAsia" w:ascii="宋体" w:hAnsi="宋体" w:cs="宋体"/>
          <w:b/>
          <w:color w:val="000000"/>
          <w:kern w:val="10"/>
          <w:sz w:val="24"/>
          <w:highlight w:val="none"/>
          <w:u w:val="single"/>
        </w:rPr>
        <w:t xml:space="preserve">    （采购人）</w:t>
      </w:r>
      <w:r>
        <w:rPr>
          <w:rFonts w:hint="eastAsia" w:ascii="宋体" w:hAnsi="宋体" w:cs="宋体"/>
          <w:b/>
          <w:color w:val="000000"/>
          <w:kern w:val="10"/>
          <w:sz w:val="24"/>
          <w:highlight w:val="none"/>
        </w:rPr>
        <w:t xml:space="preserve">                       </w:t>
      </w:r>
    </w:p>
    <w:p w14:paraId="18252EA5">
      <w:pPr>
        <w:spacing w:line="360" w:lineRule="auto"/>
        <w:ind w:firstLine="480" w:firstLineChars="200"/>
        <w:rPr>
          <w:rFonts w:ascii="宋体" w:hAnsi="宋体" w:cs="宋体"/>
          <w:color w:val="000000"/>
          <w:kern w:val="10"/>
          <w:sz w:val="24"/>
          <w:highlight w:val="none"/>
        </w:rPr>
      </w:pPr>
      <w:r>
        <w:rPr>
          <w:rFonts w:hint="eastAsia" w:ascii="宋体" w:hAnsi="宋体"/>
          <w:color w:val="000000"/>
          <w:kern w:val="10"/>
          <w:sz w:val="24"/>
          <w:highlight w:val="none"/>
        </w:rPr>
        <w:t>本承诺函作为我方参加政府采购项目投标文件不可分割的一部分。</w:t>
      </w:r>
      <w:r>
        <w:rPr>
          <w:rFonts w:hint="eastAsia" w:ascii="宋体" w:hAnsi="宋体"/>
          <w:color w:val="000000"/>
          <w:sz w:val="24"/>
          <w:highlight w:val="none"/>
        </w:rPr>
        <w:t>我单位在此郑重承诺</w:t>
      </w:r>
      <w:r>
        <w:rPr>
          <w:rFonts w:ascii="宋体" w:hAnsi="宋体"/>
          <w:color w:val="000000"/>
          <w:sz w:val="24"/>
          <w:highlight w:val="none"/>
        </w:rPr>
        <w:t>,</w:t>
      </w:r>
      <w:r>
        <w:rPr>
          <w:rFonts w:hint="eastAsia" w:ascii="宋体" w:hAnsi="宋体"/>
          <w:color w:val="000000"/>
          <w:sz w:val="24"/>
          <w:highlight w:val="none"/>
        </w:rPr>
        <w:t>如有以下情形之一的：</w:t>
      </w:r>
    </w:p>
    <w:p w14:paraId="3AA72094">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在磋商文件规定的投标有效期内撤回投标；</w:t>
      </w:r>
    </w:p>
    <w:p w14:paraId="180F05B6">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在投标文件中提供虚假材料；</w:t>
      </w:r>
    </w:p>
    <w:p w14:paraId="758B039D">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中标后无正当理由不与招标人或者招标代理机构签订合同；</w:t>
      </w:r>
    </w:p>
    <w:p w14:paraId="16D3F345">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未能按磋商文件规定提交履约保证金；</w:t>
      </w:r>
    </w:p>
    <w:p w14:paraId="65A39912">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将中标项目转让给他人，或者在投标文件中未说明，且未经招标人同意，将中标项目分包给他人的；</w:t>
      </w:r>
    </w:p>
    <w:p w14:paraId="66EF65FB">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拒绝履行合同义务；</w:t>
      </w:r>
    </w:p>
    <w:p w14:paraId="669CE2FB">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与招标人、其他投标人或者招标代理机构恶意串通；</w:t>
      </w:r>
    </w:p>
    <w:p w14:paraId="3AF3EF60">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在履约过程中未按磋商文件、中标的投标文件、生效的政府采购合同等约定</w:t>
      </w:r>
      <w:r>
        <w:rPr>
          <w:rFonts w:ascii="宋体" w:hAnsi="宋体" w:cs="微软雅黑"/>
          <w:color w:val="000000"/>
          <w:kern w:val="0"/>
          <w:sz w:val="24"/>
          <w:highlight w:val="none"/>
        </w:rPr>
        <w:t>,</w:t>
      </w:r>
      <w:r>
        <w:rPr>
          <w:rFonts w:hint="eastAsia" w:ascii="宋体" w:hAnsi="宋体" w:cs="微软雅黑"/>
          <w:color w:val="000000"/>
          <w:kern w:val="0"/>
          <w:sz w:val="24"/>
          <w:highlight w:val="none"/>
        </w:rPr>
        <w:t>提供货物、工程和服务；</w:t>
      </w:r>
    </w:p>
    <w:p w14:paraId="6F3678B1">
      <w:pPr>
        <w:numPr>
          <w:ilvl w:val="0"/>
          <w:numId w:val="3"/>
        </w:numPr>
        <w:autoSpaceDE w:val="0"/>
        <w:autoSpaceDN w:val="0"/>
        <w:adjustRightInd w:val="0"/>
        <w:spacing w:line="360" w:lineRule="auto"/>
        <w:ind w:left="0" w:right="40" w:firstLine="480" w:firstLineChars="20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未按磋商文件规定缴纳招标代理服务费；</w:t>
      </w:r>
    </w:p>
    <w:p w14:paraId="0B8F798C">
      <w:pPr>
        <w:autoSpaceDE w:val="0"/>
        <w:autoSpaceDN w:val="0"/>
        <w:adjustRightInd w:val="0"/>
        <w:spacing w:line="360" w:lineRule="auto"/>
        <w:ind w:left="420" w:leftChars="200" w:right="40"/>
        <w:jc w:val="left"/>
        <w:rPr>
          <w:rFonts w:ascii="宋体" w:hAnsi="宋体" w:cs="微软雅黑"/>
          <w:color w:val="000000"/>
          <w:kern w:val="0"/>
          <w:sz w:val="24"/>
          <w:highlight w:val="none"/>
        </w:rPr>
      </w:pPr>
      <w:r>
        <w:rPr>
          <w:rFonts w:hint="eastAsia" w:ascii="宋体" w:hAnsi="宋体" w:cs="微软雅黑"/>
          <w:color w:val="000000"/>
          <w:kern w:val="0"/>
          <w:sz w:val="24"/>
          <w:highlight w:val="none"/>
        </w:rPr>
        <w:t>（</w:t>
      </w:r>
      <w:r>
        <w:rPr>
          <w:rFonts w:ascii="宋体" w:hAnsi="宋体" w:cs="微软雅黑"/>
          <w:color w:val="000000"/>
          <w:kern w:val="0"/>
          <w:sz w:val="24"/>
          <w:highlight w:val="none"/>
        </w:rPr>
        <w:t>10</w:t>
      </w:r>
      <w:r>
        <w:rPr>
          <w:rFonts w:hint="eastAsia" w:ascii="宋体" w:hAnsi="宋体" w:cs="微软雅黑"/>
          <w:color w:val="000000"/>
          <w:kern w:val="0"/>
          <w:sz w:val="24"/>
          <w:highlight w:val="none"/>
        </w:rPr>
        <w:t>） 存在其他违法违规行为。</w:t>
      </w:r>
    </w:p>
    <w:p w14:paraId="1D4876A5">
      <w:pPr>
        <w:spacing w:line="360" w:lineRule="auto"/>
        <w:rPr>
          <w:rFonts w:ascii="宋体" w:hAnsi="宋体" w:cs="宋体"/>
          <w:b/>
          <w:bCs/>
          <w:color w:val="000000"/>
          <w:kern w:val="10"/>
          <w:sz w:val="24"/>
          <w:highlight w:val="none"/>
        </w:rPr>
      </w:pPr>
      <w:r>
        <w:rPr>
          <w:rFonts w:hint="eastAsia" w:ascii="宋体" w:hAnsi="宋体" w:cs="微软雅黑"/>
          <w:color w:val="000000"/>
          <w:kern w:val="0"/>
          <w:sz w:val="24"/>
          <w:highlight w:val="none"/>
        </w:rPr>
        <w:t>我单位</w:t>
      </w:r>
      <w:r>
        <w:rPr>
          <w:rFonts w:hint="eastAsia" w:ascii="宋体" w:hAnsi="宋体"/>
          <w:color w:val="000000"/>
          <w:sz w:val="24"/>
          <w:highlight w:val="none"/>
        </w:rPr>
        <w:t>自愿接受被处以中标无效，采购金额千分之五以上千分之十以下的罚款并赔偿招标人及招标代理机构的损失</w:t>
      </w:r>
      <w:r>
        <w:rPr>
          <w:rFonts w:hint="eastAsia" w:ascii="宋体" w:hAnsi="宋体" w:cs="微软雅黑"/>
          <w:color w:val="000000"/>
          <w:kern w:val="0"/>
          <w:sz w:val="24"/>
          <w:highlight w:val="none"/>
        </w:rPr>
        <w:t>，</w:t>
      </w:r>
      <w:r>
        <w:rPr>
          <w:rFonts w:hint="eastAsia" w:ascii="宋体" w:hAnsi="宋体"/>
          <w:color w:val="000000"/>
          <w:sz w:val="24"/>
          <w:highlight w:val="none"/>
        </w:rPr>
        <w:t>列入不良行为记录名单</w:t>
      </w:r>
      <w:r>
        <w:rPr>
          <w:rFonts w:hint="eastAsia" w:ascii="宋体" w:hAnsi="宋体" w:cs="微软雅黑"/>
          <w:color w:val="000000"/>
          <w:kern w:val="0"/>
          <w:sz w:val="24"/>
          <w:highlight w:val="none"/>
        </w:rPr>
        <w:t>，</w:t>
      </w:r>
      <w:r>
        <w:rPr>
          <w:rFonts w:hint="eastAsia" w:ascii="宋体" w:hAnsi="宋体"/>
          <w:color w:val="000000"/>
          <w:sz w:val="24"/>
          <w:highlight w:val="none"/>
        </w:rPr>
        <w:t>在一至三年内禁止参加政府采购活动</w:t>
      </w:r>
      <w:r>
        <w:rPr>
          <w:rFonts w:hint="eastAsia" w:ascii="宋体" w:hAnsi="宋体" w:cs="微软雅黑"/>
          <w:color w:val="000000"/>
          <w:kern w:val="0"/>
          <w:sz w:val="24"/>
          <w:highlight w:val="none"/>
        </w:rPr>
        <w:t>，</w:t>
      </w:r>
      <w:r>
        <w:rPr>
          <w:rFonts w:hint="eastAsia" w:ascii="宋体" w:hAnsi="宋体"/>
          <w:color w:val="000000"/>
          <w:sz w:val="24"/>
          <w:highlight w:val="none"/>
        </w:rPr>
        <w:t>有违法所得的</w:t>
      </w:r>
      <w:r>
        <w:rPr>
          <w:rFonts w:hint="eastAsia" w:ascii="宋体" w:hAnsi="宋体" w:cs="微软雅黑"/>
          <w:color w:val="000000"/>
          <w:kern w:val="0"/>
          <w:sz w:val="24"/>
          <w:highlight w:val="none"/>
        </w:rPr>
        <w:t>，</w:t>
      </w:r>
      <w:r>
        <w:rPr>
          <w:rFonts w:hint="eastAsia" w:ascii="宋体" w:hAnsi="宋体"/>
          <w:color w:val="000000"/>
          <w:sz w:val="24"/>
          <w:highlight w:val="none"/>
        </w:rPr>
        <w:t>并处没收违法所得，情节严重的，由工商行政管理机关吊销营业执照；构成犯罪的，依法追究刑事责任。</w:t>
      </w:r>
    </w:p>
    <w:p w14:paraId="62A811FE">
      <w:pPr>
        <w:spacing w:line="360" w:lineRule="auto"/>
        <w:ind w:firstLine="480" w:firstLineChars="200"/>
        <w:rPr>
          <w:rFonts w:ascii="宋体" w:hAnsi="宋体" w:cs="宋体"/>
          <w:color w:val="000000"/>
          <w:kern w:val="10"/>
          <w:sz w:val="24"/>
          <w:highlight w:val="none"/>
        </w:rPr>
      </w:pPr>
    </w:p>
    <w:p w14:paraId="16452435">
      <w:pPr>
        <w:spacing w:line="360" w:lineRule="auto"/>
        <w:rPr>
          <w:rFonts w:ascii="宋体" w:hAnsi="宋体" w:cs="宋体"/>
          <w:color w:val="000000"/>
          <w:kern w:val="10"/>
          <w:sz w:val="24"/>
          <w:highlight w:val="none"/>
        </w:rPr>
      </w:pPr>
    </w:p>
    <w:p w14:paraId="4292551A">
      <w:pPr>
        <w:spacing w:line="360" w:lineRule="auto"/>
        <w:rPr>
          <w:rFonts w:ascii="宋体" w:hAnsi="宋体" w:cs="宋体"/>
          <w:color w:val="000000"/>
          <w:kern w:val="10"/>
          <w:sz w:val="24"/>
          <w:highlight w:val="none"/>
        </w:rPr>
      </w:pPr>
    </w:p>
    <w:p w14:paraId="54360B48">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w:t>
      </w:r>
      <w:r>
        <w:rPr>
          <w:rFonts w:hint="eastAsia" w:ascii="宋体" w:hAnsi="宋体" w:cs="宋体"/>
          <w:color w:val="000000"/>
          <w:kern w:val="10"/>
          <w:sz w:val="24"/>
          <w:highlight w:val="none"/>
          <w:u w:val="single"/>
        </w:rPr>
        <w:t xml:space="preserve">       （电子签章）</w:t>
      </w:r>
    </w:p>
    <w:p w14:paraId="4999A96A">
      <w:pPr>
        <w:spacing w:line="360" w:lineRule="auto"/>
        <w:rPr>
          <w:rFonts w:ascii="宋体" w:hAnsi="宋体" w:cs="宋体"/>
          <w:color w:val="000000"/>
          <w:kern w:val="10"/>
          <w:sz w:val="24"/>
          <w:highlight w:val="none"/>
          <w:u w:val="single"/>
        </w:rPr>
      </w:pPr>
      <w:r>
        <w:rPr>
          <w:rFonts w:hint="eastAsia" w:ascii="宋体" w:hAnsi="宋体" w:cs="宋体"/>
          <w:color w:val="000000"/>
          <w:kern w:val="10"/>
          <w:sz w:val="24"/>
          <w:highlight w:val="none"/>
        </w:rPr>
        <w:t xml:space="preserve">                                      法定代表人：</w:t>
      </w:r>
      <w:r>
        <w:rPr>
          <w:rFonts w:hint="eastAsia" w:ascii="宋体" w:hAnsi="宋体" w:cs="宋体"/>
          <w:color w:val="000000"/>
          <w:kern w:val="10"/>
          <w:sz w:val="24"/>
          <w:highlight w:val="none"/>
          <w:u w:val="single"/>
        </w:rPr>
        <w:t xml:space="preserve">      （电子签章）</w:t>
      </w:r>
    </w:p>
    <w:p w14:paraId="2238D25C">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年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 月</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日</w:t>
      </w:r>
    </w:p>
    <w:p w14:paraId="3AEBF978">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p>
    <w:p w14:paraId="5B32B877">
      <w:pPr>
        <w:spacing w:line="360" w:lineRule="auto"/>
        <w:rPr>
          <w:rFonts w:ascii="宋体" w:hAnsi="宋体" w:cs="宋体"/>
          <w:b/>
          <w:bCs/>
          <w:color w:val="000000"/>
          <w:kern w:val="10"/>
          <w:sz w:val="28"/>
          <w:szCs w:val="28"/>
          <w:highlight w:val="none"/>
        </w:rPr>
      </w:pPr>
      <w:bookmarkStart w:id="130" w:name="_Toc27965"/>
      <w:bookmarkStart w:id="131" w:name="_Toc11013"/>
      <w:bookmarkStart w:id="132" w:name="_Toc14627"/>
      <w:bookmarkStart w:id="133" w:name="_Toc23983"/>
    </w:p>
    <w:p w14:paraId="4B5391FB">
      <w:pPr>
        <w:spacing w:line="360" w:lineRule="auto"/>
        <w:rPr>
          <w:rFonts w:ascii="宋体" w:hAnsi="宋体" w:cs="宋体"/>
          <w:b/>
          <w:bCs/>
          <w:color w:val="000000"/>
          <w:kern w:val="10"/>
          <w:sz w:val="28"/>
          <w:szCs w:val="28"/>
          <w:highlight w:val="none"/>
        </w:rPr>
      </w:pPr>
    </w:p>
    <w:p w14:paraId="0877FCAD">
      <w:pPr>
        <w:spacing w:line="360" w:lineRule="auto"/>
        <w:jc w:val="center"/>
        <w:outlineLvl w:val="1"/>
        <w:rPr>
          <w:rFonts w:ascii="宋体" w:hAnsi="宋体" w:cs="宋体"/>
          <w:b/>
          <w:bCs/>
          <w:color w:val="000000"/>
          <w:kern w:val="10"/>
          <w:sz w:val="28"/>
          <w:szCs w:val="28"/>
          <w:highlight w:val="none"/>
        </w:rPr>
      </w:pPr>
      <w:bookmarkStart w:id="134" w:name="_Toc57708788"/>
      <w:bookmarkStart w:id="135" w:name="_Toc25666"/>
      <w:bookmarkStart w:id="136" w:name="_Toc516499667"/>
      <w:bookmarkStart w:id="137" w:name="_Toc99007059"/>
      <w:bookmarkStart w:id="138" w:name="_Toc17218"/>
      <w:bookmarkStart w:id="139" w:name="_Toc21360"/>
      <w:bookmarkStart w:id="140" w:name="_Toc26763"/>
      <w:bookmarkStart w:id="141" w:name="_Toc57277896"/>
      <w:r>
        <w:rPr>
          <w:rFonts w:hint="eastAsia" w:ascii="宋体" w:hAnsi="宋体" w:cs="宋体"/>
          <w:b/>
          <w:bCs/>
          <w:color w:val="000000"/>
          <w:kern w:val="10"/>
          <w:sz w:val="28"/>
          <w:szCs w:val="28"/>
          <w:highlight w:val="none"/>
        </w:rPr>
        <w:t>四、报价一览表</w:t>
      </w:r>
      <w:bookmarkEnd w:id="134"/>
      <w:bookmarkEnd w:id="135"/>
      <w:r>
        <w:rPr>
          <w:rFonts w:hint="eastAsia" w:ascii="宋体" w:hAnsi="宋体" w:cs="宋体"/>
          <w:b/>
          <w:bCs/>
          <w:color w:val="000000"/>
          <w:kern w:val="10"/>
          <w:sz w:val="28"/>
          <w:szCs w:val="28"/>
          <w:highlight w:val="none"/>
        </w:rPr>
        <w:t xml:space="preserve"> </w:t>
      </w:r>
    </w:p>
    <w:p w14:paraId="66E7B815">
      <w:pPr>
        <w:spacing w:line="360" w:lineRule="auto"/>
        <w:rPr>
          <w:rFonts w:ascii="宋体" w:hAnsi="宋体" w:cs="宋体"/>
          <w:b/>
          <w:bCs/>
          <w:color w:val="000000"/>
          <w:kern w:val="10"/>
          <w:sz w:val="24"/>
          <w:highlight w:val="none"/>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1061"/>
        <w:gridCol w:w="970"/>
        <w:gridCol w:w="1135"/>
        <w:gridCol w:w="1415"/>
        <w:gridCol w:w="708"/>
        <w:gridCol w:w="708"/>
        <w:gridCol w:w="992"/>
        <w:gridCol w:w="734"/>
        <w:gridCol w:w="1079"/>
      </w:tblGrid>
      <w:tr w14:paraId="114A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61" w:type="pct"/>
            <w:noWrap w:val="0"/>
            <w:vAlign w:val="center"/>
          </w:tcPr>
          <w:p w14:paraId="3863BC8C">
            <w:pPr>
              <w:spacing w:line="240" w:lineRule="exact"/>
              <w:jc w:val="center"/>
              <w:rPr>
                <w:rFonts w:ascii="宋体" w:hAnsi="宋体"/>
                <w:color w:val="000000"/>
                <w:sz w:val="24"/>
                <w:highlight w:val="none"/>
              </w:rPr>
            </w:pPr>
            <w:r>
              <w:rPr>
                <w:rFonts w:hint="eastAsia" w:ascii="宋体" w:hAnsi="宋体"/>
                <w:color w:val="000000"/>
                <w:sz w:val="24"/>
                <w:highlight w:val="none"/>
              </w:rPr>
              <w:t>序</w:t>
            </w:r>
          </w:p>
          <w:p w14:paraId="12CBD461">
            <w:pPr>
              <w:spacing w:line="240" w:lineRule="exact"/>
              <w:jc w:val="center"/>
              <w:rPr>
                <w:rFonts w:ascii="宋体" w:hAnsi="宋体"/>
                <w:color w:val="000000"/>
                <w:sz w:val="24"/>
                <w:highlight w:val="none"/>
              </w:rPr>
            </w:pPr>
            <w:r>
              <w:rPr>
                <w:rFonts w:hint="eastAsia" w:ascii="宋体" w:hAnsi="宋体"/>
                <w:color w:val="000000"/>
                <w:sz w:val="24"/>
                <w:highlight w:val="none"/>
              </w:rPr>
              <w:t>号</w:t>
            </w:r>
          </w:p>
        </w:tc>
        <w:tc>
          <w:tcPr>
            <w:tcW w:w="571" w:type="pct"/>
            <w:noWrap w:val="0"/>
            <w:vAlign w:val="center"/>
          </w:tcPr>
          <w:p w14:paraId="5586A9BC">
            <w:pPr>
              <w:spacing w:line="24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设备名称</w:t>
            </w:r>
          </w:p>
        </w:tc>
        <w:tc>
          <w:tcPr>
            <w:tcW w:w="522" w:type="pct"/>
            <w:noWrap w:val="0"/>
            <w:vAlign w:val="center"/>
          </w:tcPr>
          <w:p w14:paraId="1F4F8AFD">
            <w:pPr>
              <w:spacing w:line="240" w:lineRule="exact"/>
              <w:jc w:val="center"/>
              <w:rPr>
                <w:rFonts w:ascii="宋体" w:hAnsi="宋体"/>
                <w:color w:val="000000"/>
                <w:sz w:val="24"/>
                <w:highlight w:val="none"/>
              </w:rPr>
            </w:pPr>
            <w:r>
              <w:rPr>
                <w:rFonts w:hint="eastAsia" w:ascii="宋体" w:hAnsi="宋体"/>
                <w:color w:val="000000"/>
                <w:sz w:val="24"/>
                <w:highlight w:val="none"/>
              </w:rPr>
              <w:t>品牌/规格/</w:t>
            </w:r>
          </w:p>
          <w:p w14:paraId="50A5D275">
            <w:pPr>
              <w:pStyle w:val="11"/>
              <w:pBdr>
                <w:bottom w:val="none" w:color="auto" w:sz="0" w:space="0"/>
              </w:pBdr>
              <w:tabs>
                <w:tab w:val="clear" w:pos="4153"/>
                <w:tab w:val="clear" w:pos="8306"/>
              </w:tabs>
              <w:spacing w:line="240" w:lineRule="exact"/>
              <w:rPr>
                <w:rFonts w:ascii="宋体" w:hAnsi="宋体"/>
                <w:color w:val="000000"/>
                <w:sz w:val="24"/>
                <w:szCs w:val="24"/>
                <w:highlight w:val="none"/>
              </w:rPr>
            </w:pPr>
            <w:r>
              <w:rPr>
                <w:rFonts w:hint="eastAsia" w:ascii="宋体" w:hAnsi="宋体"/>
                <w:color w:val="000000"/>
                <w:sz w:val="24"/>
                <w:szCs w:val="24"/>
                <w:highlight w:val="none"/>
              </w:rPr>
              <w:t>型号</w:t>
            </w:r>
          </w:p>
        </w:tc>
        <w:tc>
          <w:tcPr>
            <w:tcW w:w="611" w:type="pct"/>
            <w:noWrap w:val="0"/>
            <w:vAlign w:val="center"/>
          </w:tcPr>
          <w:p w14:paraId="23F1678F">
            <w:pPr>
              <w:jc w:val="center"/>
              <w:rPr>
                <w:rFonts w:ascii="宋体" w:hAnsi="宋体" w:cs="黑体"/>
                <w:color w:val="000000"/>
                <w:sz w:val="24"/>
                <w:highlight w:val="none"/>
              </w:rPr>
            </w:pPr>
            <w:r>
              <w:rPr>
                <w:rFonts w:hint="eastAsia" w:ascii="宋体" w:hAnsi="宋体" w:cs="黑体"/>
                <w:color w:val="000000"/>
                <w:sz w:val="24"/>
                <w:highlight w:val="none"/>
              </w:rPr>
              <w:t>生产商</w:t>
            </w:r>
          </w:p>
          <w:p w14:paraId="716499FC">
            <w:pPr>
              <w:pStyle w:val="11"/>
              <w:pBdr>
                <w:bottom w:val="none" w:color="auto" w:sz="0" w:space="0"/>
              </w:pBdr>
              <w:tabs>
                <w:tab w:val="clear" w:pos="4153"/>
                <w:tab w:val="clear" w:pos="8306"/>
              </w:tabs>
              <w:spacing w:line="240" w:lineRule="exact"/>
              <w:rPr>
                <w:rFonts w:ascii="宋体" w:hAnsi="宋体"/>
                <w:b/>
                <w:color w:val="000000"/>
                <w:sz w:val="24"/>
                <w:szCs w:val="24"/>
                <w:highlight w:val="none"/>
              </w:rPr>
            </w:pPr>
            <w:r>
              <w:rPr>
                <w:rFonts w:hint="eastAsia" w:ascii="宋体" w:hAnsi="宋体" w:cs="黑体"/>
                <w:color w:val="000000"/>
                <w:sz w:val="24"/>
                <w:highlight w:val="none"/>
              </w:rPr>
              <w:t>名称（全称）</w:t>
            </w:r>
          </w:p>
        </w:tc>
        <w:tc>
          <w:tcPr>
            <w:tcW w:w="762" w:type="pct"/>
            <w:noWrap w:val="0"/>
            <w:vAlign w:val="center"/>
          </w:tcPr>
          <w:p w14:paraId="0B488093">
            <w:pPr>
              <w:spacing w:line="240" w:lineRule="exact"/>
              <w:ind w:firstLine="120" w:firstLineChars="50"/>
              <w:rPr>
                <w:rFonts w:ascii="宋体" w:hAnsi="宋体"/>
                <w:color w:val="000000"/>
                <w:sz w:val="24"/>
                <w:highlight w:val="none"/>
              </w:rPr>
            </w:pPr>
            <w:r>
              <w:rPr>
                <w:rFonts w:hint="eastAsia" w:ascii="宋体" w:hAnsi="宋体"/>
                <w:color w:val="000000"/>
                <w:sz w:val="24"/>
                <w:highlight w:val="none"/>
              </w:rPr>
              <w:t>是否属于小型微型（监狱）企业生产的产品（填是/否）</w:t>
            </w:r>
          </w:p>
        </w:tc>
        <w:tc>
          <w:tcPr>
            <w:tcW w:w="381" w:type="pct"/>
            <w:noWrap w:val="0"/>
            <w:vAlign w:val="center"/>
          </w:tcPr>
          <w:p w14:paraId="4E79914F">
            <w:pPr>
              <w:spacing w:line="240" w:lineRule="exact"/>
              <w:rPr>
                <w:rFonts w:ascii="宋体" w:hAnsi="宋体"/>
                <w:color w:val="000000"/>
                <w:sz w:val="24"/>
                <w:highlight w:val="none"/>
              </w:rPr>
            </w:pPr>
            <w:r>
              <w:rPr>
                <w:rFonts w:hint="eastAsia" w:ascii="宋体" w:hAnsi="宋体"/>
                <w:color w:val="000000"/>
                <w:sz w:val="24"/>
                <w:highlight w:val="none"/>
              </w:rPr>
              <w:t>单位</w:t>
            </w:r>
          </w:p>
        </w:tc>
        <w:tc>
          <w:tcPr>
            <w:tcW w:w="381" w:type="pct"/>
            <w:noWrap w:val="0"/>
            <w:vAlign w:val="center"/>
          </w:tcPr>
          <w:p w14:paraId="492BB44B">
            <w:pPr>
              <w:spacing w:line="240" w:lineRule="exact"/>
              <w:rPr>
                <w:rFonts w:ascii="宋体" w:hAnsi="宋体"/>
                <w:color w:val="000000"/>
                <w:sz w:val="24"/>
                <w:highlight w:val="none"/>
              </w:rPr>
            </w:pPr>
            <w:r>
              <w:rPr>
                <w:rFonts w:hint="eastAsia" w:ascii="宋体" w:hAnsi="宋体"/>
                <w:color w:val="000000"/>
                <w:sz w:val="24"/>
                <w:highlight w:val="none"/>
              </w:rPr>
              <w:t>数量</w:t>
            </w:r>
          </w:p>
        </w:tc>
        <w:tc>
          <w:tcPr>
            <w:tcW w:w="534" w:type="pct"/>
            <w:noWrap w:val="0"/>
            <w:vAlign w:val="center"/>
          </w:tcPr>
          <w:p w14:paraId="04198C89">
            <w:pPr>
              <w:spacing w:line="240" w:lineRule="exact"/>
              <w:jc w:val="center"/>
              <w:rPr>
                <w:rFonts w:ascii="宋体" w:hAnsi="宋体"/>
                <w:color w:val="000000"/>
                <w:sz w:val="24"/>
                <w:highlight w:val="none"/>
              </w:rPr>
            </w:pPr>
            <w:r>
              <w:rPr>
                <w:rFonts w:hint="eastAsia" w:ascii="宋体" w:hAnsi="宋体"/>
                <w:color w:val="000000"/>
                <w:sz w:val="24"/>
                <w:highlight w:val="none"/>
              </w:rPr>
              <w:t>单价</w:t>
            </w:r>
          </w:p>
        </w:tc>
        <w:tc>
          <w:tcPr>
            <w:tcW w:w="395" w:type="pct"/>
            <w:noWrap w:val="0"/>
            <w:vAlign w:val="center"/>
          </w:tcPr>
          <w:p w14:paraId="6DD0F6C2">
            <w:pPr>
              <w:spacing w:line="24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合价</w:t>
            </w:r>
          </w:p>
        </w:tc>
        <w:tc>
          <w:tcPr>
            <w:tcW w:w="577" w:type="pct"/>
            <w:noWrap w:val="0"/>
            <w:vAlign w:val="center"/>
          </w:tcPr>
          <w:p w14:paraId="2EE7FB7E">
            <w:pPr>
              <w:spacing w:line="24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备注</w:t>
            </w:r>
          </w:p>
        </w:tc>
      </w:tr>
      <w:tr w14:paraId="0468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1" w:type="pct"/>
            <w:noWrap w:val="0"/>
            <w:vAlign w:val="top"/>
          </w:tcPr>
          <w:p w14:paraId="3300D133">
            <w:pPr>
              <w:spacing w:line="400" w:lineRule="exact"/>
              <w:rPr>
                <w:rFonts w:ascii="宋体" w:hAnsi="宋体"/>
                <w:color w:val="000000"/>
                <w:sz w:val="24"/>
                <w:highlight w:val="none"/>
              </w:rPr>
            </w:pPr>
            <w:r>
              <w:rPr>
                <w:rFonts w:hint="eastAsia" w:ascii="宋体" w:hAnsi="宋体"/>
                <w:color w:val="000000"/>
                <w:sz w:val="24"/>
                <w:highlight w:val="none"/>
              </w:rPr>
              <w:t>1</w:t>
            </w:r>
          </w:p>
        </w:tc>
        <w:tc>
          <w:tcPr>
            <w:tcW w:w="571" w:type="pct"/>
            <w:noWrap w:val="0"/>
            <w:vAlign w:val="top"/>
          </w:tcPr>
          <w:p w14:paraId="4123311B">
            <w:pPr>
              <w:spacing w:line="400" w:lineRule="exact"/>
              <w:rPr>
                <w:rFonts w:ascii="宋体" w:hAnsi="宋体"/>
                <w:color w:val="000000"/>
                <w:sz w:val="24"/>
                <w:highlight w:val="none"/>
              </w:rPr>
            </w:pPr>
          </w:p>
        </w:tc>
        <w:tc>
          <w:tcPr>
            <w:tcW w:w="522" w:type="pct"/>
            <w:noWrap w:val="0"/>
            <w:vAlign w:val="top"/>
          </w:tcPr>
          <w:p w14:paraId="0920E90B">
            <w:pPr>
              <w:spacing w:line="400" w:lineRule="exact"/>
              <w:rPr>
                <w:rFonts w:ascii="宋体" w:hAnsi="宋体"/>
                <w:color w:val="000000"/>
                <w:sz w:val="24"/>
                <w:highlight w:val="none"/>
              </w:rPr>
            </w:pPr>
          </w:p>
        </w:tc>
        <w:tc>
          <w:tcPr>
            <w:tcW w:w="611" w:type="pct"/>
            <w:noWrap w:val="0"/>
            <w:vAlign w:val="top"/>
          </w:tcPr>
          <w:p w14:paraId="49494592">
            <w:pPr>
              <w:spacing w:line="400" w:lineRule="exact"/>
              <w:rPr>
                <w:rFonts w:ascii="宋体" w:hAnsi="宋体"/>
                <w:color w:val="000000"/>
                <w:sz w:val="24"/>
                <w:highlight w:val="none"/>
              </w:rPr>
            </w:pPr>
          </w:p>
        </w:tc>
        <w:tc>
          <w:tcPr>
            <w:tcW w:w="762" w:type="pct"/>
            <w:noWrap w:val="0"/>
            <w:vAlign w:val="top"/>
          </w:tcPr>
          <w:p w14:paraId="2C61CE42">
            <w:pPr>
              <w:spacing w:line="400" w:lineRule="exact"/>
              <w:rPr>
                <w:rFonts w:ascii="宋体" w:hAnsi="宋体"/>
                <w:color w:val="000000"/>
                <w:sz w:val="24"/>
                <w:highlight w:val="none"/>
              </w:rPr>
            </w:pPr>
          </w:p>
        </w:tc>
        <w:tc>
          <w:tcPr>
            <w:tcW w:w="381" w:type="pct"/>
            <w:noWrap w:val="0"/>
            <w:vAlign w:val="top"/>
          </w:tcPr>
          <w:p w14:paraId="7DE302FF">
            <w:pPr>
              <w:spacing w:line="400" w:lineRule="exact"/>
              <w:rPr>
                <w:rFonts w:ascii="宋体" w:hAnsi="宋体"/>
                <w:color w:val="000000"/>
                <w:sz w:val="24"/>
                <w:highlight w:val="none"/>
              </w:rPr>
            </w:pPr>
          </w:p>
        </w:tc>
        <w:tc>
          <w:tcPr>
            <w:tcW w:w="381" w:type="pct"/>
            <w:noWrap w:val="0"/>
            <w:vAlign w:val="top"/>
          </w:tcPr>
          <w:p w14:paraId="60F5FD4C">
            <w:pPr>
              <w:spacing w:line="400" w:lineRule="exact"/>
              <w:rPr>
                <w:rFonts w:ascii="宋体" w:hAnsi="宋体"/>
                <w:color w:val="000000"/>
                <w:sz w:val="24"/>
                <w:highlight w:val="none"/>
              </w:rPr>
            </w:pPr>
          </w:p>
        </w:tc>
        <w:tc>
          <w:tcPr>
            <w:tcW w:w="534" w:type="pct"/>
            <w:noWrap w:val="0"/>
            <w:vAlign w:val="top"/>
          </w:tcPr>
          <w:p w14:paraId="1A04D0B2">
            <w:pPr>
              <w:spacing w:line="400" w:lineRule="exact"/>
              <w:rPr>
                <w:rFonts w:ascii="宋体" w:hAnsi="宋体"/>
                <w:color w:val="000000"/>
                <w:sz w:val="24"/>
                <w:highlight w:val="none"/>
              </w:rPr>
            </w:pPr>
          </w:p>
        </w:tc>
        <w:tc>
          <w:tcPr>
            <w:tcW w:w="395" w:type="pct"/>
            <w:noWrap w:val="0"/>
            <w:vAlign w:val="top"/>
          </w:tcPr>
          <w:p w14:paraId="624E8CFA">
            <w:pPr>
              <w:spacing w:line="400" w:lineRule="exact"/>
              <w:rPr>
                <w:rFonts w:ascii="宋体" w:hAnsi="宋体"/>
                <w:color w:val="000000"/>
                <w:sz w:val="24"/>
                <w:highlight w:val="none"/>
              </w:rPr>
            </w:pPr>
          </w:p>
        </w:tc>
        <w:tc>
          <w:tcPr>
            <w:tcW w:w="577" w:type="pct"/>
            <w:noWrap w:val="0"/>
            <w:vAlign w:val="top"/>
          </w:tcPr>
          <w:p w14:paraId="2A7AEA4D">
            <w:pPr>
              <w:spacing w:line="400" w:lineRule="exact"/>
              <w:rPr>
                <w:rFonts w:ascii="宋体" w:hAnsi="宋体"/>
                <w:color w:val="000000"/>
                <w:sz w:val="24"/>
                <w:highlight w:val="none"/>
              </w:rPr>
            </w:pPr>
          </w:p>
        </w:tc>
      </w:tr>
      <w:tr w14:paraId="1B9B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1" w:type="pct"/>
            <w:noWrap w:val="0"/>
            <w:vAlign w:val="top"/>
          </w:tcPr>
          <w:p w14:paraId="0A7D3CDA">
            <w:pPr>
              <w:spacing w:line="400" w:lineRule="exact"/>
              <w:rPr>
                <w:rFonts w:ascii="宋体" w:hAnsi="宋体"/>
                <w:color w:val="000000"/>
                <w:sz w:val="24"/>
                <w:highlight w:val="none"/>
              </w:rPr>
            </w:pPr>
            <w:r>
              <w:rPr>
                <w:rFonts w:hint="eastAsia" w:ascii="宋体" w:hAnsi="宋体"/>
                <w:color w:val="000000"/>
                <w:sz w:val="24"/>
                <w:highlight w:val="none"/>
              </w:rPr>
              <w:t>2</w:t>
            </w:r>
          </w:p>
        </w:tc>
        <w:tc>
          <w:tcPr>
            <w:tcW w:w="571" w:type="pct"/>
            <w:noWrap w:val="0"/>
            <w:vAlign w:val="top"/>
          </w:tcPr>
          <w:p w14:paraId="75BDF61D">
            <w:pPr>
              <w:spacing w:line="400" w:lineRule="exact"/>
              <w:rPr>
                <w:rFonts w:ascii="宋体" w:hAnsi="宋体"/>
                <w:color w:val="000000"/>
                <w:sz w:val="24"/>
                <w:highlight w:val="none"/>
              </w:rPr>
            </w:pPr>
          </w:p>
        </w:tc>
        <w:tc>
          <w:tcPr>
            <w:tcW w:w="522" w:type="pct"/>
            <w:noWrap w:val="0"/>
            <w:vAlign w:val="top"/>
          </w:tcPr>
          <w:p w14:paraId="43849872">
            <w:pPr>
              <w:spacing w:line="400" w:lineRule="exact"/>
              <w:rPr>
                <w:rFonts w:ascii="宋体" w:hAnsi="宋体"/>
                <w:color w:val="000000"/>
                <w:sz w:val="24"/>
                <w:highlight w:val="none"/>
              </w:rPr>
            </w:pPr>
          </w:p>
        </w:tc>
        <w:tc>
          <w:tcPr>
            <w:tcW w:w="611" w:type="pct"/>
            <w:noWrap w:val="0"/>
            <w:vAlign w:val="top"/>
          </w:tcPr>
          <w:p w14:paraId="3FBAD902">
            <w:pPr>
              <w:spacing w:line="400" w:lineRule="exact"/>
              <w:rPr>
                <w:rFonts w:ascii="宋体" w:hAnsi="宋体"/>
                <w:color w:val="000000"/>
                <w:sz w:val="24"/>
                <w:highlight w:val="none"/>
              </w:rPr>
            </w:pPr>
          </w:p>
        </w:tc>
        <w:tc>
          <w:tcPr>
            <w:tcW w:w="762" w:type="pct"/>
            <w:noWrap w:val="0"/>
            <w:vAlign w:val="top"/>
          </w:tcPr>
          <w:p w14:paraId="40FBED72">
            <w:pPr>
              <w:spacing w:line="400" w:lineRule="exact"/>
              <w:rPr>
                <w:rFonts w:ascii="宋体" w:hAnsi="宋体"/>
                <w:color w:val="000000"/>
                <w:sz w:val="24"/>
                <w:highlight w:val="none"/>
              </w:rPr>
            </w:pPr>
          </w:p>
        </w:tc>
        <w:tc>
          <w:tcPr>
            <w:tcW w:w="381" w:type="pct"/>
            <w:noWrap w:val="0"/>
            <w:vAlign w:val="top"/>
          </w:tcPr>
          <w:p w14:paraId="2D38DA2C">
            <w:pPr>
              <w:spacing w:line="400" w:lineRule="exact"/>
              <w:rPr>
                <w:rFonts w:ascii="宋体" w:hAnsi="宋体"/>
                <w:color w:val="000000"/>
                <w:sz w:val="24"/>
                <w:highlight w:val="none"/>
              </w:rPr>
            </w:pPr>
          </w:p>
        </w:tc>
        <w:tc>
          <w:tcPr>
            <w:tcW w:w="381" w:type="pct"/>
            <w:noWrap w:val="0"/>
            <w:vAlign w:val="top"/>
          </w:tcPr>
          <w:p w14:paraId="179C80CD">
            <w:pPr>
              <w:spacing w:line="400" w:lineRule="exact"/>
              <w:rPr>
                <w:rFonts w:ascii="宋体" w:hAnsi="宋体"/>
                <w:color w:val="000000"/>
                <w:sz w:val="24"/>
                <w:highlight w:val="none"/>
              </w:rPr>
            </w:pPr>
          </w:p>
        </w:tc>
        <w:tc>
          <w:tcPr>
            <w:tcW w:w="534" w:type="pct"/>
            <w:noWrap w:val="0"/>
            <w:vAlign w:val="top"/>
          </w:tcPr>
          <w:p w14:paraId="6871AFBA">
            <w:pPr>
              <w:spacing w:line="400" w:lineRule="exact"/>
              <w:rPr>
                <w:rFonts w:ascii="宋体" w:hAnsi="宋体"/>
                <w:color w:val="000000"/>
                <w:sz w:val="24"/>
                <w:highlight w:val="none"/>
              </w:rPr>
            </w:pPr>
          </w:p>
        </w:tc>
        <w:tc>
          <w:tcPr>
            <w:tcW w:w="395" w:type="pct"/>
            <w:noWrap w:val="0"/>
            <w:vAlign w:val="top"/>
          </w:tcPr>
          <w:p w14:paraId="3AC11EB6">
            <w:pPr>
              <w:spacing w:line="400" w:lineRule="exact"/>
              <w:rPr>
                <w:rFonts w:ascii="宋体" w:hAnsi="宋体"/>
                <w:color w:val="000000"/>
                <w:sz w:val="24"/>
                <w:highlight w:val="none"/>
              </w:rPr>
            </w:pPr>
          </w:p>
        </w:tc>
        <w:tc>
          <w:tcPr>
            <w:tcW w:w="577" w:type="pct"/>
            <w:noWrap w:val="0"/>
            <w:vAlign w:val="top"/>
          </w:tcPr>
          <w:p w14:paraId="4D5563AD">
            <w:pPr>
              <w:spacing w:line="400" w:lineRule="exact"/>
              <w:rPr>
                <w:rFonts w:ascii="宋体" w:hAnsi="宋体"/>
                <w:color w:val="000000"/>
                <w:sz w:val="24"/>
                <w:highlight w:val="none"/>
              </w:rPr>
            </w:pPr>
          </w:p>
        </w:tc>
      </w:tr>
      <w:tr w14:paraId="23E0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1" w:type="pct"/>
            <w:noWrap w:val="0"/>
            <w:vAlign w:val="top"/>
          </w:tcPr>
          <w:p w14:paraId="1A13B39E">
            <w:pPr>
              <w:spacing w:line="400" w:lineRule="exact"/>
              <w:rPr>
                <w:rFonts w:ascii="宋体" w:hAnsi="宋体"/>
                <w:color w:val="000000"/>
                <w:sz w:val="24"/>
                <w:highlight w:val="none"/>
              </w:rPr>
            </w:pPr>
            <w:r>
              <w:rPr>
                <w:rFonts w:hint="eastAsia" w:ascii="宋体" w:hAnsi="宋体"/>
                <w:color w:val="000000"/>
                <w:sz w:val="24"/>
                <w:highlight w:val="none"/>
              </w:rPr>
              <w:t>3</w:t>
            </w:r>
          </w:p>
        </w:tc>
        <w:tc>
          <w:tcPr>
            <w:tcW w:w="571" w:type="pct"/>
            <w:noWrap w:val="0"/>
            <w:vAlign w:val="top"/>
          </w:tcPr>
          <w:p w14:paraId="475C8E27">
            <w:pPr>
              <w:spacing w:line="400" w:lineRule="exact"/>
              <w:rPr>
                <w:rFonts w:ascii="宋体" w:hAnsi="宋体"/>
                <w:color w:val="000000"/>
                <w:sz w:val="24"/>
                <w:highlight w:val="none"/>
              </w:rPr>
            </w:pPr>
          </w:p>
        </w:tc>
        <w:tc>
          <w:tcPr>
            <w:tcW w:w="522" w:type="pct"/>
            <w:noWrap w:val="0"/>
            <w:vAlign w:val="top"/>
          </w:tcPr>
          <w:p w14:paraId="04DAC538">
            <w:pPr>
              <w:spacing w:line="400" w:lineRule="exact"/>
              <w:rPr>
                <w:rFonts w:ascii="宋体" w:hAnsi="宋体"/>
                <w:color w:val="000000"/>
                <w:sz w:val="24"/>
                <w:highlight w:val="none"/>
              </w:rPr>
            </w:pPr>
          </w:p>
        </w:tc>
        <w:tc>
          <w:tcPr>
            <w:tcW w:w="611" w:type="pct"/>
            <w:noWrap w:val="0"/>
            <w:vAlign w:val="top"/>
          </w:tcPr>
          <w:p w14:paraId="56FADAE7">
            <w:pPr>
              <w:spacing w:line="400" w:lineRule="exact"/>
              <w:rPr>
                <w:rFonts w:ascii="宋体" w:hAnsi="宋体"/>
                <w:color w:val="000000"/>
                <w:sz w:val="24"/>
                <w:highlight w:val="none"/>
              </w:rPr>
            </w:pPr>
          </w:p>
        </w:tc>
        <w:tc>
          <w:tcPr>
            <w:tcW w:w="762" w:type="pct"/>
            <w:noWrap w:val="0"/>
            <w:vAlign w:val="top"/>
          </w:tcPr>
          <w:p w14:paraId="107BE5FB">
            <w:pPr>
              <w:spacing w:line="400" w:lineRule="exact"/>
              <w:rPr>
                <w:rFonts w:ascii="宋体" w:hAnsi="宋体"/>
                <w:color w:val="000000"/>
                <w:sz w:val="24"/>
                <w:highlight w:val="none"/>
              </w:rPr>
            </w:pPr>
          </w:p>
        </w:tc>
        <w:tc>
          <w:tcPr>
            <w:tcW w:w="381" w:type="pct"/>
            <w:noWrap w:val="0"/>
            <w:vAlign w:val="top"/>
          </w:tcPr>
          <w:p w14:paraId="5A565F44">
            <w:pPr>
              <w:spacing w:line="400" w:lineRule="exact"/>
              <w:rPr>
                <w:rFonts w:ascii="宋体" w:hAnsi="宋体"/>
                <w:color w:val="000000"/>
                <w:sz w:val="24"/>
                <w:highlight w:val="none"/>
              </w:rPr>
            </w:pPr>
          </w:p>
        </w:tc>
        <w:tc>
          <w:tcPr>
            <w:tcW w:w="381" w:type="pct"/>
            <w:noWrap w:val="0"/>
            <w:vAlign w:val="top"/>
          </w:tcPr>
          <w:p w14:paraId="2961FA8E">
            <w:pPr>
              <w:spacing w:line="400" w:lineRule="exact"/>
              <w:rPr>
                <w:rFonts w:ascii="宋体" w:hAnsi="宋体"/>
                <w:color w:val="000000"/>
                <w:sz w:val="24"/>
                <w:highlight w:val="none"/>
              </w:rPr>
            </w:pPr>
          </w:p>
        </w:tc>
        <w:tc>
          <w:tcPr>
            <w:tcW w:w="534" w:type="pct"/>
            <w:noWrap w:val="0"/>
            <w:vAlign w:val="top"/>
          </w:tcPr>
          <w:p w14:paraId="3729C913">
            <w:pPr>
              <w:spacing w:line="400" w:lineRule="exact"/>
              <w:rPr>
                <w:rFonts w:ascii="宋体" w:hAnsi="宋体"/>
                <w:color w:val="000000"/>
                <w:sz w:val="24"/>
                <w:highlight w:val="none"/>
              </w:rPr>
            </w:pPr>
          </w:p>
        </w:tc>
        <w:tc>
          <w:tcPr>
            <w:tcW w:w="395" w:type="pct"/>
            <w:noWrap w:val="0"/>
            <w:vAlign w:val="top"/>
          </w:tcPr>
          <w:p w14:paraId="619EFD34">
            <w:pPr>
              <w:spacing w:line="400" w:lineRule="exact"/>
              <w:rPr>
                <w:rFonts w:ascii="宋体" w:hAnsi="宋体"/>
                <w:color w:val="000000"/>
                <w:sz w:val="24"/>
                <w:highlight w:val="none"/>
              </w:rPr>
            </w:pPr>
          </w:p>
        </w:tc>
        <w:tc>
          <w:tcPr>
            <w:tcW w:w="577" w:type="pct"/>
            <w:noWrap w:val="0"/>
            <w:vAlign w:val="top"/>
          </w:tcPr>
          <w:p w14:paraId="156D7A81">
            <w:pPr>
              <w:spacing w:line="400" w:lineRule="exact"/>
              <w:rPr>
                <w:rFonts w:ascii="宋体" w:hAnsi="宋体"/>
                <w:color w:val="000000"/>
                <w:sz w:val="24"/>
                <w:highlight w:val="none"/>
              </w:rPr>
            </w:pPr>
          </w:p>
        </w:tc>
      </w:tr>
      <w:tr w14:paraId="36BA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1" w:type="pct"/>
            <w:noWrap w:val="0"/>
            <w:vAlign w:val="top"/>
          </w:tcPr>
          <w:p w14:paraId="4FDD387F">
            <w:pPr>
              <w:spacing w:line="400" w:lineRule="exact"/>
              <w:rPr>
                <w:rFonts w:ascii="宋体" w:hAnsi="宋体"/>
                <w:color w:val="000000"/>
                <w:sz w:val="24"/>
                <w:highlight w:val="none"/>
              </w:rPr>
            </w:pPr>
            <w:r>
              <w:rPr>
                <w:rFonts w:hint="eastAsia" w:ascii="宋体" w:hAnsi="宋体"/>
                <w:color w:val="000000"/>
                <w:sz w:val="24"/>
                <w:highlight w:val="none"/>
              </w:rPr>
              <w:t>4</w:t>
            </w:r>
          </w:p>
        </w:tc>
        <w:tc>
          <w:tcPr>
            <w:tcW w:w="571" w:type="pct"/>
            <w:noWrap w:val="0"/>
            <w:vAlign w:val="top"/>
          </w:tcPr>
          <w:p w14:paraId="563AD90C">
            <w:pPr>
              <w:spacing w:line="400" w:lineRule="exact"/>
              <w:rPr>
                <w:rFonts w:ascii="宋体" w:hAnsi="宋体"/>
                <w:color w:val="000000"/>
                <w:sz w:val="24"/>
                <w:highlight w:val="none"/>
              </w:rPr>
            </w:pPr>
          </w:p>
        </w:tc>
        <w:tc>
          <w:tcPr>
            <w:tcW w:w="522" w:type="pct"/>
            <w:noWrap w:val="0"/>
            <w:vAlign w:val="top"/>
          </w:tcPr>
          <w:p w14:paraId="7E393786">
            <w:pPr>
              <w:spacing w:line="400" w:lineRule="exact"/>
              <w:rPr>
                <w:rFonts w:ascii="宋体" w:hAnsi="宋体"/>
                <w:color w:val="000000"/>
                <w:sz w:val="24"/>
                <w:highlight w:val="none"/>
              </w:rPr>
            </w:pPr>
          </w:p>
        </w:tc>
        <w:tc>
          <w:tcPr>
            <w:tcW w:w="611" w:type="pct"/>
            <w:noWrap w:val="0"/>
            <w:vAlign w:val="top"/>
          </w:tcPr>
          <w:p w14:paraId="5CE9F37F">
            <w:pPr>
              <w:spacing w:line="400" w:lineRule="exact"/>
              <w:rPr>
                <w:rFonts w:ascii="宋体" w:hAnsi="宋体"/>
                <w:color w:val="000000"/>
                <w:sz w:val="24"/>
                <w:highlight w:val="none"/>
              </w:rPr>
            </w:pPr>
          </w:p>
        </w:tc>
        <w:tc>
          <w:tcPr>
            <w:tcW w:w="762" w:type="pct"/>
            <w:noWrap w:val="0"/>
            <w:vAlign w:val="top"/>
          </w:tcPr>
          <w:p w14:paraId="342CADBD">
            <w:pPr>
              <w:spacing w:line="400" w:lineRule="exact"/>
              <w:rPr>
                <w:rFonts w:ascii="宋体" w:hAnsi="宋体"/>
                <w:color w:val="000000"/>
                <w:sz w:val="24"/>
                <w:highlight w:val="none"/>
              </w:rPr>
            </w:pPr>
          </w:p>
        </w:tc>
        <w:tc>
          <w:tcPr>
            <w:tcW w:w="381" w:type="pct"/>
            <w:noWrap w:val="0"/>
            <w:vAlign w:val="top"/>
          </w:tcPr>
          <w:p w14:paraId="1D13EE55">
            <w:pPr>
              <w:spacing w:line="400" w:lineRule="exact"/>
              <w:rPr>
                <w:rFonts w:ascii="宋体" w:hAnsi="宋体"/>
                <w:color w:val="000000"/>
                <w:sz w:val="24"/>
                <w:highlight w:val="none"/>
              </w:rPr>
            </w:pPr>
          </w:p>
        </w:tc>
        <w:tc>
          <w:tcPr>
            <w:tcW w:w="381" w:type="pct"/>
            <w:noWrap w:val="0"/>
            <w:vAlign w:val="top"/>
          </w:tcPr>
          <w:p w14:paraId="2C239CAF">
            <w:pPr>
              <w:spacing w:line="400" w:lineRule="exact"/>
              <w:rPr>
                <w:rFonts w:ascii="宋体" w:hAnsi="宋体"/>
                <w:color w:val="000000"/>
                <w:sz w:val="24"/>
                <w:highlight w:val="none"/>
              </w:rPr>
            </w:pPr>
          </w:p>
        </w:tc>
        <w:tc>
          <w:tcPr>
            <w:tcW w:w="534" w:type="pct"/>
            <w:noWrap w:val="0"/>
            <w:vAlign w:val="top"/>
          </w:tcPr>
          <w:p w14:paraId="07C197CB">
            <w:pPr>
              <w:spacing w:line="400" w:lineRule="exact"/>
              <w:rPr>
                <w:rFonts w:ascii="宋体" w:hAnsi="宋体"/>
                <w:color w:val="000000"/>
                <w:sz w:val="24"/>
                <w:highlight w:val="none"/>
              </w:rPr>
            </w:pPr>
          </w:p>
        </w:tc>
        <w:tc>
          <w:tcPr>
            <w:tcW w:w="395" w:type="pct"/>
            <w:noWrap w:val="0"/>
            <w:vAlign w:val="top"/>
          </w:tcPr>
          <w:p w14:paraId="25AD714E">
            <w:pPr>
              <w:spacing w:line="400" w:lineRule="exact"/>
              <w:rPr>
                <w:rFonts w:ascii="宋体" w:hAnsi="宋体"/>
                <w:color w:val="000000"/>
                <w:sz w:val="24"/>
                <w:highlight w:val="none"/>
              </w:rPr>
            </w:pPr>
          </w:p>
        </w:tc>
        <w:tc>
          <w:tcPr>
            <w:tcW w:w="577" w:type="pct"/>
            <w:noWrap w:val="0"/>
            <w:vAlign w:val="top"/>
          </w:tcPr>
          <w:p w14:paraId="38E798E7">
            <w:pPr>
              <w:spacing w:line="400" w:lineRule="exact"/>
              <w:rPr>
                <w:rFonts w:ascii="宋体" w:hAnsi="宋体"/>
                <w:color w:val="000000"/>
                <w:sz w:val="24"/>
                <w:highlight w:val="none"/>
              </w:rPr>
            </w:pPr>
          </w:p>
        </w:tc>
      </w:tr>
      <w:tr w14:paraId="38ED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2" w:type="pct"/>
            <w:gridSpan w:val="2"/>
            <w:noWrap w:val="0"/>
            <w:vAlign w:val="top"/>
          </w:tcPr>
          <w:p w14:paraId="613CF820">
            <w:pPr>
              <w:spacing w:line="400" w:lineRule="exact"/>
              <w:rPr>
                <w:rFonts w:ascii="宋体" w:hAnsi="宋体"/>
                <w:color w:val="000000"/>
                <w:sz w:val="24"/>
                <w:highlight w:val="none"/>
              </w:rPr>
            </w:pPr>
            <w:r>
              <w:rPr>
                <w:rFonts w:hint="eastAsia" w:ascii="宋体" w:hAnsi="宋体"/>
                <w:color w:val="000000"/>
                <w:sz w:val="24"/>
                <w:highlight w:val="none"/>
              </w:rPr>
              <w:t>投标总价</w:t>
            </w:r>
          </w:p>
        </w:tc>
        <w:tc>
          <w:tcPr>
            <w:tcW w:w="4167" w:type="pct"/>
            <w:gridSpan w:val="8"/>
            <w:noWrap w:val="0"/>
            <w:vAlign w:val="top"/>
          </w:tcPr>
          <w:p w14:paraId="2C335588">
            <w:pPr>
              <w:spacing w:line="500" w:lineRule="exact"/>
              <w:rPr>
                <w:rFonts w:ascii="宋体" w:hAnsi="宋体"/>
                <w:color w:val="000000"/>
                <w:sz w:val="24"/>
                <w:highlight w:val="none"/>
                <w:u w:val="single"/>
              </w:rPr>
            </w:pPr>
            <w:r>
              <w:rPr>
                <w:rFonts w:hint="eastAsia" w:ascii="宋体" w:hAnsi="宋体"/>
                <w:b/>
                <w:color w:val="000000"/>
                <w:sz w:val="24"/>
                <w:highlight w:val="none"/>
              </w:rPr>
              <w:t>大写：</w:t>
            </w:r>
            <w:r>
              <w:rPr>
                <w:rFonts w:hint="eastAsia" w:ascii="宋体" w:hAnsi="宋体"/>
                <w:b/>
                <w:color w:val="000000"/>
                <w:sz w:val="24"/>
                <w:highlight w:val="none"/>
                <w:u w:val="single"/>
              </w:rPr>
              <w:t xml:space="preserve">                          </w:t>
            </w:r>
            <w:r>
              <w:rPr>
                <w:rFonts w:hint="eastAsia" w:ascii="宋体" w:hAnsi="宋体"/>
                <w:b/>
                <w:color w:val="000000"/>
                <w:sz w:val="24"/>
                <w:highlight w:val="none"/>
              </w:rPr>
              <w:t xml:space="preserve">小写： </w:t>
            </w:r>
            <w:r>
              <w:rPr>
                <w:rFonts w:hint="eastAsia" w:ascii="宋体" w:hAnsi="宋体"/>
                <w:b/>
                <w:color w:val="000000"/>
                <w:sz w:val="24"/>
                <w:highlight w:val="none"/>
                <w:u w:val="single"/>
              </w:rPr>
              <w:t xml:space="preserve">              </w:t>
            </w:r>
            <w:r>
              <w:rPr>
                <w:rFonts w:hint="eastAsia" w:ascii="宋体" w:hAnsi="宋体"/>
                <w:b/>
                <w:color w:val="000000"/>
                <w:sz w:val="24"/>
                <w:highlight w:val="none"/>
              </w:rPr>
              <w:t xml:space="preserve">   </w:t>
            </w:r>
          </w:p>
        </w:tc>
      </w:tr>
    </w:tbl>
    <w:p w14:paraId="778B217B">
      <w:pPr>
        <w:spacing w:line="360" w:lineRule="auto"/>
        <w:rPr>
          <w:rFonts w:ascii="宋体" w:hAnsi="宋体" w:cs="宋体"/>
          <w:color w:val="000000"/>
          <w:kern w:val="10"/>
          <w:sz w:val="24"/>
          <w:highlight w:val="none"/>
        </w:rPr>
      </w:pPr>
    </w:p>
    <w:p w14:paraId="6CB658BF">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注：1、投标人所报单价应为包含采购、安装、调试、税金、验收、质保期服务、与货物有关的运输和保险及其他伴随服务的全费用单价；</w:t>
      </w:r>
    </w:p>
    <w:p w14:paraId="0B02A13A">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2、以上表中各项可进一步细分，栏数不够可自加或附表；</w:t>
      </w:r>
    </w:p>
    <w:p w14:paraId="4B3446A7">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3、投标人应按磋商文件中采购货物技术参数一览表中所列货物填写本表；</w:t>
      </w:r>
    </w:p>
    <w:p w14:paraId="5B92E3D8">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4、</w:t>
      </w:r>
      <w:r>
        <w:rPr>
          <w:rFonts w:hint="eastAsia" w:ascii="宋体" w:hAnsi="宋体"/>
          <w:color w:val="000000"/>
          <w:sz w:val="24"/>
          <w:highlight w:val="none"/>
        </w:rPr>
        <w:t>监狱企业、残疾人福利性企业视同小微企业；</w:t>
      </w:r>
    </w:p>
    <w:p w14:paraId="04FD3571">
      <w:pPr>
        <w:spacing w:line="360" w:lineRule="auto"/>
        <w:rPr>
          <w:rFonts w:ascii="宋体" w:hAnsi="宋体" w:cs="宋体"/>
          <w:b/>
          <w:color w:val="000000"/>
          <w:kern w:val="10"/>
          <w:sz w:val="24"/>
          <w:highlight w:val="none"/>
        </w:rPr>
      </w:pPr>
    </w:p>
    <w:p w14:paraId="6028167F">
      <w:pPr>
        <w:spacing w:line="360" w:lineRule="auto"/>
        <w:rPr>
          <w:rFonts w:ascii="宋体" w:hAnsi="宋体"/>
          <w:b/>
          <w:color w:val="000000"/>
          <w:sz w:val="24"/>
          <w:highlight w:val="none"/>
        </w:rPr>
      </w:pPr>
    </w:p>
    <w:p w14:paraId="13BDCFB3">
      <w:pPr>
        <w:spacing w:line="360" w:lineRule="auto"/>
        <w:rPr>
          <w:rFonts w:ascii="宋体" w:hAnsi="宋体"/>
          <w:b/>
          <w:color w:val="000000"/>
          <w:sz w:val="24"/>
          <w:highlight w:val="none"/>
        </w:rPr>
      </w:pPr>
    </w:p>
    <w:p w14:paraId="08194A7D">
      <w:pPr>
        <w:spacing w:line="360" w:lineRule="auto"/>
        <w:rPr>
          <w:rFonts w:ascii="宋体" w:hAnsi="宋体"/>
          <w:b/>
          <w:color w:val="000000"/>
          <w:sz w:val="24"/>
          <w:highlight w:val="none"/>
        </w:rPr>
      </w:pPr>
    </w:p>
    <w:p w14:paraId="05A25B15">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w:t>
      </w:r>
      <w:r>
        <w:rPr>
          <w:rFonts w:hint="eastAsia" w:ascii="宋体" w:hAnsi="宋体" w:cs="宋体"/>
          <w:color w:val="000000"/>
          <w:kern w:val="10"/>
          <w:sz w:val="24"/>
          <w:highlight w:val="none"/>
          <w:u w:val="single"/>
        </w:rPr>
        <w:t xml:space="preserve">       （电子签章）   </w:t>
      </w:r>
    </w:p>
    <w:p w14:paraId="334F9D47">
      <w:pPr>
        <w:spacing w:line="360" w:lineRule="auto"/>
        <w:rPr>
          <w:rFonts w:ascii="宋体" w:hAnsi="宋体" w:cs="宋体"/>
          <w:color w:val="000000"/>
          <w:kern w:val="10"/>
          <w:sz w:val="24"/>
          <w:highlight w:val="none"/>
          <w:u w:val="single"/>
        </w:rPr>
      </w:pPr>
      <w:r>
        <w:rPr>
          <w:rFonts w:hint="eastAsia" w:ascii="宋体" w:hAnsi="宋体" w:cs="宋体"/>
          <w:color w:val="000000"/>
          <w:kern w:val="10"/>
          <w:sz w:val="24"/>
          <w:highlight w:val="none"/>
        </w:rPr>
        <w:t xml:space="preserve">                                      法定代表人：</w:t>
      </w:r>
      <w:r>
        <w:rPr>
          <w:rFonts w:hint="eastAsia" w:ascii="宋体" w:hAnsi="宋体" w:cs="宋体"/>
          <w:color w:val="000000"/>
          <w:kern w:val="10"/>
          <w:sz w:val="24"/>
          <w:highlight w:val="none"/>
          <w:u w:val="single"/>
        </w:rPr>
        <w:t xml:space="preserve">      （电子签章）</w:t>
      </w:r>
      <w:r>
        <w:rPr>
          <w:rFonts w:hint="eastAsia" w:ascii="宋体" w:hAnsi="宋体" w:cs="宋体"/>
          <w:color w:val="000000"/>
          <w:kern w:val="10"/>
          <w:sz w:val="24"/>
          <w:highlight w:val="none"/>
        </w:rPr>
        <w:t xml:space="preserve">                                    </w:t>
      </w:r>
    </w:p>
    <w:p w14:paraId="4BDB8047">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年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 月</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日</w:t>
      </w:r>
    </w:p>
    <w:p w14:paraId="49A86224">
      <w:pPr>
        <w:keepNext/>
        <w:keepLines/>
        <w:spacing w:before="260" w:after="260" w:line="416" w:lineRule="auto"/>
        <w:jc w:val="center"/>
        <w:outlineLvl w:val="1"/>
        <w:rPr>
          <w:rFonts w:hint="eastAsia" w:ascii="宋体" w:hAnsi="宋体" w:cs="宋体"/>
          <w:b/>
          <w:bCs/>
          <w:color w:val="000000"/>
          <w:kern w:val="10"/>
          <w:sz w:val="28"/>
          <w:szCs w:val="28"/>
          <w:highlight w:val="none"/>
        </w:rPr>
      </w:pPr>
      <w:bookmarkStart w:id="142" w:name="_Toc8094"/>
    </w:p>
    <w:p w14:paraId="3E1562A8">
      <w:pPr>
        <w:keepNext/>
        <w:keepLines/>
        <w:spacing w:before="260" w:after="260" w:line="416" w:lineRule="auto"/>
        <w:jc w:val="center"/>
        <w:outlineLvl w:val="1"/>
        <w:rPr>
          <w:rFonts w:hint="eastAsia" w:ascii="宋体" w:hAnsi="宋体" w:cs="宋体"/>
          <w:b/>
          <w:bCs/>
          <w:color w:val="000000"/>
          <w:kern w:val="10"/>
          <w:sz w:val="28"/>
          <w:szCs w:val="28"/>
          <w:highlight w:val="none"/>
        </w:rPr>
      </w:pPr>
    </w:p>
    <w:bookmarkEnd w:id="130"/>
    <w:bookmarkEnd w:id="131"/>
    <w:bookmarkEnd w:id="132"/>
    <w:bookmarkEnd w:id="133"/>
    <w:bookmarkEnd w:id="136"/>
    <w:bookmarkEnd w:id="137"/>
    <w:bookmarkEnd w:id="138"/>
    <w:bookmarkEnd w:id="139"/>
    <w:bookmarkEnd w:id="140"/>
    <w:bookmarkEnd w:id="142"/>
    <w:p w14:paraId="22983C94">
      <w:pPr>
        <w:spacing w:line="360" w:lineRule="auto"/>
        <w:ind w:firstLine="480" w:firstLineChars="200"/>
        <w:rPr>
          <w:rFonts w:hint="eastAsia" w:ascii="宋体" w:hAnsi="宋体" w:cs="宋体"/>
          <w:bCs/>
          <w:color w:val="000000"/>
          <w:kern w:val="10"/>
          <w:sz w:val="24"/>
          <w:highlight w:val="none"/>
          <w:lang w:val="en-US" w:eastAsia="zh-CN"/>
        </w:rPr>
      </w:pPr>
      <w:bookmarkStart w:id="143" w:name="_Toc234382977"/>
      <w:bookmarkStart w:id="144" w:name="_Toc26286"/>
      <w:bookmarkStart w:id="145" w:name="_Toc28039"/>
      <w:bookmarkStart w:id="146" w:name="_Toc29890"/>
      <w:bookmarkStart w:id="147" w:name="_Toc24161"/>
    </w:p>
    <w:p w14:paraId="36B868D0">
      <w:pPr>
        <w:keepNext/>
        <w:keepLines/>
        <w:spacing w:before="260" w:after="260" w:line="416" w:lineRule="auto"/>
        <w:jc w:val="center"/>
        <w:outlineLvl w:val="1"/>
        <w:rPr>
          <w:rFonts w:ascii="宋体" w:hAnsi="宋体" w:cs="宋体"/>
          <w:b/>
          <w:bCs/>
          <w:color w:val="000000"/>
          <w:kern w:val="10"/>
          <w:sz w:val="28"/>
          <w:szCs w:val="28"/>
          <w:highlight w:val="none"/>
        </w:rPr>
      </w:pPr>
      <w:r>
        <w:rPr>
          <w:rFonts w:hint="eastAsia" w:ascii="宋体" w:hAnsi="宋体" w:cs="宋体"/>
          <w:b/>
          <w:bCs/>
          <w:color w:val="000000"/>
          <w:kern w:val="10"/>
          <w:sz w:val="28"/>
          <w:szCs w:val="28"/>
          <w:highlight w:val="none"/>
        </w:rPr>
        <w:t>五、实施方案及技术方案</w:t>
      </w:r>
    </w:p>
    <w:p w14:paraId="4604A3CF">
      <w:pPr>
        <w:spacing w:line="360" w:lineRule="auto"/>
        <w:ind w:firstLine="480" w:firstLineChars="200"/>
        <w:rPr>
          <w:rFonts w:hint="eastAsia" w:ascii="宋体" w:hAnsi="宋体" w:cs="宋体"/>
          <w:bCs/>
          <w:color w:val="000000"/>
          <w:kern w:val="10"/>
          <w:sz w:val="24"/>
          <w:highlight w:val="none"/>
          <w:lang w:val="en-US" w:eastAsia="zh-CN"/>
        </w:rPr>
      </w:pPr>
    </w:p>
    <w:p w14:paraId="2C0D0349">
      <w:pPr>
        <w:spacing w:line="360" w:lineRule="auto"/>
        <w:ind w:firstLine="480" w:firstLineChars="200"/>
        <w:rPr>
          <w:rFonts w:ascii="宋体" w:hAnsi="宋体" w:cs="宋体"/>
          <w:bCs/>
          <w:color w:val="000000"/>
          <w:kern w:val="10"/>
          <w:sz w:val="24"/>
          <w:highlight w:val="none"/>
        </w:rPr>
      </w:pPr>
      <w:r>
        <w:rPr>
          <w:rFonts w:hint="eastAsia" w:ascii="宋体" w:hAnsi="宋体" w:cs="宋体"/>
          <w:bCs/>
          <w:color w:val="000000"/>
          <w:kern w:val="10"/>
          <w:sz w:val="24"/>
          <w:highlight w:val="none"/>
          <w:lang w:val="en-US" w:eastAsia="zh-CN"/>
        </w:rPr>
        <w:t>供应商</w:t>
      </w:r>
      <w:r>
        <w:rPr>
          <w:rFonts w:hint="eastAsia" w:ascii="宋体" w:hAnsi="宋体" w:cs="宋体"/>
          <w:bCs/>
          <w:color w:val="000000"/>
          <w:kern w:val="10"/>
          <w:sz w:val="24"/>
          <w:highlight w:val="none"/>
        </w:rPr>
        <w:t>根据磋商文件的要求，结合自身实际情况自行编制，并可按磋商文件评分内容编写所需方案，包含实施方案以及技术方案（格式自拟）</w:t>
      </w:r>
    </w:p>
    <w:p w14:paraId="32CB69DE">
      <w:pPr>
        <w:spacing w:line="360" w:lineRule="auto"/>
        <w:ind w:firstLine="480" w:firstLineChars="200"/>
        <w:rPr>
          <w:rFonts w:ascii="宋体" w:hAnsi="宋体" w:cs="宋体"/>
          <w:bCs/>
          <w:color w:val="000000"/>
          <w:kern w:val="10"/>
          <w:sz w:val="24"/>
          <w:highlight w:val="none"/>
        </w:rPr>
      </w:pPr>
    </w:p>
    <w:p w14:paraId="1A5C3CCE">
      <w:pPr>
        <w:spacing w:line="360" w:lineRule="auto"/>
        <w:ind w:firstLine="480" w:firstLineChars="200"/>
        <w:rPr>
          <w:rFonts w:ascii="宋体" w:hAnsi="宋体" w:cs="宋体"/>
          <w:bCs/>
          <w:color w:val="000000"/>
          <w:kern w:val="10"/>
          <w:sz w:val="24"/>
          <w:highlight w:val="none"/>
        </w:rPr>
      </w:pPr>
    </w:p>
    <w:p w14:paraId="6DDF2826">
      <w:pPr>
        <w:spacing w:line="360" w:lineRule="auto"/>
        <w:ind w:firstLine="480" w:firstLineChars="200"/>
        <w:rPr>
          <w:rFonts w:ascii="宋体" w:hAnsi="宋体" w:cs="宋体"/>
          <w:bCs/>
          <w:color w:val="000000"/>
          <w:kern w:val="10"/>
          <w:sz w:val="24"/>
          <w:highlight w:val="none"/>
        </w:rPr>
      </w:pPr>
    </w:p>
    <w:p w14:paraId="2930A3D0">
      <w:pPr>
        <w:spacing w:line="360" w:lineRule="auto"/>
        <w:ind w:firstLine="480" w:firstLineChars="200"/>
        <w:rPr>
          <w:rFonts w:ascii="宋体" w:hAnsi="宋体" w:cs="宋体"/>
          <w:bCs/>
          <w:color w:val="000000"/>
          <w:kern w:val="10"/>
          <w:sz w:val="24"/>
          <w:highlight w:val="none"/>
        </w:rPr>
      </w:pPr>
    </w:p>
    <w:p w14:paraId="066A755C">
      <w:pPr>
        <w:spacing w:line="360" w:lineRule="auto"/>
        <w:ind w:firstLine="480" w:firstLineChars="200"/>
        <w:rPr>
          <w:rFonts w:ascii="宋体" w:hAnsi="宋体" w:cs="宋体"/>
          <w:bCs/>
          <w:color w:val="000000"/>
          <w:kern w:val="10"/>
          <w:sz w:val="24"/>
          <w:highlight w:val="none"/>
        </w:rPr>
      </w:pPr>
    </w:p>
    <w:p w14:paraId="3323AC4D">
      <w:pPr>
        <w:spacing w:line="360" w:lineRule="auto"/>
        <w:ind w:firstLine="480" w:firstLineChars="200"/>
        <w:rPr>
          <w:rFonts w:ascii="宋体" w:hAnsi="宋体" w:cs="宋体"/>
          <w:bCs/>
          <w:color w:val="000000"/>
          <w:kern w:val="10"/>
          <w:sz w:val="24"/>
          <w:highlight w:val="none"/>
        </w:rPr>
      </w:pPr>
    </w:p>
    <w:p w14:paraId="4F0EF3CD">
      <w:pPr>
        <w:spacing w:line="360" w:lineRule="auto"/>
        <w:ind w:firstLine="480" w:firstLineChars="200"/>
        <w:rPr>
          <w:rFonts w:ascii="宋体" w:hAnsi="宋体" w:cs="宋体"/>
          <w:bCs/>
          <w:color w:val="000000"/>
          <w:kern w:val="10"/>
          <w:sz w:val="24"/>
          <w:highlight w:val="none"/>
        </w:rPr>
      </w:pPr>
    </w:p>
    <w:p w14:paraId="61CC4F95">
      <w:pPr>
        <w:spacing w:line="360" w:lineRule="auto"/>
        <w:ind w:firstLine="480" w:firstLineChars="200"/>
        <w:rPr>
          <w:rFonts w:ascii="宋体" w:hAnsi="宋体" w:cs="宋体"/>
          <w:bCs/>
          <w:color w:val="000000"/>
          <w:kern w:val="10"/>
          <w:sz w:val="24"/>
          <w:highlight w:val="none"/>
        </w:rPr>
      </w:pPr>
    </w:p>
    <w:p w14:paraId="77AA779F">
      <w:pPr>
        <w:spacing w:line="360" w:lineRule="auto"/>
        <w:ind w:firstLine="480" w:firstLineChars="200"/>
        <w:rPr>
          <w:rFonts w:ascii="宋体" w:hAnsi="宋体" w:cs="宋体"/>
          <w:bCs/>
          <w:color w:val="000000"/>
          <w:kern w:val="10"/>
          <w:sz w:val="24"/>
          <w:highlight w:val="none"/>
        </w:rPr>
      </w:pPr>
    </w:p>
    <w:p w14:paraId="27DDA394">
      <w:pPr>
        <w:spacing w:line="360" w:lineRule="auto"/>
        <w:ind w:firstLine="480" w:firstLineChars="200"/>
        <w:rPr>
          <w:rFonts w:ascii="宋体" w:hAnsi="宋体" w:cs="宋体"/>
          <w:bCs/>
          <w:color w:val="000000"/>
          <w:kern w:val="10"/>
          <w:sz w:val="24"/>
          <w:highlight w:val="none"/>
        </w:rPr>
      </w:pPr>
    </w:p>
    <w:p w14:paraId="5B9A8C83">
      <w:pPr>
        <w:spacing w:line="360" w:lineRule="auto"/>
        <w:ind w:firstLine="480" w:firstLineChars="200"/>
        <w:rPr>
          <w:rFonts w:ascii="宋体" w:hAnsi="宋体" w:cs="宋体"/>
          <w:bCs/>
          <w:color w:val="000000"/>
          <w:kern w:val="10"/>
          <w:sz w:val="24"/>
          <w:highlight w:val="none"/>
        </w:rPr>
      </w:pPr>
    </w:p>
    <w:p w14:paraId="2A3F6819">
      <w:pPr>
        <w:spacing w:line="360" w:lineRule="auto"/>
        <w:ind w:firstLine="480" w:firstLineChars="200"/>
        <w:rPr>
          <w:rFonts w:ascii="宋体" w:hAnsi="宋体" w:cs="宋体"/>
          <w:bCs/>
          <w:color w:val="000000"/>
          <w:kern w:val="10"/>
          <w:sz w:val="24"/>
          <w:highlight w:val="none"/>
        </w:rPr>
      </w:pPr>
    </w:p>
    <w:p w14:paraId="09908F2D">
      <w:pPr>
        <w:spacing w:line="360" w:lineRule="auto"/>
        <w:ind w:firstLine="480" w:firstLineChars="200"/>
        <w:rPr>
          <w:rFonts w:ascii="宋体" w:hAnsi="宋体" w:cs="宋体"/>
          <w:bCs/>
          <w:color w:val="000000"/>
          <w:kern w:val="10"/>
          <w:sz w:val="24"/>
          <w:highlight w:val="none"/>
        </w:rPr>
      </w:pPr>
    </w:p>
    <w:p w14:paraId="386D5F7C">
      <w:pPr>
        <w:spacing w:line="360" w:lineRule="auto"/>
        <w:ind w:firstLine="480" w:firstLineChars="200"/>
        <w:rPr>
          <w:rFonts w:ascii="宋体" w:hAnsi="宋体" w:cs="宋体"/>
          <w:bCs/>
          <w:color w:val="000000"/>
          <w:kern w:val="10"/>
          <w:sz w:val="24"/>
          <w:highlight w:val="none"/>
        </w:rPr>
      </w:pPr>
    </w:p>
    <w:p w14:paraId="4F15E286">
      <w:pPr>
        <w:spacing w:line="360" w:lineRule="auto"/>
        <w:ind w:firstLine="480" w:firstLineChars="200"/>
        <w:rPr>
          <w:rFonts w:ascii="宋体" w:hAnsi="宋体" w:cs="宋体"/>
          <w:bCs/>
          <w:color w:val="000000"/>
          <w:kern w:val="10"/>
          <w:sz w:val="24"/>
          <w:highlight w:val="none"/>
        </w:rPr>
      </w:pPr>
    </w:p>
    <w:p w14:paraId="0BF69C5D">
      <w:pPr>
        <w:spacing w:line="360" w:lineRule="auto"/>
        <w:ind w:firstLine="480" w:firstLineChars="200"/>
        <w:rPr>
          <w:rFonts w:ascii="宋体" w:hAnsi="宋体" w:cs="宋体"/>
          <w:bCs/>
          <w:color w:val="000000"/>
          <w:kern w:val="10"/>
          <w:sz w:val="24"/>
          <w:highlight w:val="none"/>
        </w:rPr>
      </w:pPr>
    </w:p>
    <w:p w14:paraId="0AB18DD9">
      <w:pPr>
        <w:spacing w:line="360" w:lineRule="auto"/>
        <w:ind w:firstLine="480" w:firstLineChars="200"/>
        <w:rPr>
          <w:rFonts w:ascii="宋体" w:hAnsi="宋体" w:cs="宋体"/>
          <w:bCs/>
          <w:color w:val="000000"/>
          <w:kern w:val="10"/>
          <w:sz w:val="24"/>
          <w:highlight w:val="none"/>
        </w:rPr>
      </w:pPr>
    </w:p>
    <w:p w14:paraId="04516C94">
      <w:pPr>
        <w:spacing w:line="360" w:lineRule="auto"/>
        <w:ind w:firstLine="480" w:firstLineChars="200"/>
        <w:rPr>
          <w:rFonts w:ascii="宋体" w:hAnsi="宋体" w:cs="宋体"/>
          <w:bCs/>
          <w:color w:val="000000"/>
          <w:kern w:val="10"/>
          <w:sz w:val="24"/>
          <w:highlight w:val="none"/>
        </w:rPr>
      </w:pPr>
    </w:p>
    <w:p w14:paraId="5A3D6CC9">
      <w:pPr>
        <w:spacing w:line="360" w:lineRule="auto"/>
        <w:ind w:firstLine="480" w:firstLineChars="200"/>
        <w:rPr>
          <w:rFonts w:ascii="宋体" w:hAnsi="宋体" w:cs="宋体"/>
          <w:bCs/>
          <w:color w:val="000000"/>
          <w:kern w:val="10"/>
          <w:sz w:val="24"/>
          <w:highlight w:val="none"/>
        </w:rPr>
      </w:pPr>
    </w:p>
    <w:p w14:paraId="141F6A38">
      <w:pPr>
        <w:spacing w:line="360" w:lineRule="auto"/>
        <w:ind w:firstLine="480" w:firstLineChars="200"/>
        <w:rPr>
          <w:rFonts w:ascii="宋体" w:hAnsi="宋体" w:cs="宋体"/>
          <w:bCs/>
          <w:color w:val="000000"/>
          <w:kern w:val="10"/>
          <w:sz w:val="24"/>
          <w:highlight w:val="none"/>
        </w:rPr>
      </w:pPr>
    </w:p>
    <w:p w14:paraId="07655CBD">
      <w:pPr>
        <w:spacing w:line="360" w:lineRule="auto"/>
        <w:ind w:firstLine="480" w:firstLineChars="200"/>
        <w:rPr>
          <w:rFonts w:ascii="宋体" w:hAnsi="宋体" w:cs="宋体"/>
          <w:bCs/>
          <w:color w:val="000000"/>
          <w:kern w:val="10"/>
          <w:sz w:val="24"/>
          <w:highlight w:val="none"/>
        </w:rPr>
      </w:pPr>
    </w:p>
    <w:p w14:paraId="4019F8A6">
      <w:pPr>
        <w:spacing w:line="360" w:lineRule="auto"/>
        <w:ind w:firstLine="480" w:firstLineChars="200"/>
        <w:rPr>
          <w:rFonts w:ascii="宋体" w:hAnsi="宋体" w:cs="宋体"/>
          <w:bCs/>
          <w:color w:val="000000"/>
          <w:kern w:val="10"/>
          <w:sz w:val="24"/>
          <w:highlight w:val="none"/>
        </w:rPr>
      </w:pPr>
    </w:p>
    <w:p w14:paraId="12BEEE19">
      <w:pPr>
        <w:spacing w:line="360" w:lineRule="auto"/>
        <w:ind w:firstLine="560" w:firstLineChars="200"/>
        <w:rPr>
          <w:rFonts w:ascii="宋体" w:hAnsi="宋体" w:cs="宋体"/>
          <w:b/>
          <w:bCs/>
          <w:color w:val="000000"/>
          <w:kern w:val="10"/>
          <w:sz w:val="28"/>
          <w:szCs w:val="28"/>
          <w:highlight w:val="none"/>
        </w:rPr>
      </w:pPr>
    </w:p>
    <w:p w14:paraId="6DE88460">
      <w:pPr>
        <w:spacing w:line="360" w:lineRule="auto"/>
        <w:ind w:firstLine="600" w:firstLineChars="200"/>
        <w:rPr>
          <w:rFonts w:ascii="宋体" w:hAnsi="宋体" w:cs="宋体"/>
          <w:b/>
          <w:color w:val="000000"/>
          <w:kern w:val="10"/>
          <w:sz w:val="30"/>
          <w:szCs w:val="30"/>
          <w:highlight w:val="none"/>
        </w:rPr>
      </w:pPr>
      <w:bookmarkStart w:id="148" w:name="_Toc99007060"/>
      <w:bookmarkStart w:id="149" w:name="_Toc23302"/>
      <w:bookmarkStart w:id="150" w:name="_Toc2316"/>
      <w:bookmarkStart w:id="151" w:name="_Toc8306"/>
    </w:p>
    <w:p w14:paraId="4B6B902E">
      <w:pPr>
        <w:keepNext/>
        <w:keepLines/>
        <w:spacing w:before="260" w:after="260" w:line="416" w:lineRule="auto"/>
        <w:jc w:val="center"/>
        <w:outlineLvl w:val="1"/>
        <w:rPr>
          <w:rFonts w:hint="eastAsia" w:ascii="宋体" w:hAnsi="宋体" w:cs="宋体"/>
          <w:b/>
          <w:bCs/>
          <w:color w:val="000000"/>
          <w:kern w:val="10"/>
          <w:sz w:val="28"/>
          <w:szCs w:val="28"/>
          <w:highlight w:val="none"/>
        </w:rPr>
      </w:pPr>
      <w:bookmarkStart w:id="152" w:name="_Toc11250"/>
      <w:r>
        <w:rPr>
          <w:rFonts w:hint="eastAsia" w:ascii="宋体" w:hAnsi="宋体" w:cs="宋体"/>
          <w:b/>
          <w:bCs/>
          <w:color w:val="000000"/>
          <w:kern w:val="10"/>
          <w:sz w:val="28"/>
          <w:szCs w:val="28"/>
          <w:highlight w:val="none"/>
        </w:rPr>
        <w:t>六、</w:t>
      </w:r>
      <w:bookmarkEnd w:id="141"/>
      <w:bookmarkEnd w:id="148"/>
      <w:bookmarkEnd w:id="149"/>
      <w:bookmarkEnd w:id="150"/>
      <w:bookmarkEnd w:id="151"/>
      <w:r>
        <w:rPr>
          <w:rFonts w:hint="eastAsia" w:ascii="宋体" w:hAnsi="宋体" w:cs="宋体"/>
          <w:b/>
          <w:bCs/>
          <w:color w:val="000000"/>
          <w:kern w:val="10"/>
          <w:sz w:val="28"/>
          <w:szCs w:val="28"/>
          <w:highlight w:val="none"/>
        </w:rPr>
        <w:t>质保及售后服务承诺</w:t>
      </w:r>
      <w:bookmarkEnd w:id="152"/>
    </w:p>
    <w:p w14:paraId="52232C81">
      <w:pPr>
        <w:spacing w:line="360" w:lineRule="auto"/>
        <w:ind w:firstLine="480" w:firstLineChars="200"/>
        <w:rPr>
          <w:rFonts w:ascii="宋体" w:hAnsi="宋体" w:cs="宋体"/>
          <w:color w:val="000000"/>
          <w:kern w:val="10"/>
          <w:sz w:val="24"/>
          <w:highlight w:val="none"/>
        </w:rPr>
      </w:pPr>
      <w:r>
        <w:rPr>
          <w:rFonts w:hint="eastAsia" w:ascii="宋体" w:hAnsi="宋体" w:cs="宋体"/>
          <w:bCs/>
          <w:color w:val="000000"/>
          <w:kern w:val="10"/>
          <w:sz w:val="24"/>
          <w:highlight w:val="none"/>
          <w:lang w:val="en-US" w:eastAsia="zh-CN"/>
        </w:rPr>
        <w:t>供应商</w:t>
      </w:r>
      <w:r>
        <w:rPr>
          <w:rFonts w:hint="eastAsia" w:ascii="宋体" w:hAnsi="宋体" w:cs="宋体"/>
          <w:bCs/>
          <w:color w:val="000000"/>
          <w:kern w:val="10"/>
          <w:sz w:val="24"/>
          <w:highlight w:val="none"/>
        </w:rPr>
        <w:t>根据磋商文件的要求，结合自身实际情况自行编制，并可按磋商文件评分内容编写所需方案（格式自拟）</w:t>
      </w:r>
    </w:p>
    <w:p w14:paraId="01CD33CE">
      <w:pPr>
        <w:rPr>
          <w:rFonts w:ascii="宋体" w:hAnsi="宋体" w:cs="宋体"/>
          <w:color w:val="000000"/>
          <w:kern w:val="10"/>
          <w:sz w:val="24"/>
          <w:highlight w:val="none"/>
        </w:rPr>
      </w:pPr>
    </w:p>
    <w:p w14:paraId="13D15EAF">
      <w:pPr>
        <w:rPr>
          <w:rFonts w:ascii="宋体" w:hAnsi="宋体" w:cs="宋体"/>
          <w:b/>
          <w:bCs/>
          <w:color w:val="000000"/>
          <w:kern w:val="10"/>
          <w:sz w:val="28"/>
          <w:szCs w:val="28"/>
          <w:highlight w:val="none"/>
        </w:rPr>
      </w:pPr>
    </w:p>
    <w:p w14:paraId="674A0ABD">
      <w:pPr>
        <w:rPr>
          <w:rFonts w:ascii="宋体" w:hAnsi="宋体" w:cs="宋体"/>
          <w:b/>
          <w:bCs/>
          <w:color w:val="000000"/>
          <w:kern w:val="10"/>
          <w:sz w:val="28"/>
          <w:szCs w:val="28"/>
          <w:highlight w:val="none"/>
        </w:rPr>
      </w:pPr>
    </w:p>
    <w:p w14:paraId="3EFD295E">
      <w:pPr>
        <w:rPr>
          <w:rFonts w:ascii="宋体" w:hAnsi="宋体" w:cs="宋体"/>
          <w:b/>
          <w:bCs/>
          <w:color w:val="000000"/>
          <w:kern w:val="10"/>
          <w:sz w:val="28"/>
          <w:szCs w:val="28"/>
          <w:highlight w:val="none"/>
        </w:rPr>
      </w:pPr>
    </w:p>
    <w:p w14:paraId="772C494B">
      <w:pPr>
        <w:rPr>
          <w:rFonts w:ascii="宋体" w:hAnsi="宋体" w:cs="宋体"/>
          <w:b/>
          <w:bCs/>
          <w:color w:val="000000"/>
          <w:kern w:val="10"/>
          <w:sz w:val="28"/>
          <w:szCs w:val="28"/>
          <w:highlight w:val="none"/>
        </w:rPr>
      </w:pPr>
    </w:p>
    <w:p w14:paraId="3BBA7057">
      <w:pPr>
        <w:rPr>
          <w:rFonts w:ascii="宋体" w:hAnsi="宋体" w:cs="宋体"/>
          <w:bCs/>
          <w:color w:val="000000"/>
          <w:kern w:val="10"/>
          <w:sz w:val="24"/>
          <w:highlight w:val="none"/>
        </w:rPr>
      </w:pPr>
    </w:p>
    <w:p w14:paraId="7D447347">
      <w:pPr>
        <w:rPr>
          <w:rFonts w:ascii="宋体" w:hAnsi="宋体" w:cs="宋体"/>
          <w:bCs/>
          <w:color w:val="000000"/>
          <w:kern w:val="10"/>
          <w:sz w:val="24"/>
          <w:highlight w:val="none"/>
        </w:rPr>
      </w:pPr>
    </w:p>
    <w:p w14:paraId="602B2BC1">
      <w:pPr>
        <w:rPr>
          <w:rFonts w:ascii="宋体" w:hAnsi="宋体" w:cs="宋体"/>
          <w:bCs/>
          <w:color w:val="000000"/>
          <w:kern w:val="10"/>
          <w:sz w:val="24"/>
          <w:highlight w:val="none"/>
        </w:rPr>
      </w:pPr>
    </w:p>
    <w:p w14:paraId="1CE97797">
      <w:pPr>
        <w:rPr>
          <w:rFonts w:ascii="宋体" w:hAnsi="宋体" w:cs="宋体"/>
          <w:bCs/>
          <w:color w:val="000000"/>
          <w:kern w:val="10"/>
          <w:sz w:val="24"/>
          <w:highlight w:val="none"/>
        </w:rPr>
      </w:pPr>
    </w:p>
    <w:p w14:paraId="24BAD435">
      <w:pPr>
        <w:rPr>
          <w:rFonts w:ascii="宋体" w:hAnsi="宋体" w:cs="宋体"/>
          <w:bCs/>
          <w:color w:val="000000"/>
          <w:kern w:val="10"/>
          <w:sz w:val="24"/>
          <w:highlight w:val="none"/>
        </w:rPr>
      </w:pPr>
    </w:p>
    <w:p w14:paraId="20E9D5F3">
      <w:pPr>
        <w:rPr>
          <w:rFonts w:ascii="宋体" w:hAnsi="宋体" w:cs="宋体"/>
          <w:bCs/>
          <w:color w:val="000000"/>
          <w:kern w:val="10"/>
          <w:sz w:val="24"/>
          <w:highlight w:val="none"/>
        </w:rPr>
      </w:pPr>
    </w:p>
    <w:p w14:paraId="238059EC">
      <w:pPr>
        <w:rPr>
          <w:rFonts w:ascii="宋体" w:hAnsi="宋体" w:cs="宋体"/>
          <w:bCs/>
          <w:color w:val="000000"/>
          <w:kern w:val="10"/>
          <w:sz w:val="24"/>
          <w:highlight w:val="none"/>
        </w:rPr>
      </w:pPr>
    </w:p>
    <w:p w14:paraId="35872EE3">
      <w:pPr>
        <w:rPr>
          <w:rFonts w:ascii="宋体" w:hAnsi="宋体" w:cs="宋体"/>
          <w:bCs/>
          <w:color w:val="000000"/>
          <w:kern w:val="10"/>
          <w:sz w:val="24"/>
          <w:highlight w:val="none"/>
        </w:rPr>
      </w:pPr>
    </w:p>
    <w:p w14:paraId="0F8E1EB6">
      <w:pPr>
        <w:rPr>
          <w:rFonts w:ascii="宋体" w:hAnsi="宋体" w:cs="宋体"/>
          <w:bCs/>
          <w:color w:val="000000"/>
          <w:kern w:val="10"/>
          <w:sz w:val="24"/>
          <w:highlight w:val="none"/>
        </w:rPr>
      </w:pPr>
    </w:p>
    <w:p w14:paraId="49314127">
      <w:pPr>
        <w:rPr>
          <w:rFonts w:ascii="宋体" w:hAnsi="宋体" w:cs="宋体"/>
          <w:bCs/>
          <w:color w:val="000000"/>
          <w:kern w:val="10"/>
          <w:sz w:val="24"/>
          <w:highlight w:val="none"/>
        </w:rPr>
      </w:pPr>
    </w:p>
    <w:p w14:paraId="63A1E3A8">
      <w:pPr>
        <w:rPr>
          <w:rFonts w:ascii="宋体" w:hAnsi="宋体" w:cs="宋体"/>
          <w:bCs/>
          <w:color w:val="000000"/>
          <w:kern w:val="10"/>
          <w:sz w:val="24"/>
          <w:highlight w:val="none"/>
        </w:rPr>
      </w:pPr>
    </w:p>
    <w:p w14:paraId="778AA595">
      <w:pPr>
        <w:rPr>
          <w:rFonts w:ascii="宋体" w:hAnsi="宋体" w:cs="宋体"/>
          <w:bCs/>
          <w:color w:val="000000"/>
          <w:kern w:val="10"/>
          <w:sz w:val="24"/>
          <w:highlight w:val="none"/>
        </w:rPr>
      </w:pPr>
    </w:p>
    <w:p w14:paraId="4DA61A22">
      <w:pPr>
        <w:rPr>
          <w:rFonts w:ascii="宋体" w:hAnsi="宋体" w:cs="宋体"/>
          <w:bCs/>
          <w:color w:val="000000"/>
          <w:kern w:val="10"/>
          <w:sz w:val="24"/>
          <w:highlight w:val="none"/>
        </w:rPr>
      </w:pPr>
    </w:p>
    <w:p w14:paraId="0A69B3E3">
      <w:pPr>
        <w:rPr>
          <w:rFonts w:ascii="宋体" w:hAnsi="宋体" w:cs="宋体"/>
          <w:bCs/>
          <w:color w:val="000000"/>
          <w:kern w:val="10"/>
          <w:sz w:val="24"/>
          <w:highlight w:val="none"/>
        </w:rPr>
      </w:pPr>
    </w:p>
    <w:p w14:paraId="2DFF9E92">
      <w:pPr>
        <w:rPr>
          <w:rFonts w:ascii="宋体" w:hAnsi="宋体" w:cs="宋体"/>
          <w:bCs/>
          <w:color w:val="000000"/>
          <w:kern w:val="10"/>
          <w:sz w:val="24"/>
          <w:highlight w:val="none"/>
        </w:rPr>
      </w:pPr>
    </w:p>
    <w:p w14:paraId="6050AEAA">
      <w:pPr>
        <w:rPr>
          <w:rFonts w:ascii="宋体" w:hAnsi="宋体" w:cs="宋体"/>
          <w:bCs/>
          <w:color w:val="000000"/>
          <w:kern w:val="10"/>
          <w:sz w:val="24"/>
          <w:highlight w:val="none"/>
        </w:rPr>
      </w:pPr>
    </w:p>
    <w:p w14:paraId="0DB5885E">
      <w:pPr>
        <w:rPr>
          <w:rFonts w:ascii="宋体" w:hAnsi="宋体" w:cs="宋体"/>
          <w:bCs/>
          <w:color w:val="000000"/>
          <w:kern w:val="10"/>
          <w:sz w:val="24"/>
          <w:highlight w:val="none"/>
        </w:rPr>
      </w:pPr>
    </w:p>
    <w:p w14:paraId="01A07173">
      <w:pPr>
        <w:rPr>
          <w:rFonts w:ascii="宋体" w:hAnsi="宋体" w:cs="宋体"/>
          <w:bCs/>
          <w:color w:val="000000"/>
          <w:kern w:val="10"/>
          <w:sz w:val="24"/>
          <w:highlight w:val="none"/>
        </w:rPr>
      </w:pPr>
    </w:p>
    <w:p w14:paraId="7F0C0070">
      <w:pPr>
        <w:rPr>
          <w:rFonts w:ascii="宋体" w:hAnsi="宋体" w:cs="宋体"/>
          <w:bCs/>
          <w:color w:val="000000"/>
          <w:kern w:val="10"/>
          <w:sz w:val="24"/>
          <w:highlight w:val="none"/>
        </w:rPr>
      </w:pPr>
    </w:p>
    <w:p w14:paraId="0E163AE1">
      <w:pPr>
        <w:rPr>
          <w:rFonts w:ascii="宋体" w:hAnsi="宋体" w:cs="宋体"/>
          <w:bCs/>
          <w:color w:val="000000"/>
          <w:kern w:val="10"/>
          <w:sz w:val="24"/>
          <w:highlight w:val="none"/>
        </w:rPr>
      </w:pPr>
    </w:p>
    <w:p w14:paraId="63F9189E">
      <w:pPr>
        <w:rPr>
          <w:rFonts w:ascii="宋体" w:hAnsi="宋体" w:cs="宋体"/>
          <w:bCs/>
          <w:color w:val="000000"/>
          <w:kern w:val="10"/>
          <w:sz w:val="24"/>
          <w:highlight w:val="none"/>
        </w:rPr>
      </w:pPr>
    </w:p>
    <w:p w14:paraId="5FBCFB19">
      <w:pPr>
        <w:rPr>
          <w:rFonts w:ascii="宋体" w:hAnsi="宋体" w:cs="宋体"/>
          <w:bCs/>
          <w:color w:val="000000"/>
          <w:kern w:val="10"/>
          <w:sz w:val="24"/>
          <w:highlight w:val="none"/>
        </w:rPr>
      </w:pPr>
    </w:p>
    <w:p w14:paraId="05830DC9">
      <w:pPr>
        <w:rPr>
          <w:rFonts w:ascii="宋体" w:hAnsi="宋体" w:cs="宋体"/>
          <w:bCs/>
          <w:color w:val="000000"/>
          <w:kern w:val="10"/>
          <w:sz w:val="24"/>
          <w:highlight w:val="none"/>
        </w:rPr>
      </w:pPr>
    </w:p>
    <w:p w14:paraId="7073B8E2">
      <w:pPr>
        <w:rPr>
          <w:rFonts w:ascii="宋体" w:hAnsi="宋体" w:cs="宋体"/>
          <w:bCs/>
          <w:color w:val="000000"/>
          <w:kern w:val="10"/>
          <w:sz w:val="24"/>
          <w:highlight w:val="none"/>
        </w:rPr>
      </w:pPr>
    </w:p>
    <w:p w14:paraId="608E9729">
      <w:pPr>
        <w:rPr>
          <w:rFonts w:ascii="宋体" w:hAnsi="宋体" w:cs="宋体"/>
          <w:bCs/>
          <w:color w:val="000000"/>
          <w:kern w:val="10"/>
          <w:sz w:val="24"/>
          <w:highlight w:val="none"/>
        </w:rPr>
      </w:pPr>
    </w:p>
    <w:p w14:paraId="28E5498F">
      <w:pPr>
        <w:rPr>
          <w:rFonts w:ascii="宋体" w:hAnsi="宋体" w:cs="宋体"/>
          <w:bCs/>
          <w:color w:val="000000"/>
          <w:kern w:val="10"/>
          <w:sz w:val="24"/>
          <w:highlight w:val="none"/>
        </w:rPr>
      </w:pPr>
    </w:p>
    <w:p w14:paraId="16716135">
      <w:pPr>
        <w:rPr>
          <w:rFonts w:ascii="宋体" w:hAnsi="宋体" w:cs="宋体"/>
          <w:bCs/>
          <w:color w:val="000000"/>
          <w:kern w:val="10"/>
          <w:sz w:val="24"/>
          <w:highlight w:val="none"/>
        </w:rPr>
      </w:pPr>
    </w:p>
    <w:p w14:paraId="1A12A985">
      <w:pPr>
        <w:spacing w:line="360" w:lineRule="auto"/>
        <w:outlineLvl w:val="1"/>
        <w:rPr>
          <w:rFonts w:ascii="宋体" w:hAnsi="宋体" w:cs="宋体"/>
          <w:b/>
          <w:bCs/>
          <w:color w:val="000000"/>
          <w:kern w:val="10"/>
          <w:sz w:val="28"/>
          <w:szCs w:val="28"/>
          <w:highlight w:val="none"/>
        </w:rPr>
      </w:pPr>
      <w:bookmarkStart w:id="153" w:name="_Toc516499669"/>
      <w:bookmarkStart w:id="154" w:name="_Toc29859"/>
      <w:bookmarkStart w:id="155" w:name="_Toc20592"/>
      <w:bookmarkStart w:id="156" w:name="_Toc500665790"/>
      <w:bookmarkStart w:id="157" w:name="_Toc57277897"/>
      <w:bookmarkStart w:id="158" w:name="_Toc498866182"/>
      <w:bookmarkStart w:id="159" w:name="_Toc18271"/>
      <w:bookmarkStart w:id="160" w:name="_Toc13600"/>
      <w:bookmarkStart w:id="161" w:name="_Toc99007061"/>
      <w:bookmarkStart w:id="162" w:name="_Toc509306638"/>
    </w:p>
    <w:p w14:paraId="15118F3C">
      <w:pPr>
        <w:spacing w:line="360" w:lineRule="auto"/>
        <w:jc w:val="center"/>
        <w:outlineLvl w:val="1"/>
        <w:rPr>
          <w:rFonts w:ascii="宋体" w:hAnsi="宋体" w:cs="宋体"/>
          <w:b/>
          <w:bCs/>
          <w:color w:val="000000"/>
          <w:kern w:val="10"/>
          <w:sz w:val="28"/>
          <w:szCs w:val="28"/>
          <w:highlight w:val="none"/>
        </w:rPr>
      </w:pPr>
      <w:bookmarkStart w:id="163" w:name="_Toc12847"/>
      <w:r>
        <w:rPr>
          <w:rFonts w:hint="eastAsia" w:ascii="宋体" w:hAnsi="宋体" w:cs="宋体"/>
          <w:b/>
          <w:bCs/>
          <w:color w:val="000000"/>
          <w:kern w:val="10"/>
          <w:sz w:val="28"/>
          <w:szCs w:val="28"/>
          <w:highlight w:val="none"/>
        </w:rPr>
        <w:t>七、中小微企业声明函</w:t>
      </w:r>
      <w:bookmarkEnd w:id="153"/>
      <w:bookmarkEnd w:id="154"/>
      <w:bookmarkEnd w:id="155"/>
      <w:bookmarkEnd w:id="156"/>
      <w:bookmarkEnd w:id="157"/>
      <w:bookmarkEnd w:id="158"/>
      <w:bookmarkEnd w:id="159"/>
      <w:bookmarkEnd w:id="160"/>
      <w:bookmarkEnd w:id="161"/>
      <w:bookmarkEnd w:id="162"/>
      <w:bookmarkEnd w:id="163"/>
    </w:p>
    <w:p w14:paraId="2051777E">
      <w:pPr>
        <w:spacing w:line="400" w:lineRule="exact"/>
        <w:rPr>
          <w:rFonts w:ascii="宋体" w:hAnsi="宋体" w:cs="宋体"/>
          <w:color w:val="000000"/>
          <w:sz w:val="24"/>
          <w:highlight w:val="none"/>
        </w:rPr>
      </w:pPr>
    </w:p>
    <w:p w14:paraId="2DA05B01">
      <w:pPr>
        <w:jc w:val="center"/>
        <w:rPr>
          <w:rFonts w:ascii="宋体" w:hAnsi="宋体" w:cs="宋体"/>
          <w:b/>
          <w:bCs/>
          <w:iCs/>
          <w:color w:val="auto"/>
          <w:sz w:val="24"/>
          <w:szCs w:val="24"/>
          <w:highlight w:val="none"/>
        </w:rPr>
      </w:pPr>
      <w:r>
        <w:rPr>
          <w:rFonts w:hint="eastAsia" w:ascii="宋体" w:hAnsi="宋体" w:cs="宋体"/>
          <w:b/>
          <w:bCs/>
          <w:iCs/>
          <w:color w:val="auto"/>
          <w:sz w:val="24"/>
          <w:szCs w:val="24"/>
          <w:highlight w:val="none"/>
        </w:rPr>
        <w:t>（属于中小微企业的填写，不属于的无需填写此项内容）</w:t>
      </w:r>
    </w:p>
    <w:p w14:paraId="2EB3F004">
      <w:pPr>
        <w:spacing w:line="360" w:lineRule="auto"/>
        <w:ind w:firstLine="480" w:firstLineChars="200"/>
        <w:rPr>
          <w:rFonts w:ascii="宋体" w:hAnsi="宋体"/>
          <w:color w:val="auto"/>
          <w:sz w:val="24"/>
          <w:szCs w:val="24"/>
          <w:highlight w:val="none"/>
        </w:rPr>
      </w:pPr>
    </w:p>
    <w:p w14:paraId="4484BF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本公司（联合体） 郑重声明， 根据《政府采购促进中小企业发展管理办法》（财库﹝ 2020﹞ 46 号） 的规定， 本公司（联合体） 参加</w:t>
      </w:r>
      <w:r>
        <w:rPr>
          <w:rFonts w:ascii="宋体" w:hAnsi="宋体"/>
          <w:color w:val="auto"/>
          <w:sz w:val="24"/>
          <w:szCs w:val="24"/>
          <w:highlight w:val="none"/>
          <w:u w:val="single"/>
        </w:rPr>
        <w:t>（单位名称）</w:t>
      </w:r>
      <w:r>
        <w:rPr>
          <w:rFonts w:ascii="宋体" w:hAnsi="宋体"/>
          <w:color w:val="auto"/>
          <w:sz w:val="24"/>
          <w:szCs w:val="24"/>
          <w:highlight w:val="none"/>
        </w:rPr>
        <w:t xml:space="preserve"> 的</w:t>
      </w:r>
      <w:r>
        <w:rPr>
          <w:rFonts w:ascii="宋体" w:hAnsi="宋体"/>
          <w:color w:val="auto"/>
          <w:sz w:val="24"/>
          <w:szCs w:val="24"/>
          <w:highlight w:val="none"/>
          <w:u w:val="single"/>
        </w:rPr>
        <w:t>（项目名称）</w:t>
      </w:r>
      <w:r>
        <w:rPr>
          <w:rFonts w:ascii="宋体" w:hAnsi="宋体"/>
          <w:color w:val="auto"/>
          <w:sz w:val="24"/>
          <w:szCs w:val="24"/>
          <w:highlight w:val="none"/>
        </w:rPr>
        <w:t xml:space="preserve"> 采购活动，</w:t>
      </w:r>
      <w:r>
        <w:rPr>
          <w:rFonts w:hint="eastAsia" w:ascii="宋体" w:hAnsi="宋体"/>
          <w:color w:val="auto"/>
          <w:sz w:val="24"/>
          <w:szCs w:val="24"/>
          <w:highlight w:val="none"/>
        </w:rPr>
        <w:t>提供的货物全部由符合政策要求的中小企业制造，</w:t>
      </w:r>
      <w:r>
        <w:rPr>
          <w:rFonts w:ascii="宋体" w:hAnsi="宋体"/>
          <w:color w:val="auto"/>
          <w:sz w:val="24"/>
          <w:szCs w:val="24"/>
          <w:highlight w:val="none"/>
        </w:rPr>
        <w:t>具体情况如下：</w:t>
      </w:r>
    </w:p>
    <w:p w14:paraId="0F7C6CC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ascii="宋体" w:hAnsi="宋体"/>
          <w:color w:val="auto"/>
          <w:sz w:val="24"/>
          <w:szCs w:val="24"/>
          <w:highlight w:val="none"/>
          <w:u w:val="single"/>
        </w:rPr>
        <w:t>（标的名称）</w:t>
      </w:r>
      <w:r>
        <w:rPr>
          <w:rFonts w:ascii="宋体" w:hAnsi="宋体"/>
          <w:color w:val="auto"/>
          <w:sz w:val="24"/>
          <w:szCs w:val="24"/>
          <w:highlight w:val="none"/>
        </w:rPr>
        <w:t xml:space="preserve"> ，属于</w:t>
      </w:r>
      <w:bookmarkStart w:id="164" w:name="_Hlk136874922"/>
      <w:r>
        <w:rPr>
          <w:rFonts w:hint="eastAsia" w:ascii="宋体" w:hAnsi="宋体"/>
          <w:color w:val="auto"/>
          <w:sz w:val="24"/>
          <w:szCs w:val="24"/>
          <w:highlight w:val="none"/>
          <w:u w:val="single"/>
        </w:rPr>
        <w:t>工业</w:t>
      </w:r>
      <w:bookmarkEnd w:id="164"/>
      <w:r>
        <w:rPr>
          <w:rFonts w:ascii="宋体" w:hAnsi="宋体"/>
          <w:color w:val="auto"/>
          <w:sz w:val="24"/>
          <w:szCs w:val="24"/>
          <w:highlight w:val="none"/>
        </w:rPr>
        <w:t>；</w:t>
      </w:r>
      <w:r>
        <w:rPr>
          <w:rFonts w:hint="eastAsia" w:ascii="宋体" w:hAnsi="宋体"/>
          <w:color w:val="auto"/>
          <w:sz w:val="24"/>
          <w:szCs w:val="24"/>
          <w:highlight w:val="none"/>
        </w:rPr>
        <w:t>制造商</w:t>
      </w:r>
      <w:r>
        <w:rPr>
          <w:rFonts w:ascii="宋体" w:hAnsi="宋体"/>
          <w:color w:val="auto"/>
          <w:sz w:val="24"/>
          <w:szCs w:val="24"/>
          <w:highlight w:val="none"/>
        </w:rPr>
        <w:t>为</w:t>
      </w:r>
      <w:r>
        <w:rPr>
          <w:rFonts w:ascii="宋体" w:hAnsi="宋体"/>
          <w:color w:val="auto"/>
          <w:sz w:val="24"/>
          <w:szCs w:val="24"/>
          <w:highlight w:val="none"/>
          <w:u w:val="single"/>
        </w:rPr>
        <w:t>（ 企业名称）</w:t>
      </w:r>
      <w:r>
        <w:rPr>
          <w:rFonts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ascii="宋体" w:hAnsi="宋体"/>
          <w:color w:val="auto"/>
          <w:sz w:val="24"/>
          <w:szCs w:val="24"/>
          <w:highlight w:val="none"/>
        </w:rPr>
        <w:t>万元，属于</w:t>
      </w:r>
      <w:r>
        <w:rPr>
          <w:rFonts w:ascii="宋体" w:hAnsi="宋体"/>
          <w:color w:val="auto"/>
          <w:sz w:val="24"/>
          <w:szCs w:val="24"/>
          <w:highlight w:val="none"/>
          <w:u w:val="single"/>
        </w:rPr>
        <w:t>（中型企业、 小型企业、 微型企业）</w:t>
      </w:r>
      <w:r>
        <w:rPr>
          <w:rFonts w:ascii="宋体" w:hAnsi="宋体"/>
          <w:color w:val="auto"/>
          <w:sz w:val="24"/>
          <w:szCs w:val="24"/>
          <w:highlight w:val="none"/>
        </w:rPr>
        <w:t>；</w:t>
      </w:r>
    </w:p>
    <w:p w14:paraId="7439C3F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ascii="宋体" w:hAnsi="宋体"/>
          <w:color w:val="auto"/>
          <w:sz w:val="24"/>
          <w:szCs w:val="24"/>
          <w:highlight w:val="none"/>
          <w:u w:val="single"/>
        </w:rPr>
        <w:t>（标的名称）</w:t>
      </w:r>
      <w:r>
        <w:rPr>
          <w:rFonts w:ascii="宋体" w:hAnsi="宋体"/>
          <w:color w:val="auto"/>
          <w:sz w:val="24"/>
          <w:szCs w:val="24"/>
          <w:highlight w:val="none"/>
        </w:rPr>
        <w:t xml:space="preserve"> ，属于</w:t>
      </w:r>
      <w:r>
        <w:rPr>
          <w:rFonts w:hint="eastAsia" w:ascii="宋体" w:hAnsi="宋体"/>
          <w:color w:val="auto"/>
          <w:sz w:val="24"/>
          <w:szCs w:val="24"/>
          <w:highlight w:val="none"/>
          <w:u w:val="single"/>
        </w:rPr>
        <w:t>工业</w:t>
      </w:r>
      <w:r>
        <w:rPr>
          <w:rFonts w:ascii="宋体" w:hAnsi="宋体"/>
          <w:color w:val="auto"/>
          <w:sz w:val="24"/>
          <w:szCs w:val="24"/>
          <w:highlight w:val="none"/>
        </w:rPr>
        <w:t>；</w:t>
      </w:r>
      <w:r>
        <w:rPr>
          <w:rFonts w:hint="eastAsia" w:ascii="宋体" w:hAnsi="宋体"/>
          <w:color w:val="auto"/>
          <w:sz w:val="24"/>
          <w:szCs w:val="24"/>
          <w:highlight w:val="none"/>
        </w:rPr>
        <w:t>制造商</w:t>
      </w:r>
      <w:r>
        <w:rPr>
          <w:rFonts w:ascii="宋体" w:hAnsi="宋体"/>
          <w:color w:val="auto"/>
          <w:sz w:val="24"/>
          <w:szCs w:val="24"/>
          <w:highlight w:val="none"/>
        </w:rPr>
        <w:t>为</w:t>
      </w:r>
      <w:r>
        <w:rPr>
          <w:rFonts w:ascii="宋体" w:hAnsi="宋体"/>
          <w:color w:val="auto"/>
          <w:sz w:val="24"/>
          <w:szCs w:val="24"/>
          <w:highlight w:val="none"/>
          <w:u w:val="single"/>
        </w:rPr>
        <w:t>（ 企业名称）</w:t>
      </w:r>
      <w:r>
        <w:rPr>
          <w:rFonts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ascii="宋体" w:hAnsi="宋体"/>
          <w:color w:val="auto"/>
          <w:sz w:val="24"/>
          <w:szCs w:val="24"/>
          <w:highlight w:val="none"/>
        </w:rPr>
        <w:t>万元，属于</w:t>
      </w:r>
      <w:r>
        <w:rPr>
          <w:rFonts w:ascii="宋体" w:hAnsi="宋体"/>
          <w:color w:val="auto"/>
          <w:sz w:val="24"/>
          <w:szCs w:val="24"/>
          <w:highlight w:val="none"/>
          <w:u w:val="single"/>
        </w:rPr>
        <w:t>（中型企业、 小型企业、 微型企业）</w:t>
      </w:r>
      <w:r>
        <w:rPr>
          <w:rFonts w:ascii="宋体" w:hAnsi="宋体"/>
          <w:color w:val="auto"/>
          <w:sz w:val="24"/>
          <w:szCs w:val="24"/>
          <w:highlight w:val="none"/>
        </w:rPr>
        <w:t>；</w:t>
      </w:r>
    </w:p>
    <w:p w14:paraId="5EE04425">
      <w:pPr>
        <w:pStyle w:val="2"/>
        <w:ind w:firstLine="200"/>
        <w:rPr>
          <w:rFonts w:hint="eastAsia"/>
          <w:color w:val="auto"/>
          <w:highlight w:val="none"/>
        </w:rPr>
      </w:pPr>
      <w:r>
        <w:rPr>
          <w:rFonts w:hint="eastAsia"/>
          <w:color w:val="auto"/>
          <w:highlight w:val="none"/>
        </w:rPr>
        <w:t>······</w:t>
      </w:r>
    </w:p>
    <w:p w14:paraId="313A00A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以上</w:t>
      </w:r>
      <w:r>
        <w:rPr>
          <w:rFonts w:ascii="宋体" w:hAnsi="宋体"/>
          <w:color w:val="auto"/>
          <w:sz w:val="24"/>
          <w:szCs w:val="24"/>
          <w:highlight w:val="none"/>
        </w:rPr>
        <w:t>企业</w:t>
      </w:r>
      <w:r>
        <w:rPr>
          <w:rFonts w:hint="eastAsia" w:ascii="宋体" w:hAnsi="宋体"/>
          <w:color w:val="auto"/>
          <w:sz w:val="24"/>
          <w:szCs w:val="24"/>
          <w:highlight w:val="none"/>
        </w:rPr>
        <w:t>，</w:t>
      </w:r>
      <w:r>
        <w:rPr>
          <w:rFonts w:ascii="宋体" w:hAnsi="宋体"/>
          <w:color w:val="auto"/>
          <w:sz w:val="24"/>
          <w:szCs w:val="24"/>
          <w:highlight w:val="none"/>
        </w:rPr>
        <w:t>不属于大企业的分支机构，不存在控股股东为大企业的情形，也不存在与大企业的负责人为同一人的情形。</w:t>
      </w:r>
    </w:p>
    <w:p w14:paraId="5E0A9BF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本企业对上述声明内容的真实性负责。 如有虚假，将依法承担相应责任。</w:t>
      </w:r>
    </w:p>
    <w:p w14:paraId="471830CC">
      <w:pPr>
        <w:spacing w:line="480" w:lineRule="exact"/>
        <w:ind w:left="3595" w:leftChars="1712"/>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D152281">
      <w:pPr>
        <w:spacing w:line="480" w:lineRule="exact"/>
        <w:ind w:left="3595" w:leftChars="1712"/>
        <w:rPr>
          <w:rFonts w:ascii="宋体" w:hAnsi="宋体" w:cs="宋体"/>
          <w:color w:val="auto"/>
          <w:sz w:val="24"/>
          <w:szCs w:val="20"/>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0"/>
          <w:highlight w:val="none"/>
          <w:lang w:eastAsia="zh-CN"/>
        </w:rPr>
        <w:t>供应商</w:t>
      </w:r>
      <w:r>
        <w:rPr>
          <w:rFonts w:hint="eastAsia" w:ascii="宋体" w:hAnsi="宋体" w:cs="宋体"/>
          <w:color w:val="auto"/>
          <w:sz w:val="24"/>
          <w:szCs w:val="20"/>
          <w:highlight w:val="none"/>
        </w:rPr>
        <w:t>（电子签章）：</w:t>
      </w:r>
      <w:r>
        <w:rPr>
          <w:rFonts w:hint="eastAsia" w:ascii="宋体" w:hAnsi="宋体" w:cs="宋体"/>
          <w:color w:val="auto"/>
          <w:sz w:val="24"/>
          <w:szCs w:val="20"/>
          <w:highlight w:val="none"/>
          <w:u w:val="single"/>
        </w:rPr>
        <w:t xml:space="preserve">                            </w:t>
      </w:r>
    </w:p>
    <w:p w14:paraId="51F18843">
      <w:pPr>
        <w:spacing w:line="480" w:lineRule="exact"/>
        <w:ind w:left="3360" w:leftChars="160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14:paraId="21BC7CC3">
      <w:pPr>
        <w:spacing w:line="480" w:lineRule="atLeast"/>
        <w:jc w:val="right"/>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14:paraId="47079160">
      <w:pPr>
        <w:spacing w:line="480" w:lineRule="auto"/>
        <w:jc w:val="center"/>
        <w:rPr>
          <w:rFonts w:ascii="宋体" w:hAnsi="宋体" w:cs="宋体"/>
          <w:color w:val="auto"/>
          <w:sz w:val="24"/>
          <w:szCs w:val="24"/>
          <w:highlight w:val="none"/>
        </w:rPr>
      </w:pPr>
    </w:p>
    <w:p w14:paraId="3BB9FBEE">
      <w:pPr>
        <w:spacing w:line="400" w:lineRule="exact"/>
        <w:ind w:firstLine="480" w:firstLineChars="200"/>
        <w:rPr>
          <w:rFonts w:ascii="宋体" w:hAnsi="宋体" w:cs="宋体"/>
          <w:color w:val="000000"/>
          <w:sz w:val="24"/>
          <w:highlight w:val="none"/>
        </w:rPr>
      </w:pPr>
      <w:r>
        <w:rPr>
          <w:rFonts w:hint="eastAsia" w:ascii="宋体" w:hAnsi="宋体"/>
          <w:color w:val="auto"/>
          <w:sz w:val="24"/>
          <w:szCs w:val="24"/>
          <w:highlight w:val="none"/>
        </w:rPr>
        <w:t>注：1.</w:t>
      </w:r>
      <w:r>
        <w:rPr>
          <w:rFonts w:ascii="宋体" w:hAnsi="宋体"/>
          <w:color w:val="auto"/>
          <w:sz w:val="24"/>
          <w:szCs w:val="24"/>
          <w:highlight w:val="none"/>
        </w:rPr>
        <w:t>从业人员、 营业收入、 资产总额填报上一年度数据， 无上一年度数据的新成立企业可不填报。</w:t>
      </w:r>
    </w:p>
    <w:p w14:paraId="7B30BEC8">
      <w:pPr>
        <w:spacing w:line="400" w:lineRule="exact"/>
        <w:ind w:firstLine="480" w:firstLineChars="200"/>
        <w:rPr>
          <w:rFonts w:ascii="宋体" w:hAnsi="宋体" w:cs="宋体"/>
          <w:color w:val="000000"/>
          <w:sz w:val="24"/>
          <w:highlight w:val="none"/>
        </w:rPr>
      </w:pPr>
    </w:p>
    <w:p w14:paraId="08A4BEFB">
      <w:pPr>
        <w:spacing w:line="400" w:lineRule="exact"/>
        <w:ind w:firstLine="480" w:firstLineChars="200"/>
        <w:rPr>
          <w:rFonts w:ascii="宋体" w:hAnsi="宋体" w:cs="宋体"/>
          <w:color w:val="000000"/>
          <w:sz w:val="24"/>
          <w:highlight w:val="none"/>
        </w:rPr>
      </w:pPr>
      <w:r>
        <w:rPr>
          <w:rFonts w:hint="eastAsia" w:ascii="宋体" w:hAnsi="宋体" w:cs="宋体"/>
          <w:bCs/>
          <w:color w:val="000000"/>
          <w:sz w:val="24"/>
          <w:highlight w:val="none"/>
        </w:rPr>
        <w:t>注：如果投标人不满足中小微企业的认定标准，或所投产品的制造商不符合小型微型企业认定标准的，需在横线部分填写“/”。</w:t>
      </w:r>
    </w:p>
    <w:p w14:paraId="41F973AD">
      <w:pPr>
        <w:spacing w:line="400" w:lineRule="exact"/>
        <w:ind w:firstLine="480" w:firstLineChars="200"/>
        <w:rPr>
          <w:rFonts w:ascii="宋体" w:hAnsi="宋体" w:cs="宋体"/>
          <w:color w:val="000000"/>
          <w:sz w:val="24"/>
          <w:highlight w:val="none"/>
        </w:rPr>
      </w:pPr>
    </w:p>
    <w:p w14:paraId="481F9763">
      <w:pPr>
        <w:spacing w:line="400" w:lineRule="exact"/>
        <w:ind w:firstLine="480" w:firstLineChars="200"/>
        <w:rPr>
          <w:rFonts w:ascii="宋体" w:hAnsi="宋体" w:cs="宋体"/>
          <w:color w:val="000000"/>
          <w:sz w:val="24"/>
          <w:highlight w:val="none"/>
        </w:rPr>
      </w:pPr>
    </w:p>
    <w:p w14:paraId="47D9D87C">
      <w:pPr>
        <w:spacing w:line="360" w:lineRule="auto"/>
        <w:rPr>
          <w:rFonts w:ascii="宋体" w:hAnsi="宋体" w:cs="宋体"/>
          <w:color w:val="000000"/>
          <w:kern w:val="10"/>
          <w:sz w:val="24"/>
          <w:highlight w:val="none"/>
        </w:rPr>
      </w:pPr>
    </w:p>
    <w:p w14:paraId="23F1C44D">
      <w:pPr>
        <w:spacing w:line="360" w:lineRule="auto"/>
        <w:rPr>
          <w:rFonts w:ascii="宋体" w:hAnsi="宋体" w:cs="宋体"/>
          <w:color w:val="000000"/>
          <w:kern w:val="10"/>
          <w:sz w:val="24"/>
          <w:highlight w:val="none"/>
        </w:rPr>
      </w:pPr>
    </w:p>
    <w:p w14:paraId="2BF19A11">
      <w:pPr>
        <w:spacing w:line="360" w:lineRule="auto"/>
        <w:rPr>
          <w:rFonts w:ascii="宋体" w:hAnsi="宋体" w:cs="宋体"/>
          <w:color w:val="000000"/>
          <w:kern w:val="10"/>
          <w:sz w:val="24"/>
          <w:highlight w:val="none"/>
        </w:rPr>
      </w:pPr>
    </w:p>
    <w:p w14:paraId="6C8D5F43">
      <w:pPr>
        <w:spacing w:line="360" w:lineRule="auto"/>
        <w:jc w:val="center"/>
        <w:outlineLvl w:val="1"/>
        <w:rPr>
          <w:rFonts w:ascii="宋体" w:hAnsi="宋体" w:cs="宋体"/>
          <w:b/>
          <w:bCs/>
          <w:color w:val="000000"/>
          <w:kern w:val="10"/>
          <w:sz w:val="28"/>
          <w:szCs w:val="28"/>
          <w:highlight w:val="none"/>
        </w:rPr>
      </w:pPr>
      <w:bookmarkStart w:id="165" w:name="_Toc99007062"/>
      <w:bookmarkStart w:id="166" w:name="_Toc1813"/>
      <w:bookmarkStart w:id="167" w:name="_Toc57277898"/>
      <w:bookmarkStart w:id="168" w:name="_Toc29267"/>
      <w:bookmarkStart w:id="169" w:name="_Toc10871"/>
      <w:bookmarkStart w:id="170" w:name="_Toc516499670"/>
      <w:bookmarkStart w:id="171" w:name="_Toc6605"/>
      <w:r>
        <w:rPr>
          <w:rFonts w:hint="eastAsia" w:ascii="宋体" w:hAnsi="宋体" w:cs="宋体"/>
          <w:b/>
          <w:bCs/>
          <w:color w:val="000000"/>
          <w:kern w:val="10"/>
          <w:sz w:val="28"/>
          <w:szCs w:val="28"/>
          <w:highlight w:val="none"/>
        </w:rPr>
        <w:t>八、监狱企业证明材料</w:t>
      </w:r>
      <w:bookmarkEnd w:id="165"/>
      <w:bookmarkEnd w:id="166"/>
      <w:bookmarkEnd w:id="167"/>
      <w:bookmarkEnd w:id="168"/>
      <w:bookmarkEnd w:id="169"/>
      <w:bookmarkEnd w:id="170"/>
      <w:bookmarkEnd w:id="171"/>
    </w:p>
    <w:p w14:paraId="3B36958D">
      <w:pPr>
        <w:spacing w:line="360" w:lineRule="auto"/>
        <w:ind w:firstLine="504" w:firstLineChars="200"/>
        <w:rPr>
          <w:rFonts w:ascii="宋体" w:hAnsi="宋体" w:cs="宋体"/>
          <w:color w:val="000000"/>
          <w:spacing w:val="6"/>
          <w:sz w:val="24"/>
          <w:highlight w:val="none"/>
        </w:rPr>
      </w:pPr>
    </w:p>
    <w:p w14:paraId="17B62B8C">
      <w:pPr>
        <w:spacing w:line="360" w:lineRule="auto"/>
        <w:ind w:firstLine="504" w:firstLineChars="200"/>
        <w:rPr>
          <w:rFonts w:ascii="宋体" w:hAnsi="宋体" w:cs="宋体"/>
          <w:color w:val="000000"/>
          <w:spacing w:val="6"/>
          <w:sz w:val="24"/>
          <w:highlight w:val="none"/>
        </w:rPr>
      </w:pPr>
      <w:r>
        <w:rPr>
          <w:rFonts w:ascii="宋体" w:hAnsi="宋体" w:cs="宋体"/>
          <w:color w:val="000000"/>
          <w:spacing w:val="6"/>
          <w:sz w:val="24"/>
          <w:highlight w:val="none"/>
        </w:rPr>
        <w:t>提供由省级以上监狱管理局、戒毒管理局(含新疆生产建设兵团)出具的属于监狱企业的证明文件</w:t>
      </w:r>
      <w:r>
        <w:rPr>
          <w:rFonts w:hint="eastAsia" w:ascii="宋体" w:hAnsi="宋体" w:cs="宋体"/>
          <w:color w:val="000000"/>
          <w:spacing w:val="6"/>
          <w:sz w:val="24"/>
          <w:highlight w:val="none"/>
        </w:rPr>
        <w:t>。</w:t>
      </w:r>
    </w:p>
    <w:p w14:paraId="5BDE46AD">
      <w:pPr>
        <w:spacing w:line="360" w:lineRule="auto"/>
        <w:ind w:firstLine="504"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若非监狱企业，本页写无</w:t>
      </w:r>
    </w:p>
    <w:p w14:paraId="3D8B523C">
      <w:pPr>
        <w:spacing w:line="360" w:lineRule="auto"/>
        <w:jc w:val="center"/>
        <w:rPr>
          <w:rFonts w:ascii="宋体" w:hAnsi="宋体" w:cs="宋体"/>
          <w:b/>
          <w:bCs/>
          <w:color w:val="000000"/>
          <w:kern w:val="10"/>
          <w:sz w:val="28"/>
          <w:szCs w:val="28"/>
          <w:highlight w:val="none"/>
        </w:rPr>
      </w:pPr>
    </w:p>
    <w:p w14:paraId="0710FE76">
      <w:pPr>
        <w:spacing w:line="360" w:lineRule="auto"/>
        <w:jc w:val="center"/>
        <w:rPr>
          <w:rFonts w:ascii="宋体" w:hAnsi="宋体" w:cs="宋体"/>
          <w:b/>
          <w:bCs/>
          <w:color w:val="000000"/>
          <w:kern w:val="10"/>
          <w:sz w:val="28"/>
          <w:szCs w:val="28"/>
          <w:highlight w:val="none"/>
        </w:rPr>
      </w:pPr>
    </w:p>
    <w:p w14:paraId="7EEFB828">
      <w:pPr>
        <w:spacing w:line="360" w:lineRule="auto"/>
        <w:jc w:val="center"/>
        <w:rPr>
          <w:rFonts w:ascii="宋体" w:hAnsi="宋体" w:cs="宋体"/>
          <w:b/>
          <w:bCs/>
          <w:color w:val="000000"/>
          <w:kern w:val="10"/>
          <w:sz w:val="28"/>
          <w:szCs w:val="28"/>
          <w:highlight w:val="none"/>
        </w:rPr>
      </w:pPr>
    </w:p>
    <w:p w14:paraId="6F4EA60D">
      <w:pPr>
        <w:spacing w:line="360" w:lineRule="auto"/>
        <w:jc w:val="center"/>
        <w:rPr>
          <w:rFonts w:ascii="宋体" w:hAnsi="宋体" w:cs="宋体"/>
          <w:b/>
          <w:bCs/>
          <w:color w:val="000000"/>
          <w:kern w:val="10"/>
          <w:sz w:val="28"/>
          <w:szCs w:val="28"/>
          <w:highlight w:val="none"/>
        </w:rPr>
      </w:pPr>
    </w:p>
    <w:p w14:paraId="70527C85">
      <w:pPr>
        <w:spacing w:line="360" w:lineRule="auto"/>
        <w:jc w:val="center"/>
        <w:rPr>
          <w:rFonts w:ascii="宋体" w:hAnsi="宋体" w:cs="宋体"/>
          <w:b/>
          <w:bCs/>
          <w:color w:val="000000"/>
          <w:kern w:val="10"/>
          <w:sz w:val="28"/>
          <w:szCs w:val="28"/>
          <w:highlight w:val="none"/>
        </w:rPr>
      </w:pPr>
    </w:p>
    <w:p w14:paraId="7CED1810">
      <w:pPr>
        <w:spacing w:line="360" w:lineRule="auto"/>
        <w:jc w:val="center"/>
        <w:rPr>
          <w:rFonts w:ascii="宋体" w:hAnsi="宋体" w:cs="宋体"/>
          <w:b/>
          <w:bCs/>
          <w:color w:val="000000"/>
          <w:kern w:val="10"/>
          <w:sz w:val="28"/>
          <w:szCs w:val="28"/>
          <w:highlight w:val="none"/>
        </w:rPr>
      </w:pPr>
    </w:p>
    <w:p w14:paraId="73453502">
      <w:pPr>
        <w:spacing w:line="360" w:lineRule="auto"/>
        <w:jc w:val="center"/>
        <w:rPr>
          <w:rFonts w:ascii="宋体" w:hAnsi="宋体" w:cs="宋体"/>
          <w:b/>
          <w:bCs/>
          <w:color w:val="000000"/>
          <w:kern w:val="10"/>
          <w:sz w:val="28"/>
          <w:szCs w:val="28"/>
          <w:highlight w:val="none"/>
        </w:rPr>
      </w:pPr>
    </w:p>
    <w:p w14:paraId="039176BF">
      <w:pPr>
        <w:spacing w:line="360" w:lineRule="auto"/>
        <w:rPr>
          <w:rFonts w:ascii="宋体" w:hAnsi="宋体" w:cs="宋体"/>
          <w:b/>
          <w:bCs/>
          <w:color w:val="000000"/>
          <w:kern w:val="10"/>
          <w:sz w:val="28"/>
          <w:szCs w:val="28"/>
          <w:highlight w:val="none"/>
        </w:rPr>
      </w:pPr>
    </w:p>
    <w:p w14:paraId="032DF905">
      <w:pPr>
        <w:spacing w:line="360" w:lineRule="auto"/>
        <w:jc w:val="center"/>
        <w:rPr>
          <w:rFonts w:ascii="宋体" w:hAnsi="宋体" w:cs="宋体"/>
          <w:b/>
          <w:bCs/>
          <w:color w:val="000000"/>
          <w:kern w:val="10"/>
          <w:sz w:val="28"/>
          <w:szCs w:val="28"/>
          <w:highlight w:val="none"/>
        </w:rPr>
      </w:pPr>
    </w:p>
    <w:p w14:paraId="610337AC">
      <w:pPr>
        <w:spacing w:line="360" w:lineRule="auto"/>
        <w:jc w:val="center"/>
        <w:rPr>
          <w:rFonts w:ascii="宋体" w:hAnsi="宋体" w:cs="宋体"/>
          <w:b/>
          <w:bCs/>
          <w:color w:val="000000"/>
          <w:kern w:val="10"/>
          <w:sz w:val="28"/>
          <w:szCs w:val="28"/>
          <w:highlight w:val="none"/>
        </w:rPr>
      </w:pPr>
    </w:p>
    <w:p w14:paraId="0C5F4297">
      <w:pPr>
        <w:spacing w:line="360" w:lineRule="auto"/>
        <w:jc w:val="center"/>
        <w:rPr>
          <w:rFonts w:ascii="宋体" w:hAnsi="宋体" w:cs="宋体"/>
          <w:b/>
          <w:bCs/>
          <w:color w:val="000000"/>
          <w:kern w:val="10"/>
          <w:sz w:val="28"/>
          <w:szCs w:val="28"/>
          <w:highlight w:val="none"/>
        </w:rPr>
      </w:pPr>
    </w:p>
    <w:p w14:paraId="07C324A5">
      <w:pPr>
        <w:spacing w:line="360" w:lineRule="auto"/>
        <w:jc w:val="center"/>
        <w:rPr>
          <w:rFonts w:ascii="宋体" w:hAnsi="宋体" w:cs="宋体"/>
          <w:b/>
          <w:bCs/>
          <w:color w:val="000000"/>
          <w:kern w:val="10"/>
          <w:sz w:val="28"/>
          <w:szCs w:val="28"/>
          <w:highlight w:val="none"/>
        </w:rPr>
      </w:pPr>
    </w:p>
    <w:p w14:paraId="79429740">
      <w:pPr>
        <w:spacing w:line="360" w:lineRule="auto"/>
        <w:jc w:val="center"/>
        <w:rPr>
          <w:rFonts w:ascii="宋体" w:hAnsi="宋体" w:cs="宋体"/>
          <w:b/>
          <w:bCs/>
          <w:color w:val="000000"/>
          <w:kern w:val="10"/>
          <w:sz w:val="28"/>
          <w:szCs w:val="28"/>
          <w:highlight w:val="none"/>
        </w:rPr>
      </w:pPr>
    </w:p>
    <w:p w14:paraId="31FD4825">
      <w:pPr>
        <w:spacing w:line="360" w:lineRule="auto"/>
        <w:jc w:val="center"/>
        <w:rPr>
          <w:rFonts w:ascii="宋体" w:hAnsi="宋体" w:cs="宋体"/>
          <w:b/>
          <w:bCs/>
          <w:color w:val="000000"/>
          <w:kern w:val="10"/>
          <w:sz w:val="28"/>
          <w:szCs w:val="28"/>
          <w:highlight w:val="none"/>
        </w:rPr>
      </w:pPr>
    </w:p>
    <w:p w14:paraId="3771F82A">
      <w:pPr>
        <w:spacing w:line="360" w:lineRule="auto"/>
        <w:jc w:val="center"/>
        <w:rPr>
          <w:rFonts w:ascii="宋体" w:hAnsi="宋体" w:cs="宋体"/>
          <w:b/>
          <w:bCs/>
          <w:color w:val="000000"/>
          <w:kern w:val="10"/>
          <w:sz w:val="28"/>
          <w:szCs w:val="28"/>
          <w:highlight w:val="none"/>
        </w:rPr>
      </w:pPr>
    </w:p>
    <w:p w14:paraId="400A78CD">
      <w:pPr>
        <w:spacing w:line="360" w:lineRule="auto"/>
        <w:jc w:val="center"/>
        <w:rPr>
          <w:rFonts w:ascii="宋体" w:hAnsi="宋体" w:cs="宋体"/>
          <w:b/>
          <w:bCs/>
          <w:color w:val="000000"/>
          <w:kern w:val="10"/>
          <w:sz w:val="28"/>
          <w:szCs w:val="28"/>
          <w:highlight w:val="none"/>
        </w:rPr>
      </w:pPr>
    </w:p>
    <w:p w14:paraId="25BDA430">
      <w:pPr>
        <w:spacing w:line="360" w:lineRule="auto"/>
        <w:jc w:val="center"/>
        <w:rPr>
          <w:rFonts w:ascii="宋体" w:hAnsi="宋体" w:cs="宋体"/>
          <w:b/>
          <w:bCs/>
          <w:color w:val="000000"/>
          <w:kern w:val="10"/>
          <w:sz w:val="28"/>
          <w:szCs w:val="28"/>
          <w:highlight w:val="none"/>
        </w:rPr>
      </w:pPr>
    </w:p>
    <w:p w14:paraId="7F2FE0C8">
      <w:pPr>
        <w:spacing w:line="360" w:lineRule="auto"/>
        <w:jc w:val="center"/>
        <w:rPr>
          <w:rFonts w:ascii="宋体" w:hAnsi="宋体" w:cs="宋体"/>
          <w:b/>
          <w:bCs/>
          <w:color w:val="000000"/>
          <w:kern w:val="10"/>
          <w:sz w:val="28"/>
          <w:szCs w:val="28"/>
          <w:highlight w:val="none"/>
        </w:rPr>
      </w:pPr>
    </w:p>
    <w:bookmarkEnd w:id="143"/>
    <w:bookmarkEnd w:id="144"/>
    <w:bookmarkEnd w:id="145"/>
    <w:bookmarkEnd w:id="146"/>
    <w:bookmarkEnd w:id="147"/>
    <w:p w14:paraId="3E6D9894">
      <w:pPr>
        <w:spacing w:line="360" w:lineRule="auto"/>
        <w:jc w:val="center"/>
        <w:outlineLvl w:val="1"/>
        <w:rPr>
          <w:rFonts w:ascii="宋体" w:hAnsi="宋体" w:cs="宋体"/>
          <w:b/>
          <w:bCs/>
          <w:color w:val="000000"/>
          <w:kern w:val="10"/>
          <w:sz w:val="28"/>
          <w:szCs w:val="28"/>
          <w:highlight w:val="none"/>
        </w:rPr>
      </w:pPr>
      <w:bookmarkStart w:id="172" w:name="_Toc99007063"/>
      <w:bookmarkStart w:id="173" w:name="_Toc15835"/>
      <w:bookmarkStart w:id="174" w:name="_Toc17613"/>
      <w:bookmarkStart w:id="175" w:name="_Toc6101"/>
      <w:bookmarkStart w:id="176" w:name="_Toc25199"/>
      <w:bookmarkStart w:id="177" w:name="_Toc6832"/>
      <w:bookmarkStart w:id="178" w:name="_Toc57277901"/>
      <w:bookmarkStart w:id="179" w:name="_Toc516499676"/>
      <w:bookmarkStart w:id="180" w:name="_Toc9253"/>
      <w:bookmarkStart w:id="181" w:name="_Toc14999"/>
      <w:bookmarkStart w:id="182" w:name="_Toc16559"/>
      <w:bookmarkStart w:id="183" w:name="_Toc31398"/>
      <w:bookmarkStart w:id="184" w:name="_Toc27997"/>
      <w:r>
        <w:rPr>
          <w:rFonts w:hint="eastAsia" w:ascii="宋体" w:hAnsi="宋体" w:cs="宋体"/>
          <w:b/>
          <w:bCs/>
          <w:color w:val="000000"/>
          <w:kern w:val="10"/>
          <w:sz w:val="28"/>
          <w:szCs w:val="28"/>
          <w:highlight w:val="none"/>
        </w:rPr>
        <w:t>九、资格审查资料</w:t>
      </w:r>
      <w:bookmarkEnd w:id="172"/>
      <w:bookmarkEnd w:id="173"/>
      <w:bookmarkEnd w:id="174"/>
      <w:bookmarkEnd w:id="175"/>
      <w:bookmarkEnd w:id="176"/>
      <w:bookmarkEnd w:id="177"/>
      <w:bookmarkEnd w:id="178"/>
      <w:bookmarkEnd w:id="179"/>
      <w:bookmarkEnd w:id="180"/>
      <w:bookmarkEnd w:id="181"/>
      <w:bookmarkEnd w:id="182"/>
    </w:p>
    <w:p w14:paraId="75AF7E01">
      <w:pPr>
        <w:spacing w:line="440" w:lineRule="exact"/>
        <w:jc w:val="left"/>
        <w:rPr>
          <w:rFonts w:ascii="宋体" w:hAnsi="宋体" w:cs="宋体"/>
          <w:color w:val="000000"/>
          <w:kern w:val="10"/>
          <w:sz w:val="24"/>
          <w:highlight w:val="none"/>
        </w:rPr>
      </w:pPr>
      <w:r>
        <w:rPr>
          <w:rFonts w:hint="eastAsia" w:ascii="宋体" w:hAnsi="宋体" w:cs="宋体"/>
          <w:b/>
          <w:color w:val="000000"/>
          <w:kern w:val="10"/>
          <w:sz w:val="24"/>
          <w:highlight w:val="none"/>
        </w:rPr>
        <w:t>资格审查资料</w:t>
      </w:r>
      <w:r>
        <w:rPr>
          <w:rFonts w:hint="eastAsia" w:ascii="宋体" w:hAnsi="宋体" w:cs="宋体"/>
          <w:color w:val="000000"/>
          <w:kern w:val="10"/>
          <w:sz w:val="24"/>
          <w:highlight w:val="none"/>
        </w:rPr>
        <w:t>：</w:t>
      </w:r>
    </w:p>
    <w:p w14:paraId="30FA39B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6E7B088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2、落实政府采购政策满足的资格要求：</w:t>
      </w:r>
      <w:r>
        <w:rPr>
          <w:rFonts w:hint="eastAsia" w:ascii="宋体" w:hAnsi="宋体" w:cs="宋体"/>
          <w:sz w:val="24"/>
          <w:highlight w:val="none"/>
          <w:lang w:val="en-US" w:eastAsia="zh-CN"/>
        </w:rPr>
        <w:t>本项目支持中小型企业发展政策（残疾人福利性企业、监狱企业视同小微企业）、优先采购节能环保产品等政府采购政策。</w:t>
      </w:r>
    </w:p>
    <w:p w14:paraId="6A82117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282C2AA2">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供应商须具有有效的营业执照；</w:t>
      </w:r>
    </w:p>
    <w:p w14:paraId="79CC8FCE">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3.2具有良好的商业信誉和健全的财务会计制度，供应商须提供</w:t>
      </w:r>
      <w:r>
        <w:rPr>
          <w:rFonts w:hint="eastAsia" w:ascii="宋体" w:hAnsi="宋体" w:cs="宋体"/>
          <w:sz w:val="24"/>
          <w:highlight w:val="none"/>
        </w:rPr>
        <w:t>近三年财务审计报告</w:t>
      </w:r>
      <w:r>
        <w:rPr>
          <w:rFonts w:hint="eastAsia" w:ascii="宋体" w:hAnsi="宋体" w:cs="宋体"/>
          <w:sz w:val="24"/>
          <w:highlight w:val="none"/>
          <w:lang w:eastAsia="zh-CN"/>
        </w:rPr>
        <w:t>（</w:t>
      </w:r>
      <w:r>
        <w:rPr>
          <w:rFonts w:hint="eastAsia" w:ascii="宋体" w:hAnsi="宋体" w:cs="宋体"/>
          <w:sz w:val="24"/>
          <w:highlight w:val="none"/>
        </w:rPr>
        <w:t>新成立公司不足一年的以公司成立时间为准</w:t>
      </w:r>
      <w:r>
        <w:rPr>
          <w:rFonts w:hint="eastAsia" w:ascii="宋体" w:hAnsi="宋体" w:cs="宋体"/>
          <w:sz w:val="24"/>
          <w:highlight w:val="none"/>
          <w:lang w:eastAsia="zh-CN"/>
        </w:rPr>
        <w:t>）</w:t>
      </w:r>
      <w:r>
        <w:rPr>
          <w:rFonts w:hint="eastAsia" w:ascii="宋体" w:hAnsi="宋体" w:cs="宋体"/>
          <w:sz w:val="24"/>
          <w:highlight w:val="none"/>
          <w:lang w:val="en-US" w:eastAsia="zh-CN"/>
        </w:rPr>
        <w:t>或基本户银行出具的资信证明等证明文件；</w:t>
      </w:r>
    </w:p>
    <w:p w14:paraId="12DE4679">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3.3具有履行合同所必需的设备和专业技术能力（自行作出承诺，格式自拟）； </w:t>
      </w:r>
    </w:p>
    <w:p w14:paraId="24D9AFE2">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3.4具有依法缴纳税收和社会保障资金的良好记录（提供2024年01月01日以来任意三个月依法缴纳税收和社会保障金的证明材料；</w:t>
      </w:r>
    </w:p>
    <w:p w14:paraId="2226E7E5">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3.5出具本单位无商业贿赂及无不正当竞争行为的承诺书（自行作出承诺，格式自拟）</w:t>
      </w:r>
    </w:p>
    <w:p w14:paraId="1171F5D1">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3.6</w:t>
      </w:r>
      <w:r>
        <w:rPr>
          <w:rFonts w:hint="eastAsia" w:ascii="宋体" w:hAnsi="宋体" w:cs="宋体"/>
          <w:sz w:val="24"/>
          <w:highlight w:val="none"/>
        </w:rPr>
        <w:t>参加政府采购活动前3年内在经营活动中没有重大违法记录的书面声明；</w:t>
      </w:r>
    </w:p>
    <w:p w14:paraId="29C4E302">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3.7</w:t>
      </w:r>
      <w:r>
        <w:rPr>
          <w:rFonts w:hint="eastAsia" w:ascii="宋体" w:hAnsi="宋体" w:cs="宋体"/>
          <w:sz w:val="24"/>
          <w:highlight w:val="none"/>
        </w:rPr>
        <w:t>根据《关于在政府采购活动中查询及使用信用记录有关问题的通知》 (财库[2016]125 号)和豫财购【2016】15 号的规定，企业没有被列入“ 中国执行信息公开网 ”网站的“失信被执行人 ”、“信用中国 ”网站的“重大税收违法失信主体 ”“失信被执行人 ”及“ 中国政府采购网 ”网站的“政府采购严重违法失信行为记录名单 ”（查询渠道：“ 中国执行信息公开网 ” 网 站 （http://zxgk.court.gov.cn/shixin ） “ 信 用 中 国 ” 网 站（www.creditchina.gov.cn）、中国政府采购网（www.ccgp.gov.cn）；提供网站的查询信息截图（查询时间自公告发布之日起）。</w:t>
      </w:r>
    </w:p>
    <w:p w14:paraId="19A72154">
      <w:pPr>
        <w:spacing w:line="360" w:lineRule="auto"/>
        <w:ind w:firstLine="480" w:firstLineChars="200"/>
        <w:jc w:val="left"/>
        <w:rPr>
          <w:rFonts w:ascii="宋体" w:hAnsi="宋体" w:cs="宋体"/>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w:t>
      </w:r>
      <w:r>
        <w:rPr>
          <w:rFonts w:hint="eastAsia" w:ascii="宋体" w:hAnsi="宋体" w:cs="宋体"/>
          <w:sz w:val="24"/>
          <w:highlight w:val="none"/>
        </w:rPr>
        <w:t>其他资格要求文件；</w:t>
      </w:r>
    </w:p>
    <w:p w14:paraId="4CDBD902">
      <w:pPr>
        <w:spacing w:line="360" w:lineRule="auto"/>
        <w:ind w:firstLine="480" w:firstLineChars="200"/>
        <w:rPr>
          <w:rFonts w:ascii="宋体" w:hAnsi="宋体"/>
          <w:color w:val="000000"/>
          <w:sz w:val="24"/>
          <w:szCs w:val="20"/>
          <w:highlight w:val="none"/>
        </w:rPr>
      </w:pPr>
    </w:p>
    <w:p w14:paraId="71AE5675">
      <w:pPr>
        <w:spacing w:line="360" w:lineRule="auto"/>
        <w:ind w:firstLine="480" w:firstLineChars="200"/>
        <w:rPr>
          <w:rFonts w:ascii="宋体" w:hAnsi="宋体" w:cs="宋体"/>
          <w:b/>
          <w:bCs/>
          <w:color w:val="000000"/>
          <w:kern w:val="10"/>
          <w:sz w:val="24"/>
          <w:highlight w:val="none"/>
        </w:rPr>
      </w:pPr>
    </w:p>
    <w:p w14:paraId="75E390E0">
      <w:pPr>
        <w:spacing w:line="360" w:lineRule="auto"/>
        <w:jc w:val="center"/>
        <w:rPr>
          <w:rFonts w:ascii="宋体" w:hAnsi="宋体" w:cs="宋体"/>
          <w:b/>
          <w:bCs/>
          <w:color w:val="000000"/>
          <w:kern w:val="10"/>
          <w:sz w:val="28"/>
          <w:szCs w:val="28"/>
          <w:highlight w:val="none"/>
        </w:rPr>
      </w:pPr>
      <w:bookmarkStart w:id="185" w:name="_Toc57277902"/>
      <w:bookmarkStart w:id="186" w:name="_Toc516499677"/>
      <w:bookmarkStart w:id="187" w:name="_Toc6065"/>
      <w:bookmarkStart w:id="188" w:name="_Toc21410"/>
    </w:p>
    <w:p w14:paraId="2037E915">
      <w:pPr>
        <w:rPr>
          <w:highlight w:val="none"/>
        </w:rPr>
      </w:pPr>
    </w:p>
    <w:p w14:paraId="05666255">
      <w:pPr>
        <w:rPr>
          <w:highlight w:val="none"/>
        </w:rPr>
      </w:pPr>
    </w:p>
    <w:p w14:paraId="16E8002F">
      <w:pPr>
        <w:pStyle w:val="7"/>
        <w:ind w:firstLine="562"/>
        <w:rPr>
          <w:rFonts w:ascii="宋体" w:hAnsi="宋体" w:cs="宋体"/>
          <w:b/>
          <w:bCs/>
          <w:color w:val="000000"/>
          <w:kern w:val="10"/>
          <w:sz w:val="28"/>
          <w:szCs w:val="28"/>
          <w:highlight w:val="none"/>
        </w:rPr>
      </w:pPr>
    </w:p>
    <w:p w14:paraId="1FA35EB3">
      <w:pPr>
        <w:spacing w:line="360" w:lineRule="auto"/>
        <w:jc w:val="center"/>
        <w:outlineLvl w:val="1"/>
        <w:rPr>
          <w:rFonts w:ascii="宋体" w:hAnsi="宋体" w:cs="宋体"/>
          <w:b/>
          <w:bCs/>
          <w:color w:val="000000"/>
          <w:kern w:val="10"/>
          <w:sz w:val="28"/>
          <w:szCs w:val="28"/>
          <w:highlight w:val="none"/>
        </w:rPr>
      </w:pPr>
      <w:bookmarkStart w:id="189" w:name="_Toc19049"/>
      <w:bookmarkStart w:id="190" w:name="_Toc30251"/>
      <w:bookmarkStart w:id="191" w:name="_Toc99007064"/>
      <w:bookmarkStart w:id="192" w:name="_Toc13642"/>
      <w:bookmarkStart w:id="193" w:name="_Toc4481"/>
      <w:r>
        <w:rPr>
          <w:rFonts w:hint="eastAsia" w:ascii="宋体" w:hAnsi="宋体" w:cs="宋体"/>
          <w:b/>
          <w:bCs/>
          <w:color w:val="000000"/>
          <w:kern w:val="10"/>
          <w:sz w:val="28"/>
          <w:szCs w:val="28"/>
          <w:highlight w:val="none"/>
        </w:rPr>
        <w:t>十、其他材料</w:t>
      </w:r>
      <w:bookmarkEnd w:id="183"/>
      <w:bookmarkEnd w:id="184"/>
      <w:bookmarkEnd w:id="185"/>
      <w:bookmarkEnd w:id="186"/>
      <w:bookmarkEnd w:id="187"/>
      <w:bookmarkEnd w:id="188"/>
      <w:bookmarkEnd w:id="189"/>
      <w:bookmarkEnd w:id="190"/>
      <w:bookmarkEnd w:id="191"/>
      <w:bookmarkEnd w:id="192"/>
      <w:bookmarkEnd w:id="193"/>
    </w:p>
    <w:p w14:paraId="1EBC69E1">
      <w:pPr>
        <w:spacing w:line="360" w:lineRule="auto"/>
        <w:jc w:val="center"/>
        <w:rPr>
          <w:rFonts w:ascii="宋体" w:hAnsi="宋体" w:cs="Arial"/>
          <w:b/>
          <w:bCs/>
          <w:sz w:val="24"/>
          <w:highlight w:val="none"/>
        </w:rPr>
      </w:pPr>
      <w:r>
        <w:rPr>
          <w:rFonts w:hint="eastAsia" w:ascii="宋体" w:hAnsi="宋体" w:cs="Arial"/>
          <w:b/>
          <w:bCs/>
          <w:sz w:val="24"/>
          <w:highlight w:val="none"/>
        </w:rPr>
        <w:t>（一）技术偏离表</w:t>
      </w:r>
    </w:p>
    <w:p w14:paraId="38CC4D29">
      <w:pPr>
        <w:spacing w:line="360" w:lineRule="auto"/>
        <w:jc w:val="center"/>
        <w:rPr>
          <w:rFonts w:ascii="宋体" w:hAnsi="宋体" w:cs="宋体"/>
          <w:b/>
          <w:bCs/>
          <w:color w:val="000000"/>
          <w:kern w:val="10"/>
          <w:sz w:val="28"/>
          <w:szCs w:val="28"/>
          <w:highlight w:val="none"/>
        </w:rPr>
      </w:pP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0"/>
        <w:gridCol w:w="1976"/>
        <w:gridCol w:w="2880"/>
        <w:gridCol w:w="2160"/>
        <w:gridCol w:w="2160"/>
      </w:tblGrid>
      <w:tr w14:paraId="169A8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390" w:type="dxa"/>
            <w:noWrap w:val="0"/>
            <w:vAlign w:val="top"/>
          </w:tcPr>
          <w:p w14:paraId="1C6B267F">
            <w:pPr>
              <w:spacing w:line="340" w:lineRule="exact"/>
              <w:jc w:val="center"/>
              <w:rPr>
                <w:rFonts w:ascii="宋体" w:hAnsi="宋体"/>
                <w:color w:val="000000"/>
                <w:sz w:val="24"/>
                <w:highlight w:val="none"/>
              </w:rPr>
            </w:pPr>
            <w:r>
              <w:rPr>
                <w:rFonts w:hint="eastAsia" w:ascii="宋体" w:hAnsi="宋体"/>
                <w:color w:val="000000"/>
                <w:sz w:val="24"/>
                <w:highlight w:val="none"/>
              </w:rPr>
              <w:t>序</w:t>
            </w:r>
          </w:p>
          <w:p w14:paraId="1D54194D">
            <w:pPr>
              <w:spacing w:line="340" w:lineRule="exact"/>
              <w:jc w:val="center"/>
              <w:rPr>
                <w:rFonts w:ascii="宋体" w:hAnsi="宋体"/>
                <w:color w:val="000000"/>
                <w:sz w:val="24"/>
                <w:highlight w:val="none"/>
              </w:rPr>
            </w:pPr>
            <w:r>
              <w:rPr>
                <w:rFonts w:hint="eastAsia" w:ascii="宋体" w:hAnsi="宋体"/>
                <w:color w:val="000000"/>
                <w:sz w:val="24"/>
                <w:highlight w:val="none"/>
              </w:rPr>
              <w:t>号</w:t>
            </w:r>
          </w:p>
        </w:tc>
        <w:tc>
          <w:tcPr>
            <w:tcW w:w="1976" w:type="dxa"/>
            <w:noWrap w:val="0"/>
            <w:vAlign w:val="center"/>
          </w:tcPr>
          <w:p w14:paraId="5E7A70A6">
            <w:pPr>
              <w:spacing w:line="340" w:lineRule="exact"/>
              <w:jc w:val="center"/>
              <w:rPr>
                <w:rFonts w:ascii="宋体" w:hAnsi="宋体"/>
                <w:color w:val="000000"/>
                <w:sz w:val="24"/>
                <w:highlight w:val="none"/>
              </w:rPr>
            </w:pPr>
            <w:r>
              <w:rPr>
                <w:rFonts w:hint="eastAsia" w:ascii="宋体" w:hAnsi="宋体"/>
                <w:color w:val="000000"/>
                <w:sz w:val="24"/>
                <w:highlight w:val="none"/>
              </w:rPr>
              <w:t>产品名称</w:t>
            </w:r>
          </w:p>
        </w:tc>
        <w:tc>
          <w:tcPr>
            <w:tcW w:w="2880" w:type="dxa"/>
            <w:noWrap w:val="0"/>
            <w:vAlign w:val="center"/>
          </w:tcPr>
          <w:p w14:paraId="455AA4F1">
            <w:pPr>
              <w:spacing w:line="340" w:lineRule="exact"/>
              <w:jc w:val="center"/>
              <w:rPr>
                <w:rFonts w:ascii="宋体" w:hAnsi="宋体"/>
                <w:color w:val="000000"/>
                <w:sz w:val="24"/>
                <w:highlight w:val="none"/>
              </w:rPr>
            </w:pPr>
            <w:r>
              <w:rPr>
                <w:rFonts w:hint="eastAsia" w:ascii="宋体" w:hAnsi="宋体"/>
                <w:color w:val="000000"/>
                <w:sz w:val="24"/>
                <w:highlight w:val="none"/>
              </w:rPr>
              <w:t>磋商文件技术</w:t>
            </w:r>
          </w:p>
          <w:p w14:paraId="79FC7F03">
            <w:pPr>
              <w:spacing w:line="340" w:lineRule="exact"/>
              <w:jc w:val="center"/>
              <w:rPr>
                <w:rFonts w:ascii="宋体" w:hAnsi="宋体"/>
                <w:color w:val="000000"/>
                <w:sz w:val="24"/>
                <w:highlight w:val="none"/>
              </w:rPr>
            </w:pPr>
            <w:r>
              <w:rPr>
                <w:rFonts w:hint="eastAsia" w:ascii="宋体" w:hAnsi="宋体"/>
                <w:color w:val="000000"/>
                <w:sz w:val="24"/>
                <w:highlight w:val="none"/>
              </w:rPr>
              <w:t>要求（</w:t>
            </w:r>
            <w:r>
              <w:rPr>
                <w:rFonts w:hint="eastAsia" w:ascii="宋体" w:hAnsi="宋体"/>
                <w:color w:val="000000"/>
                <w:sz w:val="24"/>
                <w:highlight w:val="none"/>
                <w:lang w:eastAsia="zh-CN"/>
              </w:rPr>
              <w:t>设备参数</w:t>
            </w:r>
            <w:r>
              <w:rPr>
                <w:rFonts w:hint="eastAsia" w:ascii="宋体" w:hAnsi="宋体"/>
                <w:color w:val="000000"/>
                <w:sz w:val="24"/>
                <w:highlight w:val="none"/>
              </w:rPr>
              <w:t>）</w:t>
            </w:r>
          </w:p>
        </w:tc>
        <w:tc>
          <w:tcPr>
            <w:tcW w:w="2160" w:type="dxa"/>
            <w:noWrap w:val="0"/>
            <w:vAlign w:val="center"/>
          </w:tcPr>
          <w:p w14:paraId="636272D2">
            <w:pPr>
              <w:spacing w:before="120" w:line="340" w:lineRule="exact"/>
              <w:jc w:val="center"/>
              <w:rPr>
                <w:rFonts w:ascii="宋体" w:hAnsi="宋体"/>
                <w:color w:val="000000"/>
                <w:sz w:val="24"/>
                <w:highlight w:val="none"/>
              </w:rPr>
            </w:pPr>
            <w:r>
              <w:rPr>
                <w:rFonts w:hint="eastAsia" w:ascii="宋体" w:hAnsi="宋体"/>
                <w:color w:val="000000"/>
                <w:sz w:val="24"/>
                <w:highlight w:val="none"/>
              </w:rPr>
              <w:t>投标文件技术响应情况（列明所投产品的</w:t>
            </w:r>
            <w:r>
              <w:rPr>
                <w:rFonts w:hint="eastAsia" w:ascii="宋体" w:hAnsi="宋体"/>
                <w:color w:val="000000"/>
                <w:sz w:val="24"/>
                <w:highlight w:val="none"/>
                <w:lang w:eastAsia="zh-CN"/>
              </w:rPr>
              <w:t>设备参数</w:t>
            </w:r>
            <w:r>
              <w:rPr>
                <w:rFonts w:hint="eastAsia" w:ascii="宋体" w:hAnsi="宋体"/>
                <w:color w:val="000000"/>
                <w:sz w:val="24"/>
                <w:highlight w:val="none"/>
              </w:rPr>
              <w:t>）</w:t>
            </w:r>
          </w:p>
        </w:tc>
        <w:tc>
          <w:tcPr>
            <w:tcW w:w="2160" w:type="dxa"/>
            <w:tcBorders>
              <w:right w:val="single" w:color="auto" w:sz="4" w:space="0"/>
            </w:tcBorders>
            <w:noWrap w:val="0"/>
            <w:vAlign w:val="center"/>
          </w:tcPr>
          <w:p w14:paraId="11BFCA3C">
            <w:pPr>
              <w:spacing w:before="120" w:line="240" w:lineRule="exact"/>
              <w:jc w:val="center"/>
              <w:rPr>
                <w:rFonts w:ascii="宋体" w:hAnsi="宋体"/>
                <w:color w:val="000000"/>
                <w:sz w:val="24"/>
                <w:highlight w:val="none"/>
              </w:rPr>
            </w:pPr>
            <w:r>
              <w:rPr>
                <w:rFonts w:hint="eastAsia" w:ascii="宋体" w:hAnsi="宋体"/>
                <w:color w:val="000000"/>
                <w:sz w:val="24"/>
                <w:highlight w:val="none"/>
                <w:lang w:eastAsia="zh-CN"/>
              </w:rPr>
              <w:t>偏离</w:t>
            </w:r>
            <w:r>
              <w:rPr>
                <w:rFonts w:hint="eastAsia" w:ascii="宋体" w:hAnsi="宋体"/>
                <w:color w:val="000000"/>
                <w:sz w:val="24"/>
                <w:highlight w:val="none"/>
              </w:rPr>
              <w:t>描述（描述技术是否具有正、负偏差）</w:t>
            </w:r>
          </w:p>
        </w:tc>
      </w:tr>
      <w:tr w14:paraId="47EA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390" w:type="dxa"/>
            <w:tcBorders>
              <w:bottom w:val="single" w:color="auto" w:sz="4" w:space="0"/>
            </w:tcBorders>
            <w:noWrap w:val="0"/>
            <w:vAlign w:val="top"/>
          </w:tcPr>
          <w:p w14:paraId="35111044">
            <w:pPr>
              <w:rPr>
                <w:rFonts w:ascii="宋体" w:hAnsi="宋体"/>
                <w:color w:val="000000"/>
                <w:sz w:val="24"/>
                <w:highlight w:val="none"/>
              </w:rPr>
            </w:pPr>
          </w:p>
        </w:tc>
        <w:tc>
          <w:tcPr>
            <w:tcW w:w="1976" w:type="dxa"/>
            <w:tcBorders>
              <w:bottom w:val="single" w:color="auto" w:sz="4" w:space="0"/>
            </w:tcBorders>
            <w:noWrap w:val="0"/>
            <w:vAlign w:val="top"/>
          </w:tcPr>
          <w:p w14:paraId="1F21B3DB">
            <w:pPr>
              <w:rPr>
                <w:rFonts w:ascii="宋体" w:hAnsi="宋体"/>
                <w:color w:val="000000"/>
                <w:sz w:val="24"/>
                <w:highlight w:val="none"/>
              </w:rPr>
            </w:pPr>
          </w:p>
        </w:tc>
        <w:tc>
          <w:tcPr>
            <w:tcW w:w="2880" w:type="dxa"/>
            <w:tcBorders>
              <w:bottom w:val="single" w:color="auto" w:sz="4" w:space="0"/>
            </w:tcBorders>
            <w:noWrap w:val="0"/>
            <w:vAlign w:val="top"/>
          </w:tcPr>
          <w:p w14:paraId="19D87756">
            <w:pPr>
              <w:rPr>
                <w:rFonts w:ascii="宋体" w:hAnsi="宋体"/>
                <w:color w:val="000000"/>
                <w:sz w:val="24"/>
                <w:highlight w:val="none"/>
              </w:rPr>
            </w:pPr>
          </w:p>
        </w:tc>
        <w:tc>
          <w:tcPr>
            <w:tcW w:w="2160" w:type="dxa"/>
            <w:tcBorders>
              <w:bottom w:val="single" w:color="auto" w:sz="4" w:space="0"/>
            </w:tcBorders>
            <w:noWrap w:val="0"/>
            <w:vAlign w:val="top"/>
          </w:tcPr>
          <w:p w14:paraId="6A32D5D7">
            <w:pPr>
              <w:rPr>
                <w:rFonts w:ascii="宋体" w:hAnsi="宋体"/>
                <w:color w:val="000000"/>
                <w:sz w:val="24"/>
                <w:highlight w:val="none"/>
              </w:rPr>
            </w:pPr>
          </w:p>
        </w:tc>
        <w:tc>
          <w:tcPr>
            <w:tcW w:w="2160" w:type="dxa"/>
            <w:tcBorders>
              <w:bottom w:val="single" w:color="auto" w:sz="4" w:space="0"/>
              <w:right w:val="single" w:color="auto" w:sz="4" w:space="0"/>
            </w:tcBorders>
            <w:noWrap w:val="0"/>
            <w:vAlign w:val="top"/>
          </w:tcPr>
          <w:p w14:paraId="56CC835D">
            <w:pPr>
              <w:rPr>
                <w:rFonts w:ascii="宋体" w:hAnsi="宋体"/>
                <w:color w:val="000000"/>
                <w:sz w:val="24"/>
                <w:highlight w:val="none"/>
              </w:rPr>
            </w:pPr>
          </w:p>
        </w:tc>
      </w:tr>
      <w:tr w14:paraId="62B8B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390" w:type="dxa"/>
            <w:tcBorders>
              <w:top w:val="single" w:color="auto" w:sz="4" w:space="0"/>
              <w:bottom w:val="single" w:color="auto" w:sz="4" w:space="0"/>
            </w:tcBorders>
            <w:noWrap w:val="0"/>
            <w:vAlign w:val="top"/>
          </w:tcPr>
          <w:p w14:paraId="075FF894">
            <w:pPr>
              <w:rPr>
                <w:rFonts w:ascii="宋体" w:hAnsi="宋体"/>
                <w:color w:val="000000"/>
                <w:sz w:val="24"/>
                <w:highlight w:val="none"/>
              </w:rPr>
            </w:pPr>
          </w:p>
        </w:tc>
        <w:tc>
          <w:tcPr>
            <w:tcW w:w="1976" w:type="dxa"/>
            <w:tcBorders>
              <w:top w:val="single" w:color="auto" w:sz="4" w:space="0"/>
              <w:bottom w:val="single" w:color="auto" w:sz="4" w:space="0"/>
            </w:tcBorders>
            <w:noWrap w:val="0"/>
            <w:vAlign w:val="top"/>
          </w:tcPr>
          <w:p w14:paraId="473C48BD">
            <w:pPr>
              <w:rPr>
                <w:rFonts w:ascii="宋体" w:hAnsi="宋体"/>
                <w:color w:val="000000"/>
                <w:sz w:val="24"/>
                <w:highlight w:val="none"/>
              </w:rPr>
            </w:pPr>
          </w:p>
        </w:tc>
        <w:tc>
          <w:tcPr>
            <w:tcW w:w="2880" w:type="dxa"/>
            <w:tcBorders>
              <w:top w:val="single" w:color="auto" w:sz="4" w:space="0"/>
              <w:bottom w:val="single" w:color="auto" w:sz="4" w:space="0"/>
            </w:tcBorders>
            <w:noWrap w:val="0"/>
            <w:vAlign w:val="top"/>
          </w:tcPr>
          <w:p w14:paraId="6E4BAA0E">
            <w:pPr>
              <w:rPr>
                <w:rFonts w:ascii="宋体" w:hAnsi="宋体"/>
                <w:color w:val="000000"/>
                <w:sz w:val="24"/>
                <w:highlight w:val="none"/>
              </w:rPr>
            </w:pPr>
          </w:p>
        </w:tc>
        <w:tc>
          <w:tcPr>
            <w:tcW w:w="2160" w:type="dxa"/>
            <w:tcBorders>
              <w:top w:val="single" w:color="auto" w:sz="4" w:space="0"/>
              <w:bottom w:val="single" w:color="auto" w:sz="4" w:space="0"/>
            </w:tcBorders>
            <w:noWrap w:val="0"/>
            <w:vAlign w:val="top"/>
          </w:tcPr>
          <w:p w14:paraId="5717C02F">
            <w:pPr>
              <w:rPr>
                <w:rFonts w:ascii="宋体" w:hAnsi="宋体"/>
                <w:color w:val="000000"/>
                <w:sz w:val="24"/>
                <w:highlight w:val="none"/>
              </w:rPr>
            </w:pPr>
          </w:p>
        </w:tc>
        <w:tc>
          <w:tcPr>
            <w:tcW w:w="2160" w:type="dxa"/>
            <w:tcBorders>
              <w:top w:val="single" w:color="auto" w:sz="4" w:space="0"/>
              <w:bottom w:val="single" w:color="auto" w:sz="4" w:space="0"/>
              <w:right w:val="single" w:color="auto" w:sz="4" w:space="0"/>
            </w:tcBorders>
            <w:noWrap w:val="0"/>
            <w:vAlign w:val="top"/>
          </w:tcPr>
          <w:p w14:paraId="3540D8A5">
            <w:pPr>
              <w:rPr>
                <w:rFonts w:ascii="宋体" w:hAnsi="宋体"/>
                <w:color w:val="000000"/>
                <w:sz w:val="24"/>
                <w:highlight w:val="none"/>
              </w:rPr>
            </w:pPr>
          </w:p>
        </w:tc>
      </w:tr>
      <w:tr w14:paraId="547DC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390" w:type="dxa"/>
            <w:tcBorders>
              <w:top w:val="single" w:color="auto" w:sz="4" w:space="0"/>
              <w:bottom w:val="single" w:color="auto" w:sz="4" w:space="0"/>
            </w:tcBorders>
            <w:noWrap w:val="0"/>
            <w:vAlign w:val="top"/>
          </w:tcPr>
          <w:p w14:paraId="3503A853">
            <w:pPr>
              <w:rPr>
                <w:rFonts w:ascii="宋体" w:hAnsi="宋体"/>
                <w:color w:val="000000"/>
                <w:sz w:val="24"/>
                <w:highlight w:val="none"/>
              </w:rPr>
            </w:pPr>
          </w:p>
        </w:tc>
        <w:tc>
          <w:tcPr>
            <w:tcW w:w="1976" w:type="dxa"/>
            <w:tcBorders>
              <w:top w:val="single" w:color="auto" w:sz="4" w:space="0"/>
              <w:bottom w:val="single" w:color="auto" w:sz="4" w:space="0"/>
            </w:tcBorders>
            <w:noWrap w:val="0"/>
            <w:vAlign w:val="top"/>
          </w:tcPr>
          <w:p w14:paraId="6BB326F1">
            <w:pPr>
              <w:rPr>
                <w:rFonts w:ascii="宋体" w:hAnsi="宋体"/>
                <w:color w:val="000000"/>
                <w:sz w:val="24"/>
                <w:highlight w:val="none"/>
              </w:rPr>
            </w:pPr>
          </w:p>
        </w:tc>
        <w:tc>
          <w:tcPr>
            <w:tcW w:w="2880" w:type="dxa"/>
            <w:tcBorders>
              <w:top w:val="single" w:color="auto" w:sz="4" w:space="0"/>
              <w:bottom w:val="single" w:color="auto" w:sz="4" w:space="0"/>
            </w:tcBorders>
            <w:noWrap w:val="0"/>
            <w:vAlign w:val="top"/>
          </w:tcPr>
          <w:p w14:paraId="38E33005">
            <w:pPr>
              <w:rPr>
                <w:rFonts w:ascii="宋体" w:hAnsi="宋体"/>
                <w:color w:val="000000"/>
                <w:sz w:val="24"/>
                <w:highlight w:val="none"/>
              </w:rPr>
            </w:pPr>
          </w:p>
        </w:tc>
        <w:tc>
          <w:tcPr>
            <w:tcW w:w="2160" w:type="dxa"/>
            <w:tcBorders>
              <w:top w:val="single" w:color="auto" w:sz="4" w:space="0"/>
              <w:bottom w:val="single" w:color="auto" w:sz="4" w:space="0"/>
            </w:tcBorders>
            <w:noWrap w:val="0"/>
            <w:vAlign w:val="top"/>
          </w:tcPr>
          <w:p w14:paraId="36EE91F1">
            <w:pPr>
              <w:rPr>
                <w:rFonts w:ascii="宋体" w:hAnsi="宋体"/>
                <w:color w:val="000000"/>
                <w:sz w:val="24"/>
                <w:highlight w:val="none"/>
              </w:rPr>
            </w:pPr>
          </w:p>
        </w:tc>
        <w:tc>
          <w:tcPr>
            <w:tcW w:w="2160" w:type="dxa"/>
            <w:tcBorders>
              <w:top w:val="single" w:color="auto" w:sz="4" w:space="0"/>
              <w:bottom w:val="single" w:color="auto" w:sz="4" w:space="0"/>
              <w:right w:val="single" w:color="auto" w:sz="4" w:space="0"/>
            </w:tcBorders>
            <w:noWrap w:val="0"/>
            <w:vAlign w:val="top"/>
          </w:tcPr>
          <w:p w14:paraId="2875A153">
            <w:pPr>
              <w:rPr>
                <w:rFonts w:ascii="宋体" w:hAnsi="宋体"/>
                <w:color w:val="000000"/>
                <w:sz w:val="24"/>
                <w:highlight w:val="none"/>
              </w:rPr>
            </w:pPr>
          </w:p>
        </w:tc>
      </w:tr>
      <w:tr w14:paraId="0E2D7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390" w:type="dxa"/>
            <w:tcBorders>
              <w:top w:val="single" w:color="auto" w:sz="4" w:space="0"/>
              <w:bottom w:val="single" w:color="auto" w:sz="4" w:space="0"/>
            </w:tcBorders>
            <w:noWrap w:val="0"/>
            <w:vAlign w:val="top"/>
          </w:tcPr>
          <w:p w14:paraId="6C6F3FC4">
            <w:pPr>
              <w:rPr>
                <w:rFonts w:ascii="宋体" w:hAnsi="宋体"/>
                <w:color w:val="000000"/>
                <w:sz w:val="24"/>
                <w:highlight w:val="none"/>
              </w:rPr>
            </w:pPr>
          </w:p>
        </w:tc>
        <w:tc>
          <w:tcPr>
            <w:tcW w:w="1976" w:type="dxa"/>
            <w:tcBorders>
              <w:top w:val="single" w:color="auto" w:sz="4" w:space="0"/>
              <w:bottom w:val="single" w:color="auto" w:sz="4" w:space="0"/>
            </w:tcBorders>
            <w:noWrap w:val="0"/>
            <w:vAlign w:val="top"/>
          </w:tcPr>
          <w:p w14:paraId="5FA85CF3">
            <w:pPr>
              <w:rPr>
                <w:rFonts w:ascii="宋体" w:hAnsi="宋体"/>
                <w:color w:val="000000"/>
                <w:sz w:val="24"/>
                <w:highlight w:val="none"/>
              </w:rPr>
            </w:pPr>
          </w:p>
        </w:tc>
        <w:tc>
          <w:tcPr>
            <w:tcW w:w="2880" w:type="dxa"/>
            <w:tcBorders>
              <w:top w:val="single" w:color="auto" w:sz="4" w:space="0"/>
              <w:bottom w:val="single" w:color="auto" w:sz="4" w:space="0"/>
            </w:tcBorders>
            <w:noWrap w:val="0"/>
            <w:vAlign w:val="top"/>
          </w:tcPr>
          <w:p w14:paraId="2916CAE2">
            <w:pPr>
              <w:rPr>
                <w:rFonts w:ascii="宋体" w:hAnsi="宋体"/>
                <w:color w:val="000000"/>
                <w:sz w:val="24"/>
                <w:highlight w:val="none"/>
              </w:rPr>
            </w:pPr>
          </w:p>
        </w:tc>
        <w:tc>
          <w:tcPr>
            <w:tcW w:w="2160" w:type="dxa"/>
            <w:tcBorders>
              <w:top w:val="single" w:color="auto" w:sz="4" w:space="0"/>
              <w:bottom w:val="single" w:color="auto" w:sz="4" w:space="0"/>
            </w:tcBorders>
            <w:noWrap w:val="0"/>
            <w:vAlign w:val="top"/>
          </w:tcPr>
          <w:p w14:paraId="7143AC71">
            <w:pPr>
              <w:rPr>
                <w:rFonts w:ascii="宋体" w:hAnsi="宋体"/>
                <w:color w:val="000000"/>
                <w:sz w:val="24"/>
                <w:highlight w:val="none"/>
              </w:rPr>
            </w:pPr>
          </w:p>
        </w:tc>
        <w:tc>
          <w:tcPr>
            <w:tcW w:w="2160" w:type="dxa"/>
            <w:tcBorders>
              <w:top w:val="single" w:color="auto" w:sz="4" w:space="0"/>
              <w:bottom w:val="single" w:color="auto" w:sz="4" w:space="0"/>
              <w:right w:val="single" w:color="auto" w:sz="4" w:space="0"/>
            </w:tcBorders>
            <w:noWrap w:val="0"/>
            <w:vAlign w:val="top"/>
          </w:tcPr>
          <w:p w14:paraId="43A7AA0B">
            <w:pPr>
              <w:rPr>
                <w:rFonts w:ascii="宋体" w:hAnsi="宋体"/>
                <w:color w:val="000000"/>
                <w:sz w:val="24"/>
                <w:highlight w:val="none"/>
              </w:rPr>
            </w:pPr>
          </w:p>
        </w:tc>
      </w:tr>
    </w:tbl>
    <w:p w14:paraId="2D605A2F">
      <w:pPr>
        <w:autoSpaceDE w:val="0"/>
        <w:autoSpaceDN w:val="0"/>
        <w:spacing w:line="360" w:lineRule="exact"/>
        <w:ind w:right="26"/>
        <w:rPr>
          <w:rFonts w:ascii="宋体" w:hAnsi="宋体"/>
          <w:color w:val="000000"/>
          <w:szCs w:val="21"/>
          <w:highlight w:val="none"/>
        </w:rPr>
      </w:pPr>
    </w:p>
    <w:p w14:paraId="0EC9DBC1">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注：1、</w:t>
      </w: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必须按要求规范填写所有投报产品的技术</w:t>
      </w:r>
      <w:r>
        <w:rPr>
          <w:rFonts w:hint="eastAsia" w:ascii="宋体" w:hAnsi="宋体" w:cs="宋体"/>
          <w:color w:val="000000"/>
          <w:kern w:val="10"/>
          <w:sz w:val="24"/>
          <w:highlight w:val="none"/>
          <w:lang w:eastAsia="zh-CN"/>
        </w:rPr>
        <w:t>偏离</w:t>
      </w:r>
      <w:r>
        <w:rPr>
          <w:rFonts w:hint="eastAsia" w:ascii="宋体" w:hAnsi="宋体" w:cs="宋体"/>
          <w:color w:val="000000"/>
          <w:kern w:val="10"/>
          <w:sz w:val="24"/>
          <w:highlight w:val="none"/>
        </w:rPr>
        <w:t>；</w:t>
      </w:r>
    </w:p>
    <w:p w14:paraId="0E67E1D7">
      <w:pPr>
        <w:spacing w:line="360" w:lineRule="auto"/>
        <w:ind w:firstLine="480" w:firstLineChars="200"/>
        <w:rPr>
          <w:rFonts w:ascii="宋体" w:hAnsi="宋体" w:cs="宋体"/>
          <w:b/>
          <w:color w:val="000000"/>
          <w:kern w:val="10"/>
          <w:sz w:val="24"/>
          <w:highlight w:val="none"/>
        </w:rPr>
      </w:pPr>
      <w:r>
        <w:rPr>
          <w:rFonts w:hint="eastAsia" w:ascii="宋体" w:hAnsi="宋体" w:cs="宋体"/>
          <w:color w:val="000000"/>
          <w:kern w:val="10"/>
          <w:sz w:val="24"/>
          <w:highlight w:val="none"/>
        </w:rPr>
        <w:t>2、</w:t>
      </w:r>
      <w:r>
        <w:rPr>
          <w:rFonts w:hint="eastAsia" w:ascii="宋体" w:hAnsi="宋体" w:cs="宋体"/>
          <w:b/>
          <w:bCs/>
          <w:color w:val="000000"/>
          <w:kern w:val="10"/>
          <w:sz w:val="24"/>
          <w:highlight w:val="none"/>
          <w:lang w:val="en-US" w:eastAsia="zh-CN"/>
        </w:rPr>
        <w:t>供应商</w:t>
      </w:r>
      <w:r>
        <w:rPr>
          <w:rFonts w:hint="eastAsia" w:ascii="宋体" w:hAnsi="宋体" w:cs="宋体"/>
          <w:b/>
          <w:color w:val="000000"/>
          <w:kern w:val="10"/>
          <w:sz w:val="24"/>
          <w:highlight w:val="none"/>
        </w:rPr>
        <w:t>必须根据所投产品的实际情况如实填写，不得复制粘贴采购技术参数一览表中技术参数描述，评委会如发现有虚假描述的，技术标部分将视为0分。</w:t>
      </w:r>
    </w:p>
    <w:p w14:paraId="4CB3A1A9">
      <w:pPr>
        <w:spacing w:line="360" w:lineRule="auto"/>
        <w:ind w:firstLine="480" w:firstLineChars="200"/>
        <w:rPr>
          <w:rFonts w:ascii="宋体" w:hAnsi="宋体" w:cs="宋体"/>
          <w:color w:val="000000"/>
          <w:kern w:val="10"/>
          <w:sz w:val="24"/>
          <w:highlight w:val="none"/>
        </w:rPr>
      </w:pPr>
      <w:r>
        <w:rPr>
          <w:rFonts w:hint="eastAsia" w:ascii="宋体" w:hAnsi="宋体" w:cs="宋体"/>
          <w:b/>
          <w:color w:val="000000"/>
          <w:kern w:val="10"/>
          <w:sz w:val="24"/>
          <w:highlight w:val="none"/>
        </w:rPr>
        <w:t>3、</w:t>
      </w:r>
      <w:r>
        <w:rPr>
          <w:rFonts w:hint="eastAsia" w:ascii="宋体" w:hAnsi="宋体" w:cs="宋体"/>
          <w:b/>
          <w:color w:val="000000"/>
          <w:kern w:val="10"/>
          <w:sz w:val="24"/>
          <w:highlight w:val="none"/>
          <w:lang w:val="en-US" w:eastAsia="zh-CN"/>
        </w:rPr>
        <w:t>供应商</w:t>
      </w:r>
      <w:r>
        <w:rPr>
          <w:rFonts w:hint="eastAsia" w:ascii="宋体" w:hAnsi="宋体" w:cs="宋体"/>
          <w:b/>
          <w:color w:val="000000"/>
          <w:kern w:val="10"/>
          <w:sz w:val="24"/>
          <w:highlight w:val="none"/>
        </w:rPr>
        <w:t>应根据采购货物技术参数一览表在本表后附相关</w:t>
      </w:r>
      <w:r>
        <w:rPr>
          <w:rFonts w:hint="eastAsia" w:ascii="宋体" w:hAnsi="宋体" w:cs="宋体"/>
          <w:b/>
          <w:color w:val="000000"/>
          <w:sz w:val="24"/>
          <w:highlight w:val="none"/>
        </w:rPr>
        <w:t>检测报告、生产厂家提供的技术证明文件、彩页等文件，并完善主体信息库。</w:t>
      </w:r>
    </w:p>
    <w:p w14:paraId="0C4F997E">
      <w:pPr>
        <w:spacing w:line="360" w:lineRule="auto"/>
        <w:rPr>
          <w:rFonts w:ascii="宋体" w:hAnsi="宋体" w:cs="宋体"/>
          <w:color w:val="000000"/>
          <w:kern w:val="10"/>
          <w:sz w:val="24"/>
          <w:highlight w:val="none"/>
        </w:rPr>
      </w:pPr>
    </w:p>
    <w:p w14:paraId="15E1CDBD">
      <w:pPr>
        <w:spacing w:line="360" w:lineRule="auto"/>
        <w:rPr>
          <w:rFonts w:ascii="宋体" w:hAnsi="宋体" w:cs="宋体"/>
          <w:color w:val="000000"/>
          <w:kern w:val="10"/>
          <w:sz w:val="24"/>
          <w:highlight w:val="none"/>
        </w:rPr>
      </w:pPr>
    </w:p>
    <w:p w14:paraId="3B1256F5">
      <w:pPr>
        <w:spacing w:line="360" w:lineRule="auto"/>
        <w:rPr>
          <w:rFonts w:ascii="宋体" w:hAnsi="宋体" w:cs="宋体"/>
          <w:color w:val="000000"/>
          <w:kern w:val="10"/>
          <w:sz w:val="24"/>
          <w:highlight w:val="none"/>
        </w:rPr>
      </w:pPr>
    </w:p>
    <w:p w14:paraId="090DBC99">
      <w:pPr>
        <w:spacing w:line="360" w:lineRule="auto"/>
        <w:rPr>
          <w:rFonts w:ascii="宋体" w:hAnsi="宋体" w:cs="宋体"/>
          <w:color w:val="000000"/>
          <w:kern w:val="10"/>
          <w:sz w:val="24"/>
          <w:highlight w:val="none"/>
        </w:rPr>
      </w:pPr>
    </w:p>
    <w:p w14:paraId="0F73B362">
      <w:pPr>
        <w:spacing w:line="360" w:lineRule="auto"/>
        <w:rPr>
          <w:rFonts w:ascii="宋体" w:hAnsi="宋体" w:cs="宋体"/>
          <w:color w:val="000000"/>
          <w:kern w:val="10"/>
          <w:sz w:val="24"/>
          <w:highlight w:val="none"/>
        </w:rPr>
      </w:pPr>
    </w:p>
    <w:p w14:paraId="574E6E0B">
      <w:pPr>
        <w:spacing w:line="360" w:lineRule="auto"/>
        <w:jc w:val="center"/>
        <w:rPr>
          <w:rFonts w:ascii="宋体" w:hAnsi="宋体" w:cs="宋体"/>
          <w:b/>
          <w:bCs/>
          <w:color w:val="000000"/>
          <w:kern w:val="10"/>
          <w:sz w:val="28"/>
          <w:szCs w:val="28"/>
          <w:highlight w:val="none"/>
        </w:rPr>
      </w:pPr>
    </w:p>
    <w:p w14:paraId="60BA66D8">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lang w:val="en-US" w:eastAsia="zh-CN"/>
        </w:rPr>
        <w:t xml:space="preserve">  </w:t>
      </w: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w:t>
      </w:r>
      <w:r>
        <w:rPr>
          <w:rFonts w:hint="eastAsia" w:ascii="宋体" w:hAnsi="宋体" w:cs="宋体"/>
          <w:color w:val="000000"/>
          <w:kern w:val="10"/>
          <w:sz w:val="24"/>
          <w:highlight w:val="none"/>
          <w:u w:val="single"/>
        </w:rPr>
        <w:t xml:space="preserve">       （电子签章） </w:t>
      </w:r>
    </w:p>
    <w:p w14:paraId="2F96EDAE">
      <w:pPr>
        <w:spacing w:line="360" w:lineRule="auto"/>
        <w:rPr>
          <w:rFonts w:ascii="宋体" w:hAnsi="宋体" w:cs="宋体"/>
          <w:color w:val="000000"/>
          <w:kern w:val="10"/>
          <w:sz w:val="24"/>
          <w:highlight w:val="none"/>
          <w:u w:val="single"/>
        </w:rPr>
      </w:pPr>
      <w:r>
        <w:rPr>
          <w:rFonts w:hint="eastAsia" w:ascii="宋体" w:hAnsi="宋体" w:cs="宋体"/>
          <w:color w:val="000000"/>
          <w:kern w:val="10"/>
          <w:sz w:val="24"/>
          <w:highlight w:val="none"/>
        </w:rPr>
        <w:t xml:space="preserve">                                      法定代表人：</w:t>
      </w:r>
      <w:r>
        <w:rPr>
          <w:rFonts w:hint="eastAsia" w:ascii="宋体" w:hAnsi="宋体" w:cs="宋体"/>
          <w:color w:val="000000"/>
          <w:kern w:val="10"/>
          <w:sz w:val="24"/>
          <w:highlight w:val="none"/>
          <w:u w:val="single"/>
        </w:rPr>
        <w:t xml:space="preserve">    （电子签章）</w:t>
      </w:r>
      <w:r>
        <w:rPr>
          <w:rFonts w:hint="eastAsia" w:ascii="宋体" w:hAnsi="宋体" w:cs="宋体"/>
          <w:color w:val="000000"/>
          <w:kern w:val="10"/>
          <w:sz w:val="24"/>
          <w:highlight w:val="none"/>
          <w:u w:val="single"/>
          <w:lang w:val="en-US" w:eastAsia="zh-CN"/>
        </w:rPr>
        <w:t xml:space="preserve"> </w:t>
      </w:r>
      <w:r>
        <w:rPr>
          <w:rFonts w:hint="eastAsia" w:ascii="宋体" w:hAnsi="宋体" w:cs="宋体"/>
          <w:color w:val="000000"/>
          <w:kern w:val="10"/>
          <w:sz w:val="24"/>
          <w:highlight w:val="none"/>
        </w:rPr>
        <w:t xml:space="preserve"> </w:t>
      </w:r>
    </w:p>
    <w:p w14:paraId="60B3B318">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lang w:val="en-US" w:eastAsia="zh-CN"/>
        </w:rPr>
        <w:t xml:space="preserve">   </w:t>
      </w: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年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 月</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日</w:t>
      </w:r>
    </w:p>
    <w:p w14:paraId="03D79957">
      <w:pPr>
        <w:spacing w:line="440" w:lineRule="exact"/>
        <w:rPr>
          <w:rFonts w:ascii="宋体" w:hAnsi="宋体" w:cs="宋体"/>
          <w:highlight w:val="none"/>
        </w:rPr>
      </w:pPr>
    </w:p>
    <w:p w14:paraId="3F94E901">
      <w:pPr>
        <w:spacing w:line="360" w:lineRule="auto"/>
        <w:jc w:val="center"/>
        <w:rPr>
          <w:rFonts w:hint="eastAsia" w:ascii="宋体" w:hAnsi="宋体" w:cs="Arial"/>
          <w:b/>
          <w:bCs/>
          <w:sz w:val="24"/>
          <w:highlight w:val="none"/>
        </w:rPr>
      </w:pPr>
    </w:p>
    <w:p w14:paraId="6A404D10">
      <w:pPr>
        <w:spacing w:line="360" w:lineRule="auto"/>
        <w:jc w:val="center"/>
        <w:rPr>
          <w:rFonts w:hint="eastAsia" w:ascii="宋体" w:hAnsi="宋体" w:cs="Arial"/>
          <w:b/>
          <w:bCs/>
          <w:sz w:val="24"/>
          <w:highlight w:val="none"/>
        </w:rPr>
      </w:pPr>
    </w:p>
    <w:p w14:paraId="357AC512">
      <w:pPr>
        <w:spacing w:line="360" w:lineRule="auto"/>
        <w:jc w:val="center"/>
        <w:rPr>
          <w:rFonts w:hint="eastAsia" w:ascii="宋体" w:hAnsi="宋体" w:cs="Arial"/>
          <w:b/>
          <w:bCs/>
          <w:sz w:val="24"/>
          <w:highlight w:val="none"/>
        </w:rPr>
      </w:pPr>
    </w:p>
    <w:p w14:paraId="2D1B1EBC">
      <w:pPr>
        <w:spacing w:line="360" w:lineRule="auto"/>
        <w:jc w:val="center"/>
        <w:rPr>
          <w:rFonts w:ascii="宋体" w:hAnsi="宋体" w:cs="Arial"/>
          <w:b/>
          <w:bCs/>
          <w:sz w:val="24"/>
          <w:highlight w:val="none"/>
        </w:rPr>
      </w:pPr>
      <w:r>
        <w:rPr>
          <w:rFonts w:hint="eastAsia" w:ascii="宋体" w:hAnsi="宋体" w:cs="Arial"/>
          <w:b/>
          <w:bCs/>
          <w:sz w:val="24"/>
          <w:highlight w:val="none"/>
        </w:rPr>
        <w:t>（二）商务</w:t>
      </w:r>
      <w:r>
        <w:rPr>
          <w:rFonts w:ascii="宋体" w:hAnsi="宋体" w:cs="Arial"/>
          <w:b/>
          <w:bCs/>
          <w:sz w:val="24"/>
          <w:highlight w:val="none"/>
        </w:rPr>
        <w:t>偏差表</w:t>
      </w:r>
    </w:p>
    <w:tbl>
      <w:tblPr>
        <w:tblStyle w:val="1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7"/>
        <w:gridCol w:w="2528"/>
        <w:gridCol w:w="1471"/>
        <w:gridCol w:w="1684"/>
        <w:gridCol w:w="1471"/>
        <w:gridCol w:w="837"/>
        <w:gridCol w:w="838"/>
      </w:tblGrid>
      <w:tr w14:paraId="3D73E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vMerge w:val="restart"/>
            <w:tcBorders>
              <w:top w:val="single" w:color="auto" w:sz="4" w:space="0"/>
              <w:left w:val="single" w:color="auto" w:sz="4" w:space="0"/>
              <w:right w:val="single" w:color="auto" w:sz="4" w:space="0"/>
            </w:tcBorders>
            <w:noWrap w:val="0"/>
            <w:vAlign w:val="center"/>
          </w:tcPr>
          <w:p w14:paraId="25469853">
            <w:pPr>
              <w:spacing w:line="360" w:lineRule="auto"/>
              <w:rPr>
                <w:rFonts w:ascii="宋体" w:hAnsi="宋体" w:cs="Arial"/>
                <w:b/>
                <w:sz w:val="24"/>
                <w:highlight w:val="none"/>
              </w:rPr>
            </w:pPr>
            <w:r>
              <w:rPr>
                <w:rFonts w:ascii="宋体" w:hAnsi="宋体" w:cs="Arial"/>
                <w:b/>
                <w:sz w:val="24"/>
                <w:highlight w:val="none"/>
              </w:rPr>
              <w:t>序号</w:t>
            </w:r>
          </w:p>
        </w:tc>
        <w:tc>
          <w:tcPr>
            <w:tcW w:w="1364" w:type="pct"/>
            <w:vMerge w:val="restart"/>
            <w:tcBorders>
              <w:top w:val="single" w:color="auto" w:sz="4" w:space="0"/>
              <w:left w:val="single" w:color="auto" w:sz="4" w:space="0"/>
              <w:right w:val="single" w:color="auto" w:sz="4" w:space="0"/>
            </w:tcBorders>
            <w:noWrap w:val="0"/>
            <w:vAlign w:val="center"/>
          </w:tcPr>
          <w:p w14:paraId="7627FA9D">
            <w:pPr>
              <w:spacing w:line="360" w:lineRule="auto"/>
              <w:rPr>
                <w:rFonts w:ascii="宋体" w:hAnsi="宋体" w:cs="Arial"/>
                <w:b/>
                <w:sz w:val="24"/>
                <w:highlight w:val="none"/>
              </w:rPr>
            </w:pPr>
            <w:r>
              <w:rPr>
                <w:rFonts w:ascii="宋体" w:hAnsi="宋体" w:cs="Arial"/>
                <w:b/>
                <w:sz w:val="24"/>
                <w:highlight w:val="none"/>
              </w:rPr>
              <w:t>投标</w:t>
            </w:r>
            <w:r>
              <w:rPr>
                <w:rFonts w:hint="eastAsia" w:ascii="宋体" w:hAnsi="宋体" w:cs="Arial"/>
                <w:b/>
                <w:sz w:val="24"/>
                <w:highlight w:val="none"/>
              </w:rPr>
              <w:t>服务</w:t>
            </w:r>
            <w:r>
              <w:rPr>
                <w:rFonts w:ascii="宋体" w:hAnsi="宋体" w:cs="Arial"/>
                <w:b/>
                <w:sz w:val="24"/>
                <w:highlight w:val="none"/>
              </w:rPr>
              <w:t>名称和条款号</w:t>
            </w:r>
          </w:p>
        </w:tc>
        <w:tc>
          <w:tcPr>
            <w:tcW w:w="1705" w:type="pct"/>
            <w:gridSpan w:val="2"/>
            <w:tcBorders>
              <w:top w:val="single" w:color="auto" w:sz="4" w:space="0"/>
              <w:left w:val="single" w:color="auto" w:sz="4" w:space="0"/>
              <w:bottom w:val="single" w:color="auto" w:sz="4" w:space="0"/>
              <w:right w:val="single" w:color="auto" w:sz="4" w:space="0"/>
            </w:tcBorders>
            <w:noWrap w:val="0"/>
            <w:vAlign w:val="center"/>
          </w:tcPr>
          <w:p w14:paraId="4C61C489">
            <w:pPr>
              <w:spacing w:line="360" w:lineRule="auto"/>
              <w:rPr>
                <w:rFonts w:ascii="宋体" w:hAnsi="宋体" w:cs="Arial"/>
                <w:b/>
                <w:sz w:val="24"/>
                <w:highlight w:val="none"/>
              </w:rPr>
            </w:pPr>
            <w:r>
              <w:rPr>
                <w:rFonts w:hint="eastAsia" w:ascii="宋体" w:hAnsi="宋体" w:cs="Arial"/>
                <w:b/>
                <w:sz w:val="24"/>
                <w:highlight w:val="none"/>
              </w:rPr>
              <w:t>服务</w:t>
            </w:r>
            <w:r>
              <w:rPr>
                <w:rFonts w:ascii="宋体" w:hAnsi="宋体" w:cs="Arial"/>
                <w:b/>
                <w:sz w:val="24"/>
                <w:highlight w:val="none"/>
              </w:rPr>
              <w:t>要求</w:t>
            </w:r>
          </w:p>
        </w:tc>
        <w:tc>
          <w:tcPr>
            <w:tcW w:w="795" w:type="pct"/>
            <w:vMerge w:val="restart"/>
            <w:tcBorders>
              <w:top w:val="single" w:color="auto" w:sz="4" w:space="0"/>
              <w:left w:val="single" w:color="auto" w:sz="4" w:space="0"/>
              <w:right w:val="single" w:color="auto" w:sz="4" w:space="0"/>
            </w:tcBorders>
            <w:noWrap w:val="0"/>
            <w:vAlign w:val="center"/>
          </w:tcPr>
          <w:p w14:paraId="2A99AC5B">
            <w:pPr>
              <w:spacing w:line="360" w:lineRule="auto"/>
              <w:rPr>
                <w:rFonts w:ascii="宋体" w:hAnsi="宋体" w:cs="Arial"/>
                <w:b/>
                <w:sz w:val="24"/>
                <w:highlight w:val="none"/>
              </w:rPr>
            </w:pPr>
            <w:r>
              <w:rPr>
                <w:rFonts w:ascii="宋体" w:hAnsi="宋体" w:cs="Arial"/>
                <w:b/>
                <w:sz w:val="24"/>
                <w:highlight w:val="none"/>
              </w:rPr>
              <w:t>对</w:t>
            </w:r>
            <w:r>
              <w:rPr>
                <w:rFonts w:hint="eastAsia" w:ascii="宋体" w:hAnsi="宋体" w:cs="Arial"/>
                <w:b/>
                <w:sz w:val="24"/>
                <w:highlight w:val="none"/>
              </w:rPr>
              <w:t>磋商文件</w:t>
            </w:r>
            <w:r>
              <w:rPr>
                <w:rFonts w:ascii="宋体" w:hAnsi="宋体" w:cs="Arial"/>
                <w:b/>
                <w:sz w:val="24"/>
                <w:highlight w:val="none"/>
              </w:rPr>
              <w:t>偏差</w:t>
            </w:r>
          </w:p>
        </w:tc>
        <w:tc>
          <w:tcPr>
            <w:tcW w:w="454" w:type="pct"/>
            <w:vMerge w:val="restart"/>
            <w:tcBorders>
              <w:top w:val="single" w:color="auto" w:sz="4" w:space="0"/>
              <w:left w:val="single" w:color="auto" w:sz="4" w:space="0"/>
              <w:right w:val="single" w:color="auto" w:sz="4" w:space="0"/>
            </w:tcBorders>
            <w:noWrap w:val="0"/>
            <w:vAlign w:val="center"/>
          </w:tcPr>
          <w:p w14:paraId="63ED927A">
            <w:pPr>
              <w:spacing w:line="360" w:lineRule="auto"/>
              <w:rPr>
                <w:rFonts w:ascii="宋体" w:hAnsi="宋体" w:cs="Arial"/>
                <w:b/>
                <w:sz w:val="24"/>
                <w:highlight w:val="none"/>
              </w:rPr>
            </w:pPr>
            <w:r>
              <w:rPr>
                <w:rFonts w:ascii="宋体" w:hAnsi="宋体" w:cs="Arial"/>
                <w:b/>
                <w:sz w:val="24"/>
                <w:highlight w:val="none"/>
              </w:rPr>
              <w:t>描述</w:t>
            </w:r>
          </w:p>
        </w:tc>
        <w:tc>
          <w:tcPr>
            <w:tcW w:w="454" w:type="pct"/>
            <w:vMerge w:val="restart"/>
            <w:tcBorders>
              <w:top w:val="single" w:color="auto" w:sz="4" w:space="0"/>
              <w:left w:val="single" w:color="auto" w:sz="4" w:space="0"/>
              <w:right w:val="single" w:color="auto" w:sz="4" w:space="0"/>
            </w:tcBorders>
            <w:noWrap w:val="0"/>
            <w:vAlign w:val="center"/>
          </w:tcPr>
          <w:p w14:paraId="6CB6B0F0">
            <w:pPr>
              <w:spacing w:line="360" w:lineRule="auto"/>
              <w:rPr>
                <w:rFonts w:ascii="宋体" w:hAnsi="宋体" w:cs="Arial"/>
                <w:b/>
                <w:sz w:val="24"/>
                <w:highlight w:val="none"/>
              </w:rPr>
            </w:pPr>
            <w:r>
              <w:rPr>
                <w:rFonts w:ascii="宋体" w:hAnsi="宋体" w:cs="Arial"/>
                <w:b/>
                <w:sz w:val="24"/>
                <w:highlight w:val="none"/>
              </w:rPr>
              <w:t>备注</w:t>
            </w:r>
          </w:p>
        </w:tc>
      </w:tr>
      <w:tr w14:paraId="46389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vMerge w:val="continue"/>
            <w:tcBorders>
              <w:left w:val="single" w:color="auto" w:sz="4" w:space="0"/>
              <w:bottom w:val="single" w:color="auto" w:sz="4" w:space="0"/>
              <w:right w:val="single" w:color="auto" w:sz="4" w:space="0"/>
            </w:tcBorders>
            <w:noWrap w:val="0"/>
            <w:vAlign w:val="center"/>
          </w:tcPr>
          <w:p w14:paraId="71594C67">
            <w:pPr>
              <w:spacing w:line="360" w:lineRule="auto"/>
              <w:rPr>
                <w:rFonts w:ascii="宋体" w:hAnsi="宋体" w:cs="Arial"/>
                <w:sz w:val="24"/>
                <w:highlight w:val="none"/>
              </w:rPr>
            </w:pPr>
          </w:p>
        </w:tc>
        <w:tc>
          <w:tcPr>
            <w:tcW w:w="1364" w:type="pct"/>
            <w:vMerge w:val="continue"/>
            <w:tcBorders>
              <w:left w:val="single" w:color="auto" w:sz="4" w:space="0"/>
              <w:bottom w:val="single" w:color="auto" w:sz="4" w:space="0"/>
              <w:right w:val="single" w:color="auto" w:sz="4" w:space="0"/>
            </w:tcBorders>
            <w:noWrap w:val="0"/>
            <w:vAlign w:val="center"/>
          </w:tcPr>
          <w:p w14:paraId="6A6C84FD">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67084B99">
            <w:pPr>
              <w:spacing w:line="360" w:lineRule="auto"/>
              <w:rPr>
                <w:rFonts w:ascii="宋体" w:hAnsi="宋体" w:cs="Arial"/>
                <w:b/>
                <w:sz w:val="24"/>
                <w:highlight w:val="none"/>
              </w:rPr>
            </w:pPr>
            <w:r>
              <w:rPr>
                <w:rFonts w:ascii="宋体" w:hAnsi="宋体" w:cs="Arial"/>
                <w:b/>
                <w:sz w:val="24"/>
                <w:highlight w:val="none"/>
              </w:rPr>
              <w:t>招标书</w:t>
            </w:r>
          </w:p>
        </w:tc>
        <w:tc>
          <w:tcPr>
            <w:tcW w:w="909" w:type="pct"/>
            <w:tcBorders>
              <w:top w:val="single" w:color="auto" w:sz="4" w:space="0"/>
              <w:left w:val="single" w:color="auto" w:sz="4" w:space="0"/>
              <w:bottom w:val="single" w:color="auto" w:sz="4" w:space="0"/>
              <w:right w:val="single" w:color="auto" w:sz="4" w:space="0"/>
            </w:tcBorders>
            <w:noWrap w:val="0"/>
            <w:vAlign w:val="center"/>
          </w:tcPr>
          <w:p w14:paraId="786DD772">
            <w:pPr>
              <w:spacing w:line="360" w:lineRule="auto"/>
              <w:rPr>
                <w:rFonts w:ascii="宋体" w:hAnsi="宋体" w:cs="Arial"/>
                <w:b/>
                <w:sz w:val="24"/>
                <w:highlight w:val="none"/>
              </w:rPr>
            </w:pPr>
            <w:r>
              <w:rPr>
                <w:rFonts w:ascii="宋体" w:hAnsi="宋体" w:cs="Arial"/>
                <w:b/>
                <w:sz w:val="24"/>
                <w:highlight w:val="none"/>
              </w:rPr>
              <w:t>投标书</w:t>
            </w:r>
          </w:p>
        </w:tc>
        <w:tc>
          <w:tcPr>
            <w:tcW w:w="795" w:type="pct"/>
            <w:vMerge w:val="continue"/>
            <w:tcBorders>
              <w:left w:val="single" w:color="auto" w:sz="4" w:space="0"/>
              <w:bottom w:val="single" w:color="auto" w:sz="4" w:space="0"/>
              <w:right w:val="single" w:color="auto" w:sz="4" w:space="0"/>
            </w:tcBorders>
            <w:noWrap w:val="0"/>
            <w:vAlign w:val="center"/>
          </w:tcPr>
          <w:p w14:paraId="41C3A10F">
            <w:pPr>
              <w:spacing w:line="360" w:lineRule="auto"/>
              <w:rPr>
                <w:rFonts w:ascii="宋体" w:hAnsi="宋体" w:cs="Arial"/>
                <w:sz w:val="24"/>
                <w:highlight w:val="none"/>
              </w:rPr>
            </w:pPr>
          </w:p>
        </w:tc>
        <w:tc>
          <w:tcPr>
            <w:tcW w:w="454" w:type="pct"/>
            <w:vMerge w:val="continue"/>
            <w:tcBorders>
              <w:left w:val="single" w:color="auto" w:sz="4" w:space="0"/>
              <w:bottom w:val="single" w:color="auto" w:sz="4" w:space="0"/>
              <w:right w:val="single" w:color="auto" w:sz="4" w:space="0"/>
            </w:tcBorders>
            <w:noWrap w:val="0"/>
            <w:vAlign w:val="center"/>
          </w:tcPr>
          <w:p w14:paraId="21667CAA">
            <w:pPr>
              <w:spacing w:line="360" w:lineRule="auto"/>
              <w:rPr>
                <w:rFonts w:ascii="宋体" w:hAnsi="宋体" w:cs="Arial"/>
                <w:sz w:val="24"/>
                <w:highlight w:val="none"/>
              </w:rPr>
            </w:pPr>
          </w:p>
        </w:tc>
        <w:tc>
          <w:tcPr>
            <w:tcW w:w="454" w:type="pct"/>
            <w:vMerge w:val="continue"/>
            <w:tcBorders>
              <w:left w:val="single" w:color="auto" w:sz="4" w:space="0"/>
              <w:bottom w:val="single" w:color="auto" w:sz="4" w:space="0"/>
              <w:right w:val="single" w:color="auto" w:sz="4" w:space="0"/>
            </w:tcBorders>
            <w:noWrap w:val="0"/>
            <w:vAlign w:val="center"/>
          </w:tcPr>
          <w:p w14:paraId="76984112">
            <w:pPr>
              <w:spacing w:line="360" w:lineRule="auto"/>
              <w:rPr>
                <w:rFonts w:ascii="宋体" w:hAnsi="宋体" w:cs="Arial"/>
                <w:sz w:val="24"/>
                <w:highlight w:val="none"/>
              </w:rPr>
            </w:pPr>
          </w:p>
        </w:tc>
      </w:tr>
      <w:tr w14:paraId="2DC5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4B92DA51">
            <w:pPr>
              <w:spacing w:line="360" w:lineRule="auto"/>
              <w:rPr>
                <w:rFonts w:ascii="宋体" w:hAnsi="宋体" w:cs="Arial"/>
                <w:sz w:val="24"/>
                <w:highlight w:val="none"/>
              </w:rPr>
            </w:pPr>
            <w:r>
              <w:rPr>
                <w:rFonts w:ascii="宋体" w:hAnsi="宋体" w:cs="Arial"/>
                <w:sz w:val="24"/>
                <w:highlight w:val="none"/>
              </w:rPr>
              <w:t>1</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54DCE306">
            <w:pPr>
              <w:spacing w:line="360" w:lineRule="auto"/>
              <w:rPr>
                <w:rFonts w:ascii="宋体" w:hAnsi="宋体" w:cs="Arial"/>
                <w:sz w:val="24"/>
                <w:highlight w:val="none"/>
              </w:rPr>
            </w:pPr>
            <w:r>
              <w:rPr>
                <w:rFonts w:hint="eastAsia" w:ascii="宋体" w:hAnsi="宋体" w:cs="Arial"/>
                <w:sz w:val="24"/>
                <w:highlight w:val="none"/>
              </w:rPr>
              <w:t>委托服务期限</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27A7CE66">
            <w:pPr>
              <w:spacing w:line="360" w:lineRule="auto"/>
              <w:rPr>
                <w:rFonts w:ascii="宋体" w:hAnsi="宋体" w:cs="Arial"/>
                <w:sz w:val="24"/>
                <w:highlight w:val="none"/>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71B2F226">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79E7EBFF">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1EFB273C">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1C6F0E9E">
            <w:pPr>
              <w:spacing w:line="360" w:lineRule="auto"/>
              <w:rPr>
                <w:rFonts w:ascii="宋体" w:hAnsi="宋体" w:cs="Arial"/>
                <w:sz w:val="24"/>
                <w:highlight w:val="none"/>
              </w:rPr>
            </w:pPr>
          </w:p>
        </w:tc>
      </w:tr>
      <w:tr w14:paraId="7F527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05E1E0B4">
            <w:pPr>
              <w:spacing w:line="360" w:lineRule="auto"/>
              <w:rPr>
                <w:rFonts w:ascii="宋体" w:hAnsi="宋体" w:cs="Arial"/>
                <w:sz w:val="24"/>
                <w:highlight w:val="none"/>
              </w:rPr>
            </w:pPr>
            <w:r>
              <w:rPr>
                <w:rFonts w:ascii="宋体" w:hAnsi="宋体" w:cs="Arial"/>
                <w:sz w:val="24"/>
                <w:highlight w:val="none"/>
              </w:rPr>
              <w:t>2</w:t>
            </w:r>
          </w:p>
        </w:tc>
        <w:tc>
          <w:tcPr>
            <w:tcW w:w="1364" w:type="pct"/>
            <w:tcBorders>
              <w:top w:val="single" w:color="auto" w:sz="4" w:space="0"/>
              <w:left w:val="single" w:color="auto" w:sz="4" w:space="0"/>
              <w:bottom w:val="single" w:color="auto" w:sz="4" w:space="0"/>
              <w:right w:val="single" w:color="auto" w:sz="4" w:space="0"/>
            </w:tcBorders>
            <w:noWrap w:val="0"/>
            <w:vAlign w:val="center"/>
          </w:tcPr>
          <w:p w14:paraId="330B51C5">
            <w:pPr>
              <w:spacing w:line="360" w:lineRule="auto"/>
              <w:rPr>
                <w:rFonts w:ascii="宋体" w:hAnsi="宋体" w:cs="Arial"/>
                <w:sz w:val="24"/>
                <w:highlight w:val="none"/>
              </w:rPr>
            </w:pPr>
            <w:r>
              <w:rPr>
                <w:rFonts w:ascii="宋体" w:hAnsi="宋体" w:cs="Arial"/>
                <w:sz w:val="24"/>
                <w:highlight w:val="none"/>
              </w:rPr>
              <w:t>投标有效期</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7D595BDA">
            <w:pPr>
              <w:spacing w:line="360" w:lineRule="auto"/>
              <w:rPr>
                <w:rFonts w:ascii="宋体" w:hAnsi="宋体" w:cs="Arial"/>
                <w:sz w:val="24"/>
                <w:highlight w:val="none"/>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42F39AF6">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19EAFA45">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2C91D74E">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00E8DC31">
            <w:pPr>
              <w:spacing w:line="360" w:lineRule="auto"/>
              <w:rPr>
                <w:rFonts w:ascii="宋体" w:hAnsi="宋体" w:cs="Arial"/>
                <w:sz w:val="24"/>
                <w:highlight w:val="none"/>
              </w:rPr>
            </w:pPr>
          </w:p>
        </w:tc>
      </w:tr>
      <w:tr w14:paraId="4E020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2B4AA80D">
            <w:pPr>
              <w:spacing w:line="360" w:lineRule="auto"/>
              <w:rPr>
                <w:rFonts w:ascii="宋体" w:hAnsi="宋体" w:cs="Arial"/>
                <w:sz w:val="24"/>
                <w:highlight w:val="none"/>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31529403">
            <w:pPr>
              <w:spacing w:line="360" w:lineRule="auto"/>
              <w:rPr>
                <w:rFonts w:ascii="宋体" w:hAnsi="宋体" w:cs="Arial"/>
                <w:sz w:val="24"/>
                <w:highlight w:val="none"/>
              </w:rPr>
            </w:pPr>
            <w:r>
              <w:rPr>
                <w:rFonts w:ascii="宋体" w:hAnsi="宋体" w:cs="Arial"/>
                <w:sz w:val="24"/>
                <w:highlight w:val="none"/>
              </w:rPr>
              <w:t>……</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3A83B185">
            <w:pPr>
              <w:spacing w:line="360" w:lineRule="auto"/>
              <w:rPr>
                <w:rFonts w:ascii="宋体" w:hAnsi="宋体" w:cs="Arial"/>
                <w:sz w:val="24"/>
                <w:highlight w:val="none"/>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47834F29">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50684B29">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4BBBBCD8">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44B801CA">
            <w:pPr>
              <w:spacing w:line="360" w:lineRule="auto"/>
              <w:rPr>
                <w:rFonts w:ascii="宋体" w:hAnsi="宋体" w:cs="Arial"/>
                <w:sz w:val="24"/>
                <w:highlight w:val="none"/>
              </w:rPr>
            </w:pPr>
          </w:p>
        </w:tc>
      </w:tr>
      <w:tr w14:paraId="2534F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2BA50EAA">
            <w:pPr>
              <w:spacing w:line="360" w:lineRule="auto"/>
              <w:rPr>
                <w:rFonts w:ascii="宋体" w:hAnsi="宋体" w:cs="Arial"/>
                <w:sz w:val="24"/>
                <w:highlight w:val="none"/>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2A12C9EF">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10077B21">
            <w:pPr>
              <w:spacing w:line="360" w:lineRule="auto"/>
              <w:rPr>
                <w:rFonts w:ascii="宋体" w:hAnsi="宋体" w:cs="Arial"/>
                <w:sz w:val="24"/>
                <w:highlight w:val="none"/>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0627BC9C">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5574C26C">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458FEC5C">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35DB0E0B">
            <w:pPr>
              <w:spacing w:line="360" w:lineRule="auto"/>
              <w:rPr>
                <w:rFonts w:ascii="宋体" w:hAnsi="宋体" w:cs="Arial"/>
                <w:sz w:val="24"/>
                <w:highlight w:val="none"/>
              </w:rPr>
            </w:pPr>
          </w:p>
        </w:tc>
      </w:tr>
      <w:tr w14:paraId="72CD1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2CEED6B8">
            <w:pPr>
              <w:spacing w:line="360" w:lineRule="auto"/>
              <w:rPr>
                <w:rFonts w:ascii="宋体" w:hAnsi="宋体" w:cs="Arial"/>
                <w:sz w:val="24"/>
                <w:highlight w:val="none"/>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2BA478F8">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6E2D49C9">
            <w:pPr>
              <w:spacing w:line="360" w:lineRule="auto"/>
              <w:rPr>
                <w:rFonts w:ascii="宋体" w:hAnsi="宋体" w:cs="Arial"/>
                <w:sz w:val="24"/>
                <w:highlight w:val="none"/>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340B3EFA">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62121811">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0D60E7F4">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5A5455CB">
            <w:pPr>
              <w:spacing w:line="360" w:lineRule="auto"/>
              <w:rPr>
                <w:rFonts w:ascii="宋体" w:hAnsi="宋体" w:cs="Arial"/>
                <w:sz w:val="24"/>
                <w:highlight w:val="none"/>
              </w:rPr>
            </w:pPr>
          </w:p>
        </w:tc>
      </w:tr>
      <w:tr w14:paraId="6F112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23FD9EEA">
            <w:pPr>
              <w:spacing w:line="360" w:lineRule="auto"/>
              <w:rPr>
                <w:rFonts w:ascii="宋体" w:hAnsi="宋体" w:cs="Arial"/>
                <w:sz w:val="24"/>
                <w:highlight w:val="none"/>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2183C0AD">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33699692">
            <w:pPr>
              <w:spacing w:line="360" w:lineRule="auto"/>
              <w:rPr>
                <w:rFonts w:ascii="宋体" w:hAnsi="宋体" w:cs="Arial"/>
                <w:sz w:val="24"/>
                <w:highlight w:val="none"/>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07D1E435">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30644588">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1AE3C135">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7092C301">
            <w:pPr>
              <w:spacing w:line="360" w:lineRule="auto"/>
              <w:rPr>
                <w:rFonts w:ascii="宋体" w:hAnsi="宋体" w:cs="Arial"/>
                <w:sz w:val="24"/>
                <w:highlight w:val="none"/>
              </w:rPr>
            </w:pPr>
          </w:p>
        </w:tc>
      </w:tr>
      <w:tr w14:paraId="18AB6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7" w:type="pct"/>
            <w:tcBorders>
              <w:top w:val="single" w:color="auto" w:sz="4" w:space="0"/>
              <w:left w:val="single" w:color="auto" w:sz="4" w:space="0"/>
              <w:bottom w:val="single" w:color="auto" w:sz="4" w:space="0"/>
              <w:right w:val="single" w:color="auto" w:sz="4" w:space="0"/>
            </w:tcBorders>
            <w:noWrap w:val="0"/>
            <w:vAlign w:val="center"/>
          </w:tcPr>
          <w:p w14:paraId="59A041FC">
            <w:pPr>
              <w:spacing w:line="360" w:lineRule="auto"/>
              <w:rPr>
                <w:rFonts w:ascii="宋体" w:hAnsi="宋体" w:cs="Arial"/>
                <w:sz w:val="24"/>
                <w:highlight w:val="none"/>
              </w:rPr>
            </w:pPr>
          </w:p>
        </w:tc>
        <w:tc>
          <w:tcPr>
            <w:tcW w:w="1364" w:type="pct"/>
            <w:tcBorders>
              <w:top w:val="single" w:color="auto" w:sz="4" w:space="0"/>
              <w:left w:val="single" w:color="auto" w:sz="4" w:space="0"/>
              <w:bottom w:val="single" w:color="auto" w:sz="4" w:space="0"/>
              <w:right w:val="single" w:color="auto" w:sz="4" w:space="0"/>
            </w:tcBorders>
            <w:noWrap w:val="0"/>
            <w:vAlign w:val="center"/>
          </w:tcPr>
          <w:p w14:paraId="07023A3D">
            <w:pPr>
              <w:spacing w:line="360" w:lineRule="auto"/>
              <w:rPr>
                <w:rFonts w:ascii="宋体" w:hAnsi="宋体" w:cs="Arial"/>
                <w:sz w:val="24"/>
                <w:highlight w:val="none"/>
              </w:rPr>
            </w:pPr>
            <w:r>
              <w:rPr>
                <w:rFonts w:hint="eastAsia" w:ascii="宋体" w:hAnsi="宋体" w:cs="Arial"/>
                <w:sz w:val="24"/>
                <w:highlight w:val="none"/>
              </w:rPr>
              <w:t>其他</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6FDDA702">
            <w:pPr>
              <w:spacing w:line="360" w:lineRule="auto"/>
              <w:rPr>
                <w:rFonts w:ascii="宋体" w:hAnsi="宋体" w:cs="Arial"/>
                <w:sz w:val="24"/>
                <w:highlight w:val="none"/>
              </w:rPr>
            </w:pPr>
          </w:p>
        </w:tc>
        <w:tc>
          <w:tcPr>
            <w:tcW w:w="909" w:type="pct"/>
            <w:tcBorders>
              <w:top w:val="single" w:color="auto" w:sz="4" w:space="0"/>
              <w:left w:val="single" w:color="auto" w:sz="4" w:space="0"/>
              <w:bottom w:val="single" w:color="auto" w:sz="4" w:space="0"/>
              <w:right w:val="single" w:color="auto" w:sz="4" w:space="0"/>
            </w:tcBorders>
            <w:noWrap w:val="0"/>
            <w:vAlign w:val="center"/>
          </w:tcPr>
          <w:p w14:paraId="3108E702">
            <w:pPr>
              <w:spacing w:line="360" w:lineRule="auto"/>
              <w:rPr>
                <w:rFonts w:ascii="宋体" w:hAnsi="宋体" w:cs="Arial"/>
                <w:sz w:val="24"/>
                <w:highlight w:val="none"/>
              </w:rPr>
            </w:pPr>
          </w:p>
        </w:tc>
        <w:tc>
          <w:tcPr>
            <w:tcW w:w="795" w:type="pct"/>
            <w:tcBorders>
              <w:top w:val="single" w:color="auto" w:sz="4" w:space="0"/>
              <w:left w:val="single" w:color="auto" w:sz="4" w:space="0"/>
              <w:bottom w:val="single" w:color="auto" w:sz="4" w:space="0"/>
              <w:right w:val="single" w:color="auto" w:sz="4" w:space="0"/>
            </w:tcBorders>
            <w:noWrap w:val="0"/>
            <w:vAlign w:val="center"/>
          </w:tcPr>
          <w:p w14:paraId="621E686C">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51DCCA22">
            <w:pPr>
              <w:spacing w:line="360" w:lineRule="auto"/>
              <w:rPr>
                <w:rFonts w:ascii="宋体" w:hAnsi="宋体" w:cs="Arial"/>
                <w:sz w:val="24"/>
                <w:highlight w:val="none"/>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6864ADF8">
            <w:pPr>
              <w:spacing w:line="360" w:lineRule="auto"/>
              <w:rPr>
                <w:rFonts w:ascii="宋体" w:hAnsi="宋体" w:cs="Arial"/>
                <w:sz w:val="24"/>
                <w:highlight w:val="none"/>
              </w:rPr>
            </w:pPr>
          </w:p>
        </w:tc>
      </w:tr>
    </w:tbl>
    <w:p w14:paraId="0E831E87">
      <w:pPr>
        <w:spacing w:line="360" w:lineRule="auto"/>
        <w:rPr>
          <w:rFonts w:ascii="宋体" w:hAnsi="宋体" w:cs="Arial"/>
          <w:b/>
          <w:color w:val="FF0000"/>
          <w:sz w:val="24"/>
          <w:highlight w:val="none"/>
        </w:rPr>
      </w:pPr>
    </w:p>
    <w:p w14:paraId="378126F8">
      <w:pPr>
        <w:spacing w:line="360" w:lineRule="auto"/>
        <w:rPr>
          <w:rFonts w:ascii="宋体" w:hAnsi="宋体" w:cs="Arial"/>
          <w:b/>
          <w:sz w:val="24"/>
          <w:highlight w:val="none"/>
        </w:rPr>
      </w:pPr>
      <w:r>
        <w:rPr>
          <w:rFonts w:ascii="宋体" w:hAnsi="宋体" w:cs="Arial"/>
          <w:b/>
          <w:sz w:val="24"/>
          <w:highlight w:val="none"/>
        </w:rPr>
        <w:t>注：</w:t>
      </w:r>
      <w:r>
        <w:rPr>
          <w:rFonts w:hint="eastAsia" w:ascii="宋体" w:hAnsi="宋体" w:cs="Arial"/>
          <w:b/>
          <w:sz w:val="24"/>
          <w:highlight w:val="none"/>
          <w:lang w:val="en-US" w:eastAsia="zh-CN"/>
        </w:rPr>
        <w:t>供应商</w:t>
      </w:r>
      <w:r>
        <w:rPr>
          <w:rFonts w:hint="eastAsia" w:ascii="宋体" w:hAnsi="宋体" w:cs="Arial"/>
          <w:b/>
          <w:sz w:val="24"/>
          <w:highlight w:val="none"/>
        </w:rPr>
        <w:t>按根据项目</w:t>
      </w:r>
      <w:r>
        <w:rPr>
          <w:rFonts w:ascii="宋体" w:hAnsi="宋体" w:cs="Arial"/>
          <w:b/>
          <w:sz w:val="24"/>
          <w:highlight w:val="none"/>
        </w:rPr>
        <w:t>做出响应，在“</w:t>
      </w:r>
      <w:r>
        <w:rPr>
          <w:rFonts w:hint="eastAsia" w:ascii="宋体" w:hAnsi="宋体" w:cs="Arial"/>
          <w:b/>
          <w:sz w:val="24"/>
          <w:highlight w:val="none"/>
        </w:rPr>
        <w:t>偏差表</w:t>
      </w:r>
      <w:r>
        <w:rPr>
          <w:rFonts w:ascii="宋体" w:hAnsi="宋体" w:cs="Arial"/>
          <w:b/>
          <w:sz w:val="24"/>
          <w:highlight w:val="none"/>
        </w:rPr>
        <w:t>”列明</w:t>
      </w:r>
      <w:r>
        <w:rPr>
          <w:rFonts w:hint="eastAsia" w:ascii="宋体" w:hAnsi="宋体" w:cs="Arial"/>
          <w:b/>
          <w:sz w:val="24"/>
          <w:highlight w:val="none"/>
        </w:rPr>
        <w:t>服务</w:t>
      </w:r>
      <w:r>
        <w:rPr>
          <w:rFonts w:ascii="宋体" w:hAnsi="宋体" w:cs="Arial"/>
          <w:b/>
          <w:sz w:val="24"/>
          <w:highlight w:val="none"/>
        </w:rPr>
        <w:t>要求、投响应情况，并标明偏差情况。</w:t>
      </w:r>
    </w:p>
    <w:p w14:paraId="55FE68D6">
      <w:pPr>
        <w:spacing w:line="360" w:lineRule="auto"/>
        <w:rPr>
          <w:rFonts w:ascii="宋体" w:hAnsi="宋体" w:cs="黑体"/>
          <w:kern w:val="0"/>
          <w:sz w:val="24"/>
          <w:highlight w:val="none"/>
        </w:rPr>
      </w:pPr>
      <w:r>
        <w:rPr>
          <w:rFonts w:ascii="宋体" w:hAnsi="宋体" w:cs="黑体"/>
          <w:kern w:val="0"/>
          <w:sz w:val="24"/>
          <w:highlight w:val="none"/>
        </w:rPr>
        <w:t xml:space="preserve"> </w:t>
      </w:r>
    </w:p>
    <w:p w14:paraId="18C1EE2A">
      <w:pPr>
        <w:spacing w:line="360" w:lineRule="auto"/>
        <w:rPr>
          <w:rFonts w:ascii="宋体" w:hAnsi="宋体" w:cs="黑体"/>
          <w:kern w:val="0"/>
          <w:sz w:val="24"/>
          <w:highlight w:val="none"/>
        </w:rPr>
      </w:pPr>
    </w:p>
    <w:p w14:paraId="503F3B61">
      <w:pPr>
        <w:spacing w:line="360" w:lineRule="auto"/>
        <w:rPr>
          <w:rFonts w:ascii="宋体" w:hAnsi="宋体" w:cs="黑体"/>
          <w:kern w:val="0"/>
          <w:sz w:val="24"/>
          <w:highlight w:val="none"/>
        </w:rPr>
      </w:pPr>
    </w:p>
    <w:p w14:paraId="597D0D22">
      <w:pPr>
        <w:spacing w:line="360" w:lineRule="auto"/>
        <w:rPr>
          <w:rFonts w:ascii="宋体" w:hAnsi="宋体" w:cs="黑体"/>
          <w:kern w:val="0"/>
          <w:sz w:val="24"/>
          <w:highlight w:val="none"/>
        </w:rPr>
      </w:pPr>
    </w:p>
    <w:p w14:paraId="4940620D">
      <w:pPr>
        <w:spacing w:line="360"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lang w:val="en-US" w:eastAsia="zh-CN"/>
        </w:rPr>
        <w:t xml:space="preserve">                                             供应商</w:t>
      </w:r>
      <w:r>
        <w:rPr>
          <w:rFonts w:hint="eastAsia" w:ascii="宋体" w:hAnsi="宋体" w:cs="宋体"/>
          <w:color w:val="000000"/>
          <w:kern w:val="10"/>
          <w:sz w:val="24"/>
          <w:highlight w:val="none"/>
        </w:rPr>
        <w:t>：</w:t>
      </w:r>
      <w:r>
        <w:rPr>
          <w:rFonts w:hint="eastAsia" w:ascii="宋体" w:hAnsi="宋体" w:cs="宋体"/>
          <w:color w:val="000000"/>
          <w:kern w:val="10"/>
          <w:sz w:val="24"/>
          <w:highlight w:val="none"/>
          <w:u w:val="single"/>
        </w:rPr>
        <w:t xml:space="preserve">         （电子签章）</w:t>
      </w:r>
    </w:p>
    <w:p w14:paraId="20CDB5B2">
      <w:pPr>
        <w:spacing w:line="360" w:lineRule="auto"/>
        <w:jc w:val="right"/>
        <w:rPr>
          <w:rFonts w:ascii="宋体" w:hAnsi="宋体" w:cs="宋体"/>
          <w:color w:val="000000"/>
          <w:kern w:val="10"/>
          <w:sz w:val="24"/>
          <w:highlight w:val="none"/>
          <w:u w:val="single"/>
        </w:rPr>
      </w:pPr>
      <w:r>
        <w:rPr>
          <w:rFonts w:hint="eastAsia" w:ascii="宋体" w:hAnsi="宋体" w:cs="宋体"/>
          <w:color w:val="000000"/>
          <w:kern w:val="10"/>
          <w:sz w:val="24"/>
          <w:highlight w:val="none"/>
        </w:rPr>
        <w:t>法定代表人：</w:t>
      </w:r>
      <w:r>
        <w:rPr>
          <w:rFonts w:hint="eastAsia" w:ascii="宋体" w:hAnsi="宋体" w:cs="宋体"/>
          <w:color w:val="000000"/>
          <w:kern w:val="10"/>
          <w:sz w:val="24"/>
          <w:highlight w:val="none"/>
          <w:u w:val="single"/>
        </w:rPr>
        <w:t xml:space="preserve">      （电子签章）</w:t>
      </w:r>
    </w:p>
    <w:p w14:paraId="6CB1FF02">
      <w:pPr>
        <w:spacing w:line="360" w:lineRule="auto"/>
        <w:jc w:val="right"/>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年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 月</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日</w:t>
      </w:r>
    </w:p>
    <w:p w14:paraId="5E92A48F">
      <w:pPr>
        <w:rPr>
          <w:rFonts w:ascii="宋体" w:hAnsi="宋体" w:cs="宋体"/>
          <w:highlight w:val="none"/>
        </w:rPr>
      </w:pPr>
    </w:p>
    <w:p w14:paraId="3F7FC513">
      <w:pPr>
        <w:pStyle w:val="4"/>
        <w:rPr>
          <w:highlight w:val="none"/>
        </w:rPr>
      </w:pPr>
    </w:p>
    <w:p w14:paraId="03AE7D19">
      <w:pPr>
        <w:pStyle w:val="2"/>
        <w:ind w:firstLine="210"/>
        <w:rPr>
          <w:highlight w:val="none"/>
        </w:rPr>
      </w:pPr>
    </w:p>
    <w:p w14:paraId="24D91AC9">
      <w:pPr>
        <w:rPr>
          <w:rFonts w:ascii="宋体" w:hAnsi="宋体" w:cs="宋体"/>
          <w:highlight w:val="none"/>
        </w:rPr>
      </w:pPr>
    </w:p>
    <w:p w14:paraId="7BF09B6A">
      <w:pPr>
        <w:jc w:val="center"/>
        <w:rPr>
          <w:rFonts w:ascii="宋体" w:hAnsi="宋体" w:cs="Arial"/>
          <w:b/>
          <w:bCs/>
          <w:sz w:val="24"/>
          <w:highlight w:val="none"/>
        </w:rPr>
      </w:pPr>
    </w:p>
    <w:p w14:paraId="148D1F66">
      <w:pPr>
        <w:jc w:val="center"/>
        <w:rPr>
          <w:rFonts w:ascii="宋体" w:hAnsi="宋体" w:cs="Arial"/>
          <w:b/>
          <w:bCs/>
          <w:sz w:val="24"/>
          <w:highlight w:val="none"/>
        </w:rPr>
      </w:pPr>
    </w:p>
    <w:p w14:paraId="7B67E7A4">
      <w:pPr>
        <w:jc w:val="center"/>
        <w:rPr>
          <w:rFonts w:ascii="宋体" w:hAnsi="宋体" w:cs="Arial"/>
          <w:b/>
          <w:bCs/>
          <w:sz w:val="24"/>
          <w:highlight w:val="none"/>
        </w:rPr>
      </w:pPr>
    </w:p>
    <w:p w14:paraId="76CAD4EB">
      <w:pPr>
        <w:jc w:val="center"/>
        <w:rPr>
          <w:rFonts w:ascii="宋体" w:hAnsi="宋体" w:cs="Arial"/>
          <w:b/>
          <w:bCs/>
          <w:sz w:val="24"/>
          <w:highlight w:val="none"/>
        </w:rPr>
      </w:pPr>
    </w:p>
    <w:p w14:paraId="7689904C">
      <w:pPr>
        <w:jc w:val="center"/>
        <w:rPr>
          <w:rFonts w:ascii="宋体" w:hAnsi="宋体" w:cs="Arial"/>
          <w:b/>
          <w:bCs/>
          <w:sz w:val="24"/>
          <w:highlight w:val="none"/>
        </w:rPr>
      </w:pPr>
    </w:p>
    <w:p w14:paraId="5623A4F3">
      <w:pPr>
        <w:jc w:val="center"/>
        <w:rPr>
          <w:rFonts w:ascii="宋体" w:hAnsi="宋体" w:cs="Arial"/>
          <w:b/>
          <w:bCs/>
          <w:sz w:val="24"/>
          <w:highlight w:val="none"/>
        </w:rPr>
      </w:pPr>
    </w:p>
    <w:p w14:paraId="7A7A2A99">
      <w:pPr>
        <w:jc w:val="center"/>
        <w:rPr>
          <w:rFonts w:ascii="宋体" w:hAnsi="宋体" w:cs="宋体"/>
          <w:highlight w:val="none"/>
        </w:rPr>
      </w:pPr>
      <w:r>
        <w:rPr>
          <w:rFonts w:hint="eastAsia" w:ascii="宋体" w:hAnsi="宋体" w:cs="Arial"/>
          <w:b/>
          <w:bCs/>
          <w:sz w:val="24"/>
          <w:highlight w:val="none"/>
        </w:rPr>
        <w:t>（三）承诺函</w:t>
      </w:r>
    </w:p>
    <w:p w14:paraId="293EDA4D">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致：____________________（</w:t>
      </w:r>
      <w:r>
        <w:rPr>
          <w:rFonts w:hint="eastAsia" w:ascii="宋体" w:hAnsi="宋体" w:cs="宋体"/>
          <w:color w:val="000000"/>
          <w:kern w:val="10"/>
          <w:sz w:val="24"/>
          <w:highlight w:val="none"/>
          <w:lang w:val="en-US" w:eastAsia="zh-CN"/>
        </w:rPr>
        <w:t>采购</w:t>
      </w:r>
      <w:r>
        <w:rPr>
          <w:rFonts w:hint="eastAsia" w:ascii="宋体" w:hAnsi="宋体" w:cs="宋体"/>
          <w:color w:val="000000"/>
          <w:kern w:val="10"/>
          <w:sz w:val="24"/>
          <w:highlight w:val="none"/>
        </w:rPr>
        <w:t>人及</w:t>
      </w:r>
      <w:r>
        <w:rPr>
          <w:rFonts w:hint="eastAsia" w:ascii="宋体" w:hAnsi="宋体" w:cs="宋体"/>
          <w:color w:val="000000"/>
          <w:kern w:val="10"/>
          <w:sz w:val="24"/>
          <w:highlight w:val="none"/>
          <w:lang w:val="en-US" w:eastAsia="zh-CN"/>
        </w:rPr>
        <w:t>采购</w:t>
      </w:r>
      <w:r>
        <w:rPr>
          <w:rFonts w:hint="eastAsia" w:ascii="宋体" w:hAnsi="宋体" w:cs="宋体"/>
          <w:color w:val="000000"/>
          <w:kern w:val="10"/>
          <w:sz w:val="24"/>
          <w:highlight w:val="none"/>
        </w:rPr>
        <w:t>代理机构）</w:t>
      </w:r>
    </w:p>
    <w:p w14:paraId="2233D7D8">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我公司作为本次招标项目的</w:t>
      </w:r>
      <w:r>
        <w:rPr>
          <w:rFonts w:hint="eastAsia" w:ascii="宋体" w:hAnsi="宋体" w:cs="宋体"/>
          <w:color w:val="000000"/>
          <w:kern w:val="10"/>
          <w:sz w:val="24"/>
          <w:highlight w:val="none"/>
          <w:lang w:val="en-US" w:eastAsia="zh-CN"/>
        </w:rPr>
        <w:t>投标人</w:t>
      </w:r>
      <w:r>
        <w:rPr>
          <w:rFonts w:hint="eastAsia" w:ascii="宋体" w:hAnsi="宋体" w:cs="宋体"/>
          <w:color w:val="000000"/>
          <w:kern w:val="10"/>
          <w:sz w:val="24"/>
          <w:highlight w:val="none"/>
        </w:rPr>
        <w:t>，根据磋商文件要求，现郑重承诺如下：</w:t>
      </w:r>
    </w:p>
    <w:p w14:paraId="52A22DBB">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一、具备《中华人民共和国政府采购法》第二十二条第一款和本项目规定的条件：</w:t>
      </w:r>
    </w:p>
    <w:p w14:paraId="677C6333">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（一）具有独立承担民事责任的能力；</w:t>
      </w:r>
    </w:p>
    <w:p w14:paraId="1C726DC7">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（二）具有良好的商业信誉和健全的财务会计制度；</w:t>
      </w:r>
    </w:p>
    <w:p w14:paraId="4D9E31E1">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（三）具有履行合同所必需的设备和专业技术能力；</w:t>
      </w:r>
    </w:p>
    <w:p w14:paraId="10195FF4">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（四）有依法缴纳税收和社会保障资金的良好记录；</w:t>
      </w:r>
    </w:p>
    <w:p w14:paraId="39110CC0">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（五）参加政府采购活动前三年内，在经营活动中没有重大违法记录；</w:t>
      </w:r>
    </w:p>
    <w:p w14:paraId="7C04AE34">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（六）法律、行政法规规定的其他条件；</w:t>
      </w:r>
    </w:p>
    <w:p w14:paraId="66783ADF">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（七）根据招标项目提出的特殊条件。</w:t>
      </w:r>
    </w:p>
    <w:p w14:paraId="56FF3029">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67A67AC0">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三、参加本次招标采购活动，不存在与单位负责人为同一人或者存在直接控股、管理关系的其他投标人参与同一合同项下的政府采购活动的行为。</w:t>
      </w:r>
    </w:p>
    <w:p w14:paraId="18CEC4F2">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四、参加本次招标采购活动，不存在为招标项目提供整体设计、规范编制或者项目管理、监理、检测等服务的行为。</w:t>
      </w:r>
    </w:p>
    <w:p w14:paraId="5A920C23">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五、参加本次招标采购活动，不存在和其他投标人在同一合同项下的采购项目中，同时委托同一个自然人、同一家庭的人员、同一单位的人员作为代理人的行为。</w:t>
      </w:r>
    </w:p>
    <w:p w14:paraId="4DB428E9">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六、投标人参加本次政府采购活动要求在近三年内投标人和其法定代表人没有行贿犯罪行为。</w:t>
      </w:r>
    </w:p>
    <w:p w14:paraId="0ED81F7C">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七、参加本次招标采购活动，不存在联合体投标。</w:t>
      </w:r>
    </w:p>
    <w:p w14:paraId="7D35E0FF">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八、投标文件中提供的能够给予我公司带来优惠、好处的任何材料资料和技术、服务、商务等响应承诺情况都是真实的、有效的、合法的。</w:t>
      </w:r>
    </w:p>
    <w:p w14:paraId="23C05043">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九、存在以下行为之一的愿意接受相关部门的处理：</w:t>
      </w:r>
    </w:p>
    <w:p w14:paraId="3C120E26">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（一）投标有效期内撤销投标文件的；</w:t>
      </w:r>
    </w:p>
    <w:p w14:paraId="5F5B4A7B">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（二）在招标人确定中标人以前放弃中标候选资格的；</w:t>
      </w:r>
    </w:p>
    <w:p w14:paraId="6CD6229E">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（三）由于中标人的原因未能按照磋商文件的规定与招标人签订合同；</w:t>
      </w:r>
    </w:p>
    <w:p w14:paraId="5E6AB64D">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（四）由于中标人的原因未能按照磋商文件的规定交纳履约保证金；</w:t>
      </w:r>
    </w:p>
    <w:p w14:paraId="0EF8D6A9">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（五）在投标文件中提供虚假材料谋取中标；</w:t>
      </w:r>
    </w:p>
    <w:p w14:paraId="6BF928B8">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（六）与招标人、其他投标人或者招标代理机构恶意串通的；</w:t>
      </w:r>
    </w:p>
    <w:p w14:paraId="36841990">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（七）投标有效期内，投标人在政府采购活动中有违法、违规、违纪行为。</w:t>
      </w:r>
    </w:p>
    <w:p w14:paraId="2C9C6303">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由此产生的一切法律后果和责任由我公司承担。我公司声明放弃对此提出任何异议和追索的权利。</w:t>
      </w:r>
    </w:p>
    <w:p w14:paraId="5822BB10">
      <w:pPr>
        <w:spacing w:line="360" w:lineRule="auto"/>
        <w:ind w:firstLine="480" w:firstLineChars="200"/>
        <w:rPr>
          <w:rFonts w:ascii="宋体" w:hAnsi="宋体" w:cs="宋体"/>
          <w:color w:val="000000"/>
          <w:kern w:val="10"/>
          <w:sz w:val="24"/>
          <w:highlight w:val="none"/>
        </w:rPr>
      </w:pPr>
      <w:r>
        <w:rPr>
          <w:rFonts w:hint="eastAsia" w:ascii="宋体" w:hAnsi="宋体" w:cs="宋体"/>
          <w:color w:val="000000"/>
          <w:kern w:val="10"/>
          <w:sz w:val="24"/>
          <w:highlight w:val="none"/>
        </w:rPr>
        <w:t>本公司对上述承诺的内容事项真实性负责。如经查实上述承诺的内容事项存在虚假，我公司愿意接受以提供虚假材料谋取中标追究法律责任。</w:t>
      </w:r>
    </w:p>
    <w:p w14:paraId="1F1660B0">
      <w:pPr>
        <w:spacing w:line="360" w:lineRule="auto"/>
        <w:ind w:firstLine="480" w:firstLineChars="200"/>
        <w:rPr>
          <w:rFonts w:ascii="宋体" w:hAnsi="宋体" w:cs="宋体"/>
          <w:color w:val="000000"/>
          <w:kern w:val="10"/>
          <w:sz w:val="24"/>
          <w:highlight w:val="none"/>
        </w:rPr>
      </w:pPr>
    </w:p>
    <w:p w14:paraId="7B7C1D76">
      <w:pPr>
        <w:spacing w:line="360" w:lineRule="auto"/>
        <w:ind w:firstLine="480" w:firstLineChars="200"/>
        <w:rPr>
          <w:rFonts w:ascii="宋体" w:hAnsi="宋体" w:cs="宋体"/>
          <w:color w:val="000000"/>
          <w:kern w:val="10"/>
          <w:sz w:val="24"/>
          <w:highlight w:val="none"/>
        </w:rPr>
      </w:pPr>
    </w:p>
    <w:p w14:paraId="6A64F19D">
      <w:pPr>
        <w:spacing w:line="360" w:lineRule="auto"/>
        <w:ind w:firstLine="480" w:firstLineChars="200"/>
        <w:rPr>
          <w:rFonts w:ascii="宋体" w:hAnsi="宋体" w:cs="宋体"/>
          <w:color w:val="000000"/>
          <w:kern w:val="10"/>
          <w:sz w:val="24"/>
          <w:highlight w:val="none"/>
        </w:rPr>
      </w:pPr>
    </w:p>
    <w:p w14:paraId="1826B820">
      <w:pPr>
        <w:spacing w:line="360" w:lineRule="auto"/>
        <w:ind w:firstLine="480" w:firstLineChars="200"/>
        <w:rPr>
          <w:rFonts w:ascii="宋体" w:hAnsi="宋体" w:cs="宋体"/>
          <w:color w:val="000000"/>
          <w:kern w:val="10"/>
          <w:sz w:val="24"/>
          <w:highlight w:val="none"/>
        </w:rPr>
      </w:pPr>
    </w:p>
    <w:p w14:paraId="039C1B23">
      <w:pPr>
        <w:spacing w:line="360" w:lineRule="auto"/>
        <w:jc w:val="right"/>
        <w:rPr>
          <w:rFonts w:ascii="宋体" w:hAnsi="宋体" w:cs="宋体"/>
          <w:color w:val="000000"/>
          <w:kern w:val="10"/>
          <w:sz w:val="24"/>
          <w:highlight w:val="none"/>
        </w:rPr>
      </w:pPr>
      <w:r>
        <w:rPr>
          <w:rFonts w:hint="eastAsia" w:ascii="宋体" w:hAnsi="宋体" w:cs="宋体"/>
          <w:color w:val="000000"/>
          <w:kern w:val="10"/>
          <w:sz w:val="24"/>
          <w:highlight w:val="none"/>
          <w:lang w:val="en-US" w:eastAsia="zh-CN"/>
        </w:rPr>
        <w:t>供应商</w:t>
      </w:r>
      <w:r>
        <w:rPr>
          <w:rFonts w:hint="eastAsia" w:ascii="宋体" w:hAnsi="宋体" w:cs="宋体"/>
          <w:color w:val="000000"/>
          <w:kern w:val="10"/>
          <w:sz w:val="24"/>
          <w:highlight w:val="none"/>
        </w:rPr>
        <w:t>：</w:t>
      </w:r>
      <w:r>
        <w:rPr>
          <w:rFonts w:hint="eastAsia" w:ascii="宋体" w:hAnsi="宋体" w:cs="宋体"/>
          <w:color w:val="000000"/>
          <w:kern w:val="10"/>
          <w:sz w:val="24"/>
          <w:highlight w:val="none"/>
          <w:u w:val="single"/>
        </w:rPr>
        <w:t xml:space="preserve">                     （电子签章）</w:t>
      </w:r>
    </w:p>
    <w:p w14:paraId="3F26F963">
      <w:pPr>
        <w:spacing w:line="360" w:lineRule="auto"/>
        <w:jc w:val="right"/>
        <w:rPr>
          <w:rFonts w:ascii="宋体" w:hAnsi="宋体" w:cs="宋体"/>
          <w:color w:val="000000"/>
          <w:kern w:val="10"/>
          <w:sz w:val="24"/>
          <w:highlight w:val="none"/>
          <w:u w:val="single"/>
        </w:rPr>
      </w:pPr>
      <w:r>
        <w:rPr>
          <w:rFonts w:hint="eastAsia" w:ascii="宋体" w:hAnsi="宋体" w:cs="宋体"/>
          <w:color w:val="000000"/>
          <w:kern w:val="10"/>
          <w:sz w:val="24"/>
          <w:highlight w:val="none"/>
        </w:rPr>
        <w:t>法定代表人：</w:t>
      </w:r>
      <w:r>
        <w:rPr>
          <w:rFonts w:hint="eastAsia" w:ascii="宋体" w:hAnsi="宋体" w:cs="宋体"/>
          <w:color w:val="000000"/>
          <w:kern w:val="10"/>
          <w:sz w:val="24"/>
          <w:highlight w:val="none"/>
          <w:u w:val="single"/>
        </w:rPr>
        <w:t xml:space="preserve">                 （电子签章）</w:t>
      </w:r>
    </w:p>
    <w:p w14:paraId="00BD2A74">
      <w:pPr>
        <w:spacing w:line="360" w:lineRule="auto"/>
        <w:jc w:val="right"/>
        <w:rPr>
          <w:rFonts w:ascii="宋体" w:hAnsi="宋体" w:cs="宋体"/>
          <w:color w:val="000000"/>
          <w:kern w:val="10"/>
          <w:sz w:val="24"/>
          <w:highlight w:val="none"/>
        </w:rPr>
      </w:pPr>
      <w:r>
        <w:rPr>
          <w:rFonts w:hint="eastAsia" w:ascii="宋体" w:hAnsi="宋体" w:cs="宋体"/>
          <w:color w:val="000000"/>
          <w:kern w:val="10"/>
          <w:sz w:val="24"/>
          <w:highlight w:val="none"/>
        </w:rPr>
        <w:t xml:space="preserve">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年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 月</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日</w:t>
      </w:r>
    </w:p>
    <w:p w14:paraId="2D3166D7">
      <w:pPr>
        <w:rPr>
          <w:highlight w:val="none"/>
        </w:rPr>
      </w:pPr>
    </w:p>
    <w:p w14:paraId="4A34FE23">
      <w:pPr>
        <w:rPr>
          <w:highlight w:val="none"/>
        </w:rPr>
      </w:pPr>
    </w:p>
    <w:p w14:paraId="31A29EAF">
      <w:pPr>
        <w:pStyle w:val="7"/>
        <w:rPr>
          <w:highlight w:val="none"/>
        </w:rPr>
      </w:pPr>
    </w:p>
    <w:p w14:paraId="20BE3809">
      <w:pPr>
        <w:pStyle w:val="7"/>
        <w:rPr>
          <w:highlight w:val="none"/>
        </w:rPr>
      </w:pPr>
    </w:p>
    <w:p w14:paraId="7977AAC6">
      <w:pPr>
        <w:pStyle w:val="7"/>
        <w:rPr>
          <w:highlight w:val="none"/>
        </w:rPr>
      </w:pPr>
    </w:p>
    <w:p w14:paraId="0CACFF8F">
      <w:pPr>
        <w:pStyle w:val="7"/>
        <w:rPr>
          <w:highlight w:val="none"/>
        </w:rPr>
      </w:pPr>
    </w:p>
    <w:p w14:paraId="62A7DABD">
      <w:pPr>
        <w:pStyle w:val="7"/>
        <w:rPr>
          <w:highlight w:val="none"/>
        </w:rPr>
      </w:pPr>
    </w:p>
    <w:p w14:paraId="59918A1D">
      <w:pPr>
        <w:pStyle w:val="7"/>
        <w:rPr>
          <w:highlight w:val="none"/>
        </w:rPr>
      </w:pPr>
    </w:p>
    <w:p w14:paraId="237FE820">
      <w:pPr>
        <w:pStyle w:val="7"/>
        <w:rPr>
          <w:highlight w:val="none"/>
        </w:rPr>
      </w:pPr>
    </w:p>
    <w:p w14:paraId="09A7BF81">
      <w:pPr>
        <w:pStyle w:val="7"/>
        <w:rPr>
          <w:highlight w:val="none"/>
        </w:rPr>
      </w:pPr>
    </w:p>
    <w:p w14:paraId="353C29A1">
      <w:pPr>
        <w:pStyle w:val="7"/>
        <w:rPr>
          <w:highlight w:val="none"/>
        </w:rPr>
      </w:pPr>
    </w:p>
    <w:p w14:paraId="60B28878">
      <w:pPr>
        <w:pStyle w:val="7"/>
        <w:rPr>
          <w:highlight w:val="none"/>
        </w:rPr>
      </w:pPr>
    </w:p>
    <w:p w14:paraId="30C6EE5D">
      <w:pPr>
        <w:pStyle w:val="7"/>
        <w:rPr>
          <w:highlight w:val="none"/>
        </w:rPr>
      </w:pPr>
    </w:p>
    <w:p w14:paraId="3DB2506D">
      <w:pPr>
        <w:pStyle w:val="7"/>
        <w:rPr>
          <w:highlight w:val="none"/>
        </w:rPr>
      </w:pPr>
    </w:p>
    <w:p w14:paraId="34C5E280">
      <w:pPr>
        <w:pStyle w:val="7"/>
        <w:rPr>
          <w:highlight w:val="none"/>
        </w:rPr>
      </w:pPr>
    </w:p>
    <w:p w14:paraId="67E83F31">
      <w:pPr>
        <w:pStyle w:val="7"/>
        <w:rPr>
          <w:highlight w:val="none"/>
        </w:rPr>
      </w:pPr>
    </w:p>
    <w:p w14:paraId="79FF0EEE">
      <w:pPr>
        <w:pStyle w:val="7"/>
        <w:rPr>
          <w:highlight w:val="none"/>
        </w:rPr>
      </w:pPr>
    </w:p>
    <w:p w14:paraId="5C9CE983">
      <w:pPr>
        <w:pStyle w:val="7"/>
        <w:rPr>
          <w:highlight w:val="none"/>
        </w:rPr>
      </w:pPr>
    </w:p>
    <w:p w14:paraId="55CF3FD2">
      <w:pPr>
        <w:pStyle w:val="7"/>
        <w:rPr>
          <w:highlight w:val="none"/>
        </w:rPr>
      </w:pPr>
    </w:p>
    <w:p w14:paraId="78D18E43">
      <w:pPr>
        <w:pStyle w:val="7"/>
        <w:rPr>
          <w:highlight w:val="none"/>
        </w:rPr>
      </w:pPr>
    </w:p>
    <w:p w14:paraId="6D205040">
      <w:pPr>
        <w:pStyle w:val="7"/>
        <w:rPr>
          <w:highlight w:val="none"/>
        </w:rPr>
      </w:pPr>
    </w:p>
    <w:p w14:paraId="4231B3FF">
      <w:pPr>
        <w:pStyle w:val="7"/>
        <w:rPr>
          <w:highlight w:val="none"/>
        </w:rPr>
      </w:pPr>
    </w:p>
    <w:p w14:paraId="55B87D25">
      <w:pPr>
        <w:spacing w:line="360" w:lineRule="auto"/>
        <w:rPr>
          <w:rFonts w:hint="eastAsia" w:ascii="宋体" w:hAnsi="宋体"/>
          <w:b/>
          <w:bCs/>
          <w:sz w:val="24"/>
          <w:highlight w:val="none"/>
        </w:rPr>
      </w:pPr>
    </w:p>
    <w:p w14:paraId="3FF3C5A1">
      <w:pPr>
        <w:spacing w:line="360" w:lineRule="auto"/>
        <w:jc w:val="center"/>
        <w:rPr>
          <w:rFonts w:ascii="宋体" w:hAnsi="宋体"/>
          <w:b/>
          <w:bCs/>
          <w:color w:val="000000"/>
          <w:sz w:val="24"/>
          <w:highlight w:val="none"/>
        </w:rPr>
      </w:pPr>
      <w:r>
        <w:rPr>
          <w:rFonts w:hint="eastAsia" w:ascii="宋体" w:hAnsi="宋体"/>
          <w:b/>
          <w:bCs/>
          <w:sz w:val="24"/>
          <w:highlight w:val="none"/>
        </w:rPr>
        <w:t>（四）</w:t>
      </w:r>
      <w:r>
        <w:rPr>
          <w:rFonts w:hint="eastAsia" w:ascii="宋体" w:hAnsi="宋体"/>
          <w:b/>
          <w:bCs/>
          <w:sz w:val="24"/>
          <w:highlight w:val="none"/>
          <w:lang w:val="en-US" w:eastAsia="zh-CN"/>
        </w:rPr>
        <w:t>供应商</w:t>
      </w:r>
      <w:r>
        <w:rPr>
          <w:rFonts w:hint="eastAsia" w:ascii="宋体" w:hAnsi="宋体"/>
          <w:b/>
          <w:bCs/>
          <w:sz w:val="24"/>
          <w:highlight w:val="none"/>
        </w:rPr>
        <w:t>具有20</w:t>
      </w:r>
      <w:r>
        <w:rPr>
          <w:rFonts w:hint="eastAsia" w:ascii="宋体" w:hAnsi="宋体"/>
          <w:b/>
          <w:bCs/>
          <w:sz w:val="24"/>
          <w:highlight w:val="none"/>
          <w:lang w:val="en-US" w:eastAsia="zh-CN"/>
        </w:rPr>
        <w:t>21</w:t>
      </w:r>
      <w:r>
        <w:rPr>
          <w:rFonts w:hint="eastAsia" w:ascii="宋体" w:hAnsi="宋体"/>
          <w:b/>
          <w:bCs/>
          <w:sz w:val="24"/>
          <w:highlight w:val="none"/>
        </w:rPr>
        <w:t>年1月1日以来的</w:t>
      </w:r>
      <w:r>
        <w:rPr>
          <w:rFonts w:hint="eastAsia" w:ascii="宋体" w:hAnsi="宋体"/>
          <w:b/>
          <w:bCs/>
          <w:color w:val="000000"/>
          <w:sz w:val="24"/>
          <w:highlight w:val="none"/>
        </w:rPr>
        <w:t>招标范围类似</w:t>
      </w:r>
      <w:r>
        <w:rPr>
          <w:rFonts w:hint="eastAsia" w:ascii="宋体" w:hAnsi="宋体"/>
          <w:b/>
          <w:bCs/>
          <w:sz w:val="24"/>
          <w:highlight w:val="none"/>
        </w:rPr>
        <w:t>业绩</w:t>
      </w:r>
      <w:r>
        <w:rPr>
          <w:rFonts w:hint="eastAsia" w:ascii="宋体" w:hAnsi="宋体" w:cs="宋体"/>
          <w:b/>
          <w:bCs/>
          <w:color w:val="000000"/>
          <w:sz w:val="24"/>
          <w:szCs w:val="22"/>
          <w:highlight w:val="none"/>
        </w:rPr>
        <w:t>（如有）</w:t>
      </w:r>
      <w:r>
        <w:rPr>
          <w:rFonts w:hint="eastAsia" w:ascii="宋体" w:hAnsi="宋体"/>
          <w:b/>
          <w:bCs/>
          <w:color w:val="000000"/>
          <w:sz w:val="24"/>
          <w:highlight w:val="none"/>
        </w:rPr>
        <w:t>；</w:t>
      </w:r>
    </w:p>
    <w:p w14:paraId="7DDD2AFB">
      <w:pPr>
        <w:pStyle w:val="4"/>
        <w:ind w:left="0" w:leftChars="0" w:firstLine="0" w:firstLineChars="0"/>
        <w:jc w:val="center"/>
        <w:rPr>
          <w:rFonts w:ascii="宋体" w:hAnsi="宋体" w:eastAsia="宋体" w:cs="Calibri"/>
          <w:b/>
          <w:bCs/>
          <w:kern w:val="2"/>
          <w:sz w:val="24"/>
          <w:highlight w:val="none"/>
        </w:rPr>
      </w:pPr>
      <w:r>
        <w:rPr>
          <w:rFonts w:hint="eastAsia" w:ascii="宋体" w:hAnsi="宋体" w:eastAsia="宋体" w:cs="Calibri"/>
          <w:b/>
          <w:bCs/>
          <w:kern w:val="2"/>
          <w:sz w:val="24"/>
          <w:highlight w:val="none"/>
        </w:rPr>
        <w:t>(五）综合实力证明材料（企业信用、企业认证证书等）</w:t>
      </w:r>
    </w:p>
    <w:p w14:paraId="2693FF4D">
      <w:pPr>
        <w:spacing w:line="360" w:lineRule="auto"/>
        <w:jc w:val="center"/>
        <w:rPr>
          <w:rFonts w:ascii="宋体" w:hAnsi="宋体" w:cs="宋体"/>
          <w:b/>
          <w:bCs/>
          <w:color w:val="000000"/>
          <w:kern w:val="0"/>
          <w:sz w:val="24"/>
          <w:highlight w:val="none"/>
        </w:rPr>
      </w:pPr>
      <w:r>
        <w:rPr>
          <w:rFonts w:hint="eastAsia" w:ascii="宋体" w:hAnsi="宋体" w:cs="Arial"/>
          <w:b/>
          <w:bCs/>
          <w:sz w:val="24"/>
          <w:highlight w:val="none"/>
        </w:rPr>
        <w:t>（六）服务团队人员配备</w:t>
      </w:r>
      <w:r>
        <w:rPr>
          <w:rFonts w:hint="eastAsia" w:ascii="宋体" w:hAnsi="宋体" w:cs="Arial"/>
          <w:b/>
          <w:bCs/>
          <w:sz w:val="24"/>
          <w:highlight w:val="none"/>
          <w:lang w:eastAsia="zh-CN"/>
        </w:rPr>
        <w:t>情况</w:t>
      </w:r>
      <w:r>
        <w:rPr>
          <w:rFonts w:hint="eastAsia" w:ascii="宋体" w:hAnsi="宋体" w:cs="Arial"/>
          <w:b/>
          <w:bCs/>
          <w:sz w:val="24"/>
          <w:highlight w:val="none"/>
        </w:rPr>
        <w:t>；</w:t>
      </w:r>
    </w:p>
    <w:p w14:paraId="38F87DAE">
      <w:pPr>
        <w:jc w:val="center"/>
        <w:rPr>
          <w:b/>
          <w:sz w:val="24"/>
          <w:highlight w:val="none"/>
          <w:lang w:val="zh-CN" w:bidi="zh-CN"/>
        </w:rPr>
      </w:pPr>
    </w:p>
    <w:p w14:paraId="71E07D7A">
      <w:pPr>
        <w:spacing w:line="360" w:lineRule="auto"/>
        <w:jc w:val="center"/>
        <w:rPr>
          <w:rFonts w:ascii="宋体" w:hAnsi="宋体" w:cs="宋体"/>
          <w:color w:val="000000"/>
          <w:kern w:val="10"/>
          <w:sz w:val="24"/>
          <w:highlight w:val="none"/>
          <w:lang w:val="zh-CN"/>
        </w:rPr>
      </w:pPr>
      <w:bookmarkStart w:id="194" w:name="_Toc3658"/>
      <w:bookmarkStart w:id="195" w:name="_Toc30545"/>
      <w:bookmarkStart w:id="196" w:name="_Toc4240"/>
      <w:r>
        <w:rPr>
          <w:rFonts w:hint="eastAsia" w:ascii="宋体" w:hAnsi="宋体" w:cs="宋体"/>
          <w:color w:val="000000"/>
          <w:kern w:val="10"/>
          <w:sz w:val="24"/>
          <w:highlight w:val="none"/>
          <w:lang w:val="zh-CN"/>
        </w:rPr>
        <w:t>拟派主要人员汇总表</w:t>
      </w:r>
      <w:bookmarkEnd w:id="194"/>
      <w:bookmarkEnd w:id="195"/>
      <w:bookmarkEnd w:id="196"/>
    </w:p>
    <w:p w14:paraId="2865CE52">
      <w:pPr>
        <w:rPr>
          <w:b/>
          <w:sz w:val="10"/>
          <w:szCs w:val="21"/>
          <w:highlight w:val="none"/>
          <w:lang w:val="zh-CN" w:bidi="zh-CN"/>
        </w:rPr>
      </w:pPr>
    </w:p>
    <w:tbl>
      <w:tblPr>
        <w:tblStyle w:val="14"/>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2"/>
        <w:gridCol w:w="1290"/>
        <w:gridCol w:w="1392"/>
        <w:gridCol w:w="2670"/>
        <w:gridCol w:w="1907"/>
        <w:gridCol w:w="1004"/>
      </w:tblGrid>
      <w:tr w14:paraId="020B0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457" w:type="pct"/>
            <w:noWrap w:val="0"/>
            <w:vAlign w:val="center"/>
          </w:tcPr>
          <w:p w14:paraId="1925CA4B">
            <w:pPr>
              <w:spacing w:line="360" w:lineRule="auto"/>
              <w:jc w:val="center"/>
              <w:rPr>
                <w:sz w:val="24"/>
                <w:highlight w:val="none"/>
                <w:lang w:val="zh-CN" w:bidi="zh-CN"/>
              </w:rPr>
            </w:pPr>
            <w:r>
              <w:rPr>
                <w:sz w:val="24"/>
                <w:highlight w:val="none"/>
                <w:lang w:val="zh-CN" w:bidi="zh-CN"/>
              </w:rPr>
              <w:t>序号</w:t>
            </w:r>
          </w:p>
        </w:tc>
        <w:tc>
          <w:tcPr>
            <w:tcW w:w="709" w:type="pct"/>
            <w:noWrap w:val="0"/>
            <w:vAlign w:val="center"/>
          </w:tcPr>
          <w:p w14:paraId="288613D4">
            <w:pPr>
              <w:spacing w:line="360" w:lineRule="auto"/>
              <w:jc w:val="center"/>
              <w:rPr>
                <w:sz w:val="24"/>
                <w:highlight w:val="none"/>
                <w:lang w:val="zh-CN" w:bidi="zh-CN"/>
              </w:rPr>
            </w:pPr>
            <w:r>
              <w:rPr>
                <w:rFonts w:hint="eastAsia"/>
                <w:sz w:val="24"/>
                <w:highlight w:val="none"/>
                <w:lang w:bidi="zh-CN"/>
              </w:rPr>
              <w:t>职务</w:t>
            </w:r>
          </w:p>
        </w:tc>
        <w:tc>
          <w:tcPr>
            <w:tcW w:w="765" w:type="pct"/>
            <w:noWrap w:val="0"/>
            <w:vAlign w:val="center"/>
          </w:tcPr>
          <w:p w14:paraId="3C5F677F">
            <w:pPr>
              <w:spacing w:line="360" w:lineRule="auto"/>
              <w:jc w:val="center"/>
              <w:rPr>
                <w:sz w:val="24"/>
                <w:highlight w:val="none"/>
                <w:lang w:val="zh-CN" w:bidi="zh-CN"/>
              </w:rPr>
            </w:pPr>
            <w:r>
              <w:rPr>
                <w:sz w:val="24"/>
                <w:highlight w:val="none"/>
                <w:lang w:val="zh-CN" w:bidi="zh-CN"/>
              </w:rPr>
              <w:t>姓名</w:t>
            </w:r>
          </w:p>
        </w:tc>
        <w:tc>
          <w:tcPr>
            <w:tcW w:w="1467" w:type="pct"/>
            <w:noWrap w:val="0"/>
            <w:vAlign w:val="center"/>
          </w:tcPr>
          <w:p w14:paraId="21A473B6">
            <w:pPr>
              <w:spacing w:line="360" w:lineRule="auto"/>
              <w:jc w:val="center"/>
              <w:rPr>
                <w:sz w:val="24"/>
                <w:highlight w:val="none"/>
                <w:lang w:bidi="zh-CN"/>
              </w:rPr>
            </w:pPr>
            <w:r>
              <w:rPr>
                <w:rFonts w:hint="eastAsia"/>
                <w:sz w:val="24"/>
                <w:highlight w:val="none"/>
                <w:lang w:bidi="zh-CN"/>
              </w:rPr>
              <w:t>身份证号</w:t>
            </w:r>
          </w:p>
        </w:tc>
        <w:tc>
          <w:tcPr>
            <w:tcW w:w="1048" w:type="pct"/>
            <w:noWrap w:val="0"/>
            <w:vAlign w:val="center"/>
          </w:tcPr>
          <w:p w14:paraId="6CCA0CF5">
            <w:pPr>
              <w:spacing w:line="360" w:lineRule="auto"/>
              <w:jc w:val="center"/>
              <w:rPr>
                <w:sz w:val="24"/>
                <w:highlight w:val="none"/>
                <w:lang w:bidi="zh-CN"/>
              </w:rPr>
            </w:pPr>
            <w:r>
              <w:rPr>
                <w:rFonts w:hint="eastAsia"/>
                <w:sz w:val="24"/>
                <w:highlight w:val="none"/>
                <w:lang w:bidi="zh-CN"/>
              </w:rPr>
              <w:t>是否缴纳社保</w:t>
            </w:r>
          </w:p>
        </w:tc>
        <w:tc>
          <w:tcPr>
            <w:tcW w:w="551" w:type="pct"/>
            <w:noWrap w:val="0"/>
            <w:vAlign w:val="center"/>
          </w:tcPr>
          <w:p w14:paraId="7BE29BCD">
            <w:pPr>
              <w:spacing w:line="360" w:lineRule="auto"/>
              <w:jc w:val="center"/>
              <w:rPr>
                <w:sz w:val="24"/>
                <w:highlight w:val="none"/>
                <w:lang w:val="zh-CN" w:bidi="zh-CN"/>
              </w:rPr>
            </w:pPr>
            <w:r>
              <w:rPr>
                <w:sz w:val="24"/>
                <w:highlight w:val="none"/>
                <w:lang w:val="zh-CN" w:bidi="zh-CN"/>
              </w:rPr>
              <w:t>备注</w:t>
            </w:r>
          </w:p>
        </w:tc>
      </w:tr>
      <w:tr w14:paraId="5DF5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42F8447B">
            <w:pPr>
              <w:spacing w:line="360" w:lineRule="auto"/>
              <w:jc w:val="center"/>
              <w:rPr>
                <w:sz w:val="24"/>
                <w:highlight w:val="none"/>
                <w:lang w:val="zh-CN" w:bidi="zh-CN"/>
              </w:rPr>
            </w:pPr>
          </w:p>
        </w:tc>
        <w:tc>
          <w:tcPr>
            <w:tcW w:w="709" w:type="pct"/>
            <w:noWrap w:val="0"/>
            <w:vAlign w:val="center"/>
          </w:tcPr>
          <w:p w14:paraId="27448DE1">
            <w:pPr>
              <w:spacing w:line="360" w:lineRule="auto"/>
              <w:jc w:val="center"/>
              <w:rPr>
                <w:sz w:val="24"/>
                <w:highlight w:val="none"/>
                <w:lang w:val="zh-CN" w:bidi="zh-CN"/>
              </w:rPr>
            </w:pPr>
          </w:p>
        </w:tc>
        <w:tc>
          <w:tcPr>
            <w:tcW w:w="765" w:type="pct"/>
            <w:noWrap w:val="0"/>
            <w:vAlign w:val="center"/>
          </w:tcPr>
          <w:p w14:paraId="60A930BA">
            <w:pPr>
              <w:spacing w:line="360" w:lineRule="auto"/>
              <w:jc w:val="center"/>
              <w:rPr>
                <w:sz w:val="24"/>
                <w:highlight w:val="none"/>
                <w:lang w:val="zh-CN" w:bidi="zh-CN"/>
              </w:rPr>
            </w:pPr>
          </w:p>
        </w:tc>
        <w:tc>
          <w:tcPr>
            <w:tcW w:w="1467" w:type="pct"/>
            <w:noWrap w:val="0"/>
            <w:vAlign w:val="center"/>
          </w:tcPr>
          <w:p w14:paraId="05A8333B">
            <w:pPr>
              <w:spacing w:line="360" w:lineRule="auto"/>
              <w:jc w:val="center"/>
              <w:rPr>
                <w:sz w:val="24"/>
                <w:highlight w:val="none"/>
                <w:lang w:val="zh-CN" w:bidi="zh-CN"/>
              </w:rPr>
            </w:pPr>
          </w:p>
        </w:tc>
        <w:tc>
          <w:tcPr>
            <w:tcW w:w="1048" w:type="pct"/>
            <w:noWrap w:val="0"/>
            <w:vAlign w:val="center"/>
          </w:tcPr>
          <w:p w14:paraId="524B3B92">
            <w:pPr>
              <w:spacing w:line="360" w:lineRule="auto"/>
              <w:jc w:val="center"/>
              <w:rPr>
                <w:sz w:val="24"/>
                <w:highlight w:val="none"/>
                <w:lang w:val="zh-CN" w:bidi="zh-CN"/>
              </w:rPr>
            </w:pPr>
          </w:p>
        </w:tc>
        <w:tc>
          <w:tcPr>
            <w:tcW w:w="551" w:type="pct"/>
            <w:noWrap w:val="0"/>
            <w:vAlign w:val="center"/>
          </w:tcPr>
          <w:p w14:paraId="43BA8D08">
            <w:pPr>
              <w:spacing w:line="360" w:lineRule="auto"/>
              <w:jc w:val="center"/>
              <w:rPr>
                <w:sz w:val="24"/>
                <w:highlight w:val="none"/>
                <w:lang w:val="zh-CN" w:bidi="zh-CN"/>
              </w:rPr>
            </w:pPr>
          </w:p>
        </w:tc>
      </w:tr>
      <w:tr w14:paraId="59F61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0DF723AC">
            <w:pPr>
              <w:spacing w:line="360" w:lineRule="auto"/>
              <w:jc w:val="center"/>
              <w:rPr>
                <w:sz w:val="24"/>
                <w:highlight w:val="none"/>
                <w:lang w:val="zh-CN" w:bidi="zh-CN"/>
              </w:rPr>
            </w:pPr>
          </w:p>
        </w:tc>
        <w:tc>
          <w:tcPr>
            <w:tcW w:w="709" w:type="pct"/>
            <w:noWrap w:val="0"/>
            <w:vAlign w:val="center"/>
          </w:tcPr>
          <w:p w14:paraId="6A97C882">
            <w:pPr>
              <w:spacing w:line="360" w:lineRule="auto"/>
              <w:jc w:val="center"/>
              <w:rPr>
                <w:sz w:val="24"/>
                <w:highlight w:val="none"/>
                <w:lang w:val="zh-CN" w:bidi="zh-CN"/>
              </w:rPr>
            </w:pPr>
          </w:p>
        </w:tc>
        <w:tc>
          <w:tcPr>
            <w:tcW w:w="765" w:type="pct"/>
            <w:noWrap w:val="0"/>
            <w:vAlign w:val="center"/>
          </w:tcPr>
          <w:p w14:paraId="6078146F">
            <w:pPr>
              <w:spacing w:line="360" w:lineRule="auto"/>
              <w:jc w:val="center"/>
              <w:rPr>
                <w:sz w:val="24"/>
                <w:highlight w:val="none"/>
                <w:lang w:val="zh-CN" w:bidi="zh-CN"/>
              </w:rPr>
            </w:pPr>
          </w:p>
        </w:tc>
        <w:tc>
          <w:tcPr>
            <w:tcW w:w="1467" w:type="pct"/>
            <w:noWrap w:val="0"/>
            <w:vAlign w:val="center"/>
          </w:tcPr>
          <w:p w14:paraId="61608147">
            <w:pPr>
              <w:spacing w:line="360" w:lineRule="auto"/>
              <w:jc w:val="center"/>
              <w:rPr>
                <w:sz w:val="24"/>
                <w:highlight w:val="none"/>
                <w:lang w:val="zh-CN" w:bidi="zh-CN"/>
              </w:rPr>
            </w:pPr>
          </w:p>
        </w:tc>
        <w:tc>
          <w:tcPr>
            <w:tcW w:w="1048" w:type="pct"/>
            <w:noWrap w:val="0"/>
            <w:vAlign w:val="center"/>
          </w:tcPr>
          <w:p w14:paraId="39A8F72F">
            <w:pPr>
              <w:spacing w:line="360" w:lineRule="auto"/>
              <w:jc w:val="center"/>
              <w:rPr>
                <w:sz w:val="24"/>
                <w:highlight w:val="none"/>
                <w:lang w:val="zh-CN" w:bidi="zh-CN"/>
              </w:rPr>
            </w:pPr>
          </w:p>
        </w:tc>
        <w:tc>
          <w:tcPr>
            <w:tcW w:w="551" w:type="pct"/>
            <w:noWrap w:val="0"/>
            <w:vAlign w:val="center"/>
          </w:tcPr>
          <w:p w14:paraId="38BA0BF2">
            <w:pPr>
              <w:spacing w:line="360" w:lineRule="auto"/>
              <w:jc w:val="center"/>
              <w:rPr>
                <w:sz w:val="24"/>
                <w:highlight w:val="none"/>
                <w:lang w:val="zh-CN" w:bidi="zh-CN"/>
              </w:rPr>
            </w:pPr>
          </w:p>
        </w:tc>
      </w:tr>
      <w:tr w14:paraId="0FE84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57" w:type="pct"/>
            <w:noWrap w:val="0"/>
            <w:vAlign w:val="center"/>
          </w:tcPr>
          <w:p w14:paraId="2C813628">
            <w:pPr>
              <w:spacing w:line="360" w:lineRule="auto"/>
              <w:jc w:val="center"/>
              <w:rPr>
                <w:sz w:val="24"/>
                <w:highlight w:val="none"/>
                <w:lang w:val="zh-CN" w:bidi="zh-CN"/>
              </w:rPr>
            </w:pPr>
          </w:p>
        </w:tc>
        <w:tc>
          <w:tcPr>
            <w:tcW w:w="709" w:type="pct"/>
            <w:noWrap w:val="0"/>
            <w:vAlign w:val="center"/>
          </w:tcPr>
          <w:p w14:paraId="74BFFB50">
            <w:pPr>
              <w:spacing w:line="360" w:lineRule="auto"/>
              <w:jc w:val="center"/>
              <w:rPr>
                <w:sz w:val="24"/>
                <w:highlight w:val="none"/>
                <w:lang w:val="zh-CN" w:bidi="zh-CN"/>
              </w:rPr>
            </w:pPr>
          </w:p>
        </w:tc>
        <w:tc>
          <w:tcPr>
            <w:tcW w:w="765" w:type="pct"/>
            <w:noWrap w:val="0"/>
            <w:vAlign w:val="center"/>
          </w:tcPr>
          <w:p w14:paraId="0DB6235D">
            <w:pPr>
              <w:spacing w:line="360" w:lineRule="auto"/>
              <w:jc w:val="center"/>
              <w:rPr>
                <w:sz w:val="24"/>
                <w:highlight w:val="none"/>
                <w:lang w:val="zh-CN" w:bidi="zh-CN"/>
              </w:rPr>
            </w:pPr>
          </w:p>
        </w:tc>
        <w:tc>
          <w:tcPr>
            <w:tcW w:w="1467" w:type="pct"/>
            <w:noWrap w:val="0"/>
            <w:vAlign w:val="center"/>
          </w:tcPr>
          <w:p w14:paraId="63646551">
            <w:pPr>
              <w:spacing w:line="360" w:lineRule="auto"/>
              <w:jc w:val="center"/>
              <w:rPr>
                <w:sz w:val="24"/>
                <w:highlight w:val="none"/>
                <w:lang w:val="zh-CN" w:bidi="zh-CN"/>
              </w:rPr>
            </w:pPr>
          </w:p>
        </w:tc>
        <w:tc>
          <w:tcPr>
            <w:tcW w:w="1048" w:type="pct"/>
            <w:noWrap w:val="0"/>
            <w:vAlign w:val="center"/>
          </w:tcPr>
          <w:p w14:paraId="6F3E4087">
            <w:pPr>
              <w:spacing w:line="360" w:lineRule="auto"/>
              <w:jc w:val="center"/>
              <w:rPr>
                <w:sz w:val="24"/>
                <w:highlight w:val="none"/>
                <w:lang w:val="zh-CN" w:bidi="zh-CN"/>
              </w:rPr>
            </w:pPr>
          </w:p>
        </w:tc>
        <w:tc>
          <w:tcPr>
            <w:tcW w:w="551" w:type="pct"/>
            <w:noWrap w:val="0"/>
            <w:vAlign w:val="center"/>
          </w:tcPr>
          <w:p w14:paraId="6AAF468A">
            <w:pPr>
              <w:spacing w:line="360" w:lineRule="auto"/>
              <w:jc w:val="center"/>
              <w:rPr>
                <w:sz w:val="24"/>
                <w:highlight w:val="none"/>
                <w:lang w:val="zh-CN" w:bidi="zh-CN"/>
              </w:rPr>
            </w:pPr>
          </w:p>
        </w:tc>
      </w:tr>
      <w:tr w14:paraId="6D3F3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36890A46">
            <w:pPr>
              <w:spacing w:line="360" w:lineRule="auto"/>
              <w:jc w:val="center"/>
              <w:rPr>
                <w:sz w:val="24"/>
                <w:highlight w:val="none"/>
                <w:lang w:val="zh-CN" w:bidi="zh-CN"/>
              </w:rPr>
            </w:pPr>
          </w:p>
        </w:tc>
        <w:tc>
          <w:tcPr>
            <w:tcW w:w="709" w:type="pct"/>
            <w:noWrap w:val="0"/>
            <w:vAlign w:val="center"/>
          </w:tcPr>
          <w:p w14:paraId="24782E10">
            <w:pPr>
              <w:spacing w:line="360" w:lineRule="auto"/>
              <w:jc w:val="center"/>
              <w:rPr>
                <w:sz w:val="24"/>
                <w:highlight w:val="none"/>
                <w:lang w:val="zh-CN" w:bidi="zh-CN"/>
              </w:rPr>
            </w:pPr>
          </w:p>
        </w:tc>
        <w:tc>
          <w:tcPr>
            <w:tcW w:w="765" w:type="pct"/>
            <w:noWrap w:val="0"/>
            <w:vAlign w:val="center"/>
          </w:tcPr>
          <w:p w14:paraId="6940203D">
            <w:pPr>
              <w:spacing w:line="360" w:lineRule="auto"/>
              <w:jc w:val="center"/>
              <w:rPr>
                <w:sz w:val="24"/>
                <w:highlight w:val="none"/>
                <w:lang w:val="zh-CN" w:bidi="zh-CN"/>
              </w:rPr>
            </w:pPr>
          </w:p>
        </w:tc>
        <w:tc>
          <w:tcPr>
            <w:tcW w:w="1467" w:type="pct"/>
            <w:noWrap w:val="0"/>
            <w:vAlign w:val="center"/>
          </w:tcPr>
          <w:p w14:paraId="2CD08B32">
            <w:pPr>
              <w:spacing w:line="360" w:lineRule="auto"/>
              <w:jc w:val="center"/>
              <w:rPr>
                <w:sz w:val="24"/>
                <w:highlight w:val="none"/>
                <w:lang w:val="zh-CN" w:bidi="zh-CN"/>
              </w:rPr>
            </w:pPr>
          </w:p>
        </w:tc>
        <w:tc>
          <w:tcPr>
            <w:tcW w:w="1048" w:type="pct"/>
            <w:noWrap w:val="0"/>
            <w:vAlign w:val="center"/>
          </w:tcPr>
          <w:p w14:paraId="37E673FC">
            <w:pPr>
              <w:spacing w:line="360" w:lineRule="auto"/>
              <w:jc w:val="center"/>
              <w:rPr>
                <w:sz w:val="24"/>
                <w:highlight w:val="none"/>
                <w:lang w:val="zh-CN" w:bidi="zh-CN"/>
              </w:rPr>
            </w:pPr>
          </w:p>
        </w:tc>
        <w:tc>
          <w:tcPr>
            <w:tcW w:w="551" w:type="pct"/>
            <w:noWrap w:val="0"/>
            <w:vAlign w:val="center"/>
          </w:tcPr>
          <w:p w14:paraId="0C1A1E9D">
            <w:pPr>
              <w:spacing w:line="360" w:lineRule="auto"/>
              <w:jc w:val="center"/>
              <w:rPr>
                <w:sz w:val="24"/>
                <w:highlight w:val="none"/>
                <w:lang w:val="zh-CN" w:bidi="zh-CN"/>
              </w:rPr>
            </w:pPr>
          </w:p>
        </w:tc>
      </w:tr>
      <w:tr w14:paraId="1E857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07C7D098">
            <w:pPr>
              <w:spacing w:line="360" w:lineRule="auto"/>
              <w:jc w:val="center"/>
              <w:rPr>
                <w:sz w:val="24"/>
                <w:highlight w:val="none"/>
                <w:lang w:val="zh-CN" w:bidi="zh-CN"/>
              </w:rPr>
            </w:pPr>
          </w:p>
        </w:tc>
        <w:tc>
          <w:tcPr>
            <w:tcW w:w="709" w:type="pct"/>
            <w:noWrap w:val="0"/>
            <w:vAlign w:val="center"/>
          </w:tcPr>
          <w:p w14:paraId="37EE2F54">
            <w:pPr>
              <w:spacing w:line="360" w:lineRule="auto"/>
              <w:jc w:val="center"/>
              <w:rPr>
                <w:sz w:val="24"/>
                <w:highlight w:val="none"/>
                <w:lang w:val="zh-CN" w:bidi="zh-CN"/>
              </w:rPr>
            </w:pPr>
          </w:p>
        </w:tc>
        <w:tc>
          <w:tcPr>
            <w:tcW w:w="765" w:type="pct"/>
            <w:noWrap w:val="0"/>
            <w:vAlign w:val="center"/>
          </w:tcPr>
          <w:p w14:paraId="487E83CA">
            <w:pPr>
              <w:spacing w:line="360" w:lineRule="auto"/>
              <w:jc w:val="center"/>
              <w:rPr>
                <w:sz w:val="24"/>
                <w:highlight w:val="none"/>
                <w:lang w:val="zh-CN" w:bidi="zh-CN"/>
              </w:rPr>
            </w:pPr>
          </w:p>
        </w:tc>
        <w:tc>
          <w:tcPr>
            <w:tcW w:w="1467" w:type="pct"/>
            <w:noWrap w:val="0"/>
            <w:vAlign w:val="center"/>
          </w:tcPr>
          <w:p w14:paraId="08B096AC">
            <w:pPr>
              <w:spacing w:line="360" w:lineRule="auto"/>
              <w:jc w:val="center"/>
              <w:rPr>
                <w:sz w:val="24"/>
                <w:highlight w:val="none"/>
                <w:lang w:val="zh-CN" w:bidi="zh-CN"/>
              </w:rPr>
            </w:pPr>
          </w:p>
        </w:tc>
        <w:tc>
          <w:tcPr>
            <w:tcW w:w="1048" w:type="pct"/>
            <w:noWrap w:val="0"/>
            <w:vAlign w:val="center"/>
          </w:tcPr>
          <w:p w14:paraId="3893CC97">
            <w:pPr>
              <w:spacing w:line="360" w:lineRule="auto"/>
              <w:jc w:val="center"/>
              <w:rPr>
                <w:sz w:val="24"/>
                <w:highlight w:val="none"/>
                <w:lang w:val="zh-CN" w:bidi="zh-CN"/>
              </w:rPr>
            </w:pPr>
          </w:p>
        </w:tc>
        <w:tc>
          <w:tcPr>
            <w:tcW w:w="551" w:type="pct"/>
            <w:noWrap w:val="0"/>
            <w:vAlign w:val="center"/>
          </w:tcPr>
          <w:p w14:paraId="1A0F3D5B">
            <w:pPr>
              <w:spacing w:line="360" w:lineRule="auto"/>
              <w:jc w:val="center"/>
              <w:rPr>
                <w:sz w:val="24"/>
                <w:highlight w:val="none"/>
                <w:lang w:val="zh-CN" w:bidi="zh-CN"/>
              </w:rPr>
            </w:pPr>
          </w:p>
        </w:tc>
      </w:tr>
      <w:tr w14:paraId="3B905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01A9AD69">
            <w:pPr>
              <w:spacing w:line="360" w:lineRule="auto"/>
              <w:jc w:val="center"/>
              <w:rPr>
                <w:sz w:val="24"/>
                <w:highlight w:val="none"/>
                <w:lang w:val="zh-CN" w:bidi="zh-CN"/>
              </w:rPr>
            </w:pPr>
          </w:p>
        </w:tc>
        <w:tc>
          <w:tcPr>
            <w:tcW w:w="709" w:type="pct"/>
            <w:noWrap w:val="0"/>
            <w:vAlign w:val="center"/>
          </w:tcPr>
          <w:p w14:paraId="7898A493">
            <w:pPr>
              <w:spacing w:line="360" w:lineRule="auto"/>
              <w:jc w:val="center"/>
              <w:rPr>
                <w:sz w:val="24"/>
                <w:highlight w:val="none"/>
                <w:lang w:val="zh-CN" w:bidi="zh-CN"/>
              </w:rPr>
            </w:pPr>
          </w:p>
        </w:tc>
        <w:tc>
          <w:tcPr>
            <w:tcW w:w="765" w:type="pct"/>
            <w:noWrap w:val="0"/>
            <w:vAlign w:val="center"/>
          </w:tcPr>
          <w:p w14:paraId="2E622D84">
            <w:pPr>
              <w:spacing w:line="360" w:lineRule="auto"/>
              <w:jc w:val="center"/>
              <w:rPr>
                <w:sz w:val="24"/>
                <w:highlight w:val="none"/>
                <w:lang w:val="zh-CN" w:bidi="zh-CN"/>
              </w:rPr>
            </w:pPr>
          </w:p>
        </w:tc>
        <w:tc>
          <w:tcPr>
            <w:tcW w:w="1467" w:type="pct"/>
            <w:noWrap w:val="0"/>
            <w:vAlign w:val="center"/>
          </w:tcPr>
          <w:p w14:paraId="567E66DD">
            <w:pPr>
              <w:spacing w:line="360" w:lineRule="auto"/>
              <w:jc w:val="center"/>
              <w:rPr>
                <w:sz w:val="24"/>
                <w:highlight w:val="none"/>
                <w:lang w:val="zh-CN" w:bidi="zh-CN"/>
              </w:rPr>
            </w:pPr>
          </w:p>
        </w:tc>
        <w:tc>
          <w:tcPr>
            <w:tcW w:w="1048" w:type="pct"/>
            <w:noWrap w:val="0"/>
            <w:vAlign w:val="center"/>
          </w:tcPr>
          <w:p w14:paraId="6F3FC0B0">
            <w:pPr>
              <w:spacing w:line="360" w:lineRule="auto"/>
              <w:jc w:val="center"/>
              <w:rPr>
                <w:sz w:val="24"/>
                <w:highlight w:val="none"/>
                <w:lang w:val="zh-CN" w:bidi="zh-CN"/>
              </w:rPr>
            </w:pPr>
          </w:p>
        </w:tc>
        <w:tc>
          <w:tcPr>
            <w:tcW w:w="551" w:type="pct"/>
            <w:noWrap w:val="0"/>
            <w:vAlign w:val="center"/>
          </w:tcPr>
          <w:p w14:paraId="5888898E">
            <w:pPr>
              <w:spacing w:line="360" w:lineRule="auto"/>
              <w:jc w:val="center"/>
              <w:rPr>
                <w:sz w:val="24"/>
                <w:highlight w:val="none"/>
                <w:lang w:val="zh-CN" w:bidi="zh-CN"/>
              </w:rPr>
            </w:pPr>
          </w:p>
        </w:tc>
      </w:tr>
      <w:tr w14:paraId="66964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77EC4F1F">
            <w:pPr>
              <w:spacing w:line="360" w:lineRule="auto"/>
              <w:jc w:val="center"/>
              <w:rPr>
                <w:sz w:val="24"/>
                <w:highlight w:val="none"/>
                <w:lang w:val="zh-CN" w:bidi="zh-CN"/>
              </w:rPr>
            </w:pPr>
          </w:p>
        </w:tc>
        <w:tc>
          <w:tcPr>
            <w:tcW w:w="709" w:type="pct"/>
            <w:noWrap w:val="0"/>
            <w:vAlign w:val="center"/>
          </w:tcPr>
          <w:p w14:paraId="2C9C0684">
            <w:pPr>
              <w:spacing w:line="360" w:lineRule="auto"/>
              <w:jc w:val="center"/>
              <w:rPr>
                <w:sz w:val="24"/>
                <w:highlight w:val="none"/>
                <w:lang w:val="zh-CN" w:bidi="zh-CN"/>
              </w:rPr>
            </w:pPr>
          </w:p>
        </w:tc>
        <w:tc>
          <w:tcPr>
            <w:tcW w:w="765" w:type="pct"/>
            <w:noWrap w:val="0"/>
            <w:vAlign w:val="center"/>
          </w:tcPr>
          <w:p w14:paraId="6A12FBB1">
            <w:pPr>
              <w:spacing w:line="360" w:lineRule="auto"/>
              <w:jc w:val="center"/>
              <w:rPr>
                <w:sz w:val="24"/>
                <w:highlight w:val="none"/>
                <w:lang w:val="zh-CN" w:bidi="zh-CN"/>
              </w:rPr>
            </w:pPr>
          </w:p>
        </w:tc>
        <w:tc>
          <w:tcPr>
            <w:tcW w:w="1467" w:type="pct"/>
            <w:noWrap w:val="0"/>
            <w:vAlign w:val="center"/>
          </w:tcPr>
          <w:p w14:paraId="18A72AAF">
            <w:pPr>
              <w:spacing w:line="360" w:lineRule="auto"/>
              <w:jc w:val="center"/>
              <w:rPr>
                <w:sz w:val="24"/>
                <w:highlight w:val="none"/>
                <w:lang w:val="zh-CN" w:bidi="zh-CN"/>
              </w:rPr>
            </w:pPr>
          </w:p>
        </w:tc>
        <w:tc>
          <w:tcPr>
            <w:tcW w:w="1048" w:type="pct"/>
            <w:noWrap w:val="0"/>
            <w:vAlign w:val="center"/>
          </w:tcPr>
          <w:p w14:paraId="0220A4C8">
            <w:pPr>
              <w:spacing w:line="360" w:lineRule="auto"/>
              <w:jc w:val="center"/>
              <w:rPr>
                <w:sz w:val="24"/>
                <w:highlight w:val="none"/>
                <w:lang w:val="zh-CN" w:bidi="zh-CN"/>
              </w:rPr>
            </w:pPr>
          </w:p>
        </w:tc>
        <w:tc>
          <w:tcPr>
            <w:tcW w:w="551" w:type="pct"/>
            <w:noWrap w:val="0"/>
            <w:vAlign w:val="center"/>
          </w:tcPr>
          <w:p w14:paraId="6154112A">
            <w:pPr>
              <w:spacing w:line="360" w:lineRule="auto"/>
              <w:jc w:val="center"/>
              <w:rPr>
                <w:sz w:val="24"/>
                <w:highlight w:val="none"/>
                <w:lang w:val="zh-CN" w:bidi="zh-CN"/>
              </w:rPr>
            </w:pPr>
          </w:p>
        </w:tc>
      </w:tr>
      <w:tr w14:paraId="42AFD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208DA2BD">
            <w:pPr>
              <w:spacing w:line="360" w:lineRule="auto"/>
              <w:jc w:val="center"/>
              <w:rPr>
                <w:sz w:val="24"/>
                <w:highlight w:val="none"/>
                <w:lang w:val="zh-CN" w:bidi="zh-CN"/>
              </w:rPr>
            </w:pPr>
          </w:p>
        </w:tc>
        <w:tc>
          <w:tcPr>
            <w:tcW w:w="709" w:type="pct"/>
            <w:noWrap w:val="0"/>
            <w:vAlign w:val="center"/>
          </w:tcPr>
          <w:p w14:paraId="03936EC1">
            <w:pPr>
              <w:spacing w:line="360" w:lineRule="auto"/>
              <w:jc w:val="center"/>
              <w:rPr>
                <w:sz w:val="24"/>
                <w:highlight w:val="none"/>
                <w:lang w:val="zh-CN" w:bidi="zh-CN"/>
              </w:rPr>
            </w:pPr>
          </w:p>
        </w:tc>
        <w:tc>
          <w:tcPr>
            <w:tcW w:w="765" w:type="pct"/>
            <w:noWrap w:val="0"/>
            <w:vAlign w:val="center"/>
          </w:tcPr>
          <w:p w14:paraId="08C2F146">
            <w:pPr>
              <w:spacing w:line="360" w:lineRule="auto"/>
              <w:jc w:val="center"/>
              <w:rPr>
                <w:sz w:val="24"/>
                <w:highlight w:val="none"/>
                <w:lang w:val="zh-CN" w:bidi="zh-CN"/>
              </w:rPr>
            </w:pPr>
          </w:p>
        </w:tc>
        <w:tc>
          <w:tcPr>
            <w:tcW w:w="1467" w:type="pct"/>
            <w:noWrap w:val="0"/>
            <w:vAlign w:val="center"/>
          </w:tcPr>
          <w:p w14:paraId="5B740B9C">
            <w:pPr>
              <w:spacing w:line="360" w:lineRule="auto"/>
              <w:jc w:val="center"/>
              <w:rPr>
                <w:sz w:val="24"/>
                <w:highlight w:val="none"/>
                <w:lang w:val="zh-CN" w:bidi="zh-CN"/>
              </w:rPr>
            </w:pPr>
          </w:p>
        </w:tc>
        <w:tc>
          <w:tcPr>
            <w:tcW w:w="1048" w:type="pct"/>
            <w:noWrap w:val="0"/>
            <w:vAlign w:val="center"/>
          </w:tcPr>
          <w:p w14:paraId="02CF972A">
            <w:pPr>
              <w:spacing w:line="360" w:lineRule="auto"/>
              <w:jc w:val="center"/>
              <w:rPr>
                <w:sz w:val="24"/>
                <w:highlight w:val="none"/>
                <w:lang w:val="zh-CN" w:bidi="zh-CN"/>
              </w:rPr>
            </w:pPr>
          </w:p>
        </w:tc>
        <w:tc>
          <w:tcPr>
            <w:tcW w:w="551" w:type="pct"/>
            <w:noWrap w:val="0"/>
            <w:vAlign w:val="center"/>
          </w:tcPr>
          <w:p w14:paraId="77D26055">
            <w:pPr>
              <w:spacing w:line="360" w:lineRule="auto"/>
              <w:jc w:val="center"/>
              <w:rPr>
                <w:sz w:val="24"/>
                <w:highlight w:val="none"/>
                <w:lang w:val="zh-CN" w:bidi="zh-CN"/>
              </w:rPr>
            </w:pPr>
          </w:p>
        </w:tc>
      </w:tr>
      <w:tr w14:paraId="0B5E1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6B27AD44">
            <w:pPr>
              <w:spacing w:line="360" w:lineRule="auto"/>
              <w:jc w:val="center"/>
              <w:rPr>
                <w:sz w:val="24"/>
                <w:highlight w:val="none"/>
                <w:lang w:val="zh-CN" w:bidi="zh-CN"/>
              </w:rPr>
            </w:pPr>
          </w:p>
        </w:tc>
        <w:tc>
          <w:tcPr>
            <w:tcW w:w="709" w:type="pct"/>
            <w:noWrap w:val="0"/>
            <w:vAlign w:val="center"/>
          </w:tcPr>
          <w:p w14:paraId="35D283DA">
            <w:pPr>
              <w:spacing w:line="360" w:lineRule="auto"/>
              <w:jc w:val="center"/>
              <w:rPr>
                <w:sz w:val="24"/>
                <w:highlight w:val="none"/>
                <w:lang w:val="zh-CN" w:bidi="zh-CN"/>
              </w:rPr>
            </w:pPr>
          </w:p>
        </w:tc>
        <w:tc>
          <w:tcPr>
            <w:tcW w:w="765" w:type="pct"/>
            <w:noWrap w:val="0"/>
            <w:vAlign w:val="center"/>
          </w:tcPr>
          <w:p w14:paraId="51AA2C82">
            <w:pPr>
              <w:spacing w:line="360" w:lineRule="auto"/>
              <w:jc w:val="center"/>
              <w:rPr>
                <w:sz w:val="24"/>
                <w:highlight w:val="none"/>
                <w:lang w:val="zh-CN" w:bidi="zh-CN"/>
              </w:rPr>
            </w:pPr>
          </w:p>
        </w:tc>
        <w:tc>
          <w:tcPr>
            <w:tcW w:w="1467" w:type="pct"/>
            <w:noWrap w:val="0"/>
            <w:vAlign w:val="center"/>
          </w:tcPr>
          <w:p w14:paraId="36A57F4C">
            <w:pPr>
              <w:spacing w:line="360" w:lineRule="auto"/>
              <w:jc w:val="center"/>
              <w:rPr>
                <w:sz w:val="24"/>
                <w:highlight w:val="none"/>
                <w:lang w:val="zh-CN" w:bidi="zh-CN"/>
              </w:rPr>
            </w:pPr>
          </w:p>
        </w:tc>
        <w:tc>
          <w:tcPr>
            <w:tcW w:w="1048" w:type="pct"/>
            <w:noWrap w:val="0"/>
            <w:vAlign w:val="center"/>
          </w:tcPr>
          <w:p w14:paraId="5DC29C61">
            <w:pPr>
              <w:spacing w:line="360" w:lineRule="auto"/>
              <w:jc w:val="center"/>
              <w:rPr>
                <w:sz w:val="24"/>
                <w:highlight w:val="none"/>
                <w:lang w:val="zh-CN" w:bidi="zh-CN"/>
              </w:rPr>
            </w:pPr>
          </w:p>
        </w:tc>
        <w:tc>
          <w:tcPr>
            <w:tcW w:w="551" w:type="pct"/>
            <w:noWrap w:val="0"/>
            <w:vAlign w:val="center"/>
          </w:tcPr>
          <w:p w14:paraId="2A60B0B2">
            <w:pPr>
              <w:spacing w:line="360" w:lineRule="auto"/>
              <w:jc w:val="center"/>
              <w:rPr>
                <w:sz w:val="24"/>
                <w:highlight w:val="none"/>
                <w:lang w:val="zh-CN" w:bidi="zh-CN"/>
              </w:rPr>
            </w:pPr>
          </w:p>
        </w:tc>
      </w:tr>
      <w:tr w14:paraId="4AA36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05506DC1">
            <w:pPr>
              <w:spacing w:line="360" w:lineRule="auto"/>
              <w:jc w:val="center"/>
              <w:rPr>
                <w:sz w:val="24"/>
                <w:highlight w:val="none"/>
                <w:lang w:val="zh-CN" w:bidi="zh-CN"/>
              </w:rPr>
            </w:pPr>
          </w:p>
        </w:tc>
        <w:tc>
          <w:tcPr>
            <w:tcW w:w="709" w:type="pct"/>
            <w:noWrap w:val="0"/>
            <w:vAlign w:val="center"/>
          </w:tcPr>
          <w:p w14:paraId="638B7126">
            <w:pPr>
              <w:spacing w:line="360" w:lineRule="auto"/>
              <w:jc w:val="center"/>
              <w:rPr>
                <w:sz w:val="24"/>
                <w:highlight w:val="none"/>
                <w:lang w:val="zh-CN" w:bidi="zh-CN"/>
              </w:rPr>
            </w:pPr>
          </w:p>
        </w:tc>
        <w:tc>
          <w:tcPr>
            <w:tcW w:w="765" w:type="pct"/>
            <w:noWrap w:val="0"/>
            <w:vAlign w:val="center"/>
          </w:tcPr>
          <w:p w14:paraId="2B623729">
            <w:pPr>
              <w:spacing w:line="360" w:lineRule="auto"/>
              <w:jc w:val="center"/>
              <w:rPr>
                <w:sz w:val="24"/>
                <w:highlight w:val="none"/>
                <w:lang w:val="zh-CN" w:bidi="zh-CN"/>
              </w:rPr>
            </w:pPr>
          </w:p>
        </w:tc>
        <w:tc>
          <w:tcPr>
            <w:tcW w:w="1467" w:type="pct"/>
            <w:noWrap w:val="0"/>
            <w:vAlign w:val="center"/>
          </w:tcPr>
          <w:p w14:paraId="7F0DF25E">
            <w:pPr>
              <w:spacing w:line="360" w:lineRule="auto"/>
              <w:jc w:val="center"/>
              <w:rPr>
                <w:sz w:val="24"/>
                <w:highlight w:val="none"/>
                <w:lang w:val="zh-CN" w:bidi="zh-CN"/>
              </w:rPr>
            </w:pPr>
          </w:p>
        </w:tc>
        <w:tc>
          <w:tcPr>
            <w:tcW w:w="1048" w:type="pct"/>
            <w:noWrap w:val="0"/>
            <w:vAlign w:val="center"/>
          </w:tcPr>
          <w:p w14:paraId="5E61360A">
            <w:pPr>
              <w:spacing w:line="360" w:lineRule="auto"/>
              <w:jc w:val="center"/>
              <w:rPr>
                <w:sz w:val="24"/>
                <w:highlight w:val="none"/>
                <w:lang w:val="zh-CN" w:bidi="zh-CN"/>
              </w:rPr>
            </w:pPr>
          </w:p>
        </w:tc>
        <w:tc>
          <w:tcPr>
            <w:tcW w:w="551" w:type="pct"/>
            <w:noWrap w:val="0"/>
            <w:vAlign w:val="center"/>
          </w:tcPr>
          <w:p w14:paraId="3BC1E74C">
            <w:pPr>
              <w:spacing w:line="360" w:lineRule="auto"/>
              <w:jc w:val="center"/>
              <w:rPr>
                <w:sz w:val="24"/>
                <w:highlight w:val="none"/>
                <w:lang w:val="zh-CN" w:bidi="zh-CN"/>
              </w:rPr>
            </w:pPr>
          </w:p>
        </w:tc>
      </w:tr>
      <w:tr w14:paraId="68467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7911FF3F">
            <w:pPr>
              <w:spacing w:line="360" w:lineRule="auto"/>
              <w:jc w:val="center"/>
              <w:rPr>
                <w:sz w:val="24"/>
                <w:highlight w:val="none"/>
                <w:lang w:val="zh-CN" w:bidi="zh-CN"/>
              </w:rPr>
            </w:pPr>
          </w:p>
        </w:tc>
        <w:tc>
          <w:tcPr>
            <w:tcW w:w="709" w:type="pct"/>
            <w:noWrap w:val="0"/>
            <w:vAlign w:val="center"/>
          </w:tcPr>
          <w:p w14:paraId="72A0C34E">
            <w:pPr>
              <w:spacing w:line="360" w:lineRule="auto"/>
              <w:jc w:val="center"/>
              <w:rPr>
                <w:sz w:val="24"/>
                <w:highlight w:val="none"/>
                <w:lang w:val="zh-CN" w:bidi="zh-CN"/>
              </w:rPr>
            </w:pPr>
          </w:p>
        </w:tc>
        <w:tc>
          <w:tcPr>
            <w:tcW w:w="765" w:type="pct"/>
            <w:noWrap w:val="0"/>
            <w:vAlign w:val="center"/>
          </w:tcPr>
          <w:p w14:paraId="545DACC7">
            <w:pPr>
              <w:spacing w:line="360" w:lineRule="auto"/>
              <w:jc w:val="center"/>
              <w:rPr>
                <w:sz w:val="24"/>
                <w:highlight w:val="none"/>
                <w:lang w:val="zh-CN" w:bidi="zh-CN"/>
              </w:rPr>
            </w:pPr>
          </w:p>
        </w:tc>
        <w:tc>
          <w:tcPr>
            <w:tcW w:w="1467" w:type="pct"/>
            <w:noWrap w:val="0"/>
            <w:vAlign w:val="center"/>
          </w:tcPr>
          <w:p w14:paraId="6A4A0A92">
            <w:pPr>
              <w:spacing w:line="360" w:lineRule="auto"/>
              <w:jc w:val="center"/>
              <w:rPr>
                <w:sz w:val="24"/>
                <w:highlight w:val="none"/>
                <w:lang w:val="zh-CN" w:bidi="zh-CN"/>
              </w:rPr>
            </w:pPr>
          </w:p>
        </w:tc>
        <w:tc>
          <w:tcPr>
            <w:tcW w:w="1048" w:type="pct"/>
            <w:noWrap w:val="0"/>
            <w:vAlign w:val="center"/>
          </w:tcPr>
          <w:p w14:paraId="3C6BD829">
            <w:pPr>
              <w:spacing w:line="360" w:lineRule="auto"/>
              <w:jc w:val="center"/>
              <w:rPr>
                <w:sz w:val="24"/>
                <w:highlight w:val="none"/>
                <w:lang w:val="zh-CN" w:bidi="zh-CN"/>
              </w:rPr>
            </w:pPr>
          </w:p>
        </w:tc>
        <w:tc>
          <w:tcPr>
            <w:tcW w:w="551" w:type="pct"/>
            <w:noWrap w:val="0"/>
            <w:vAlign w:val="center"/>
          </w:tcPr>
          <w:p w14:paraId="23DC7DEE">
            <w:pPr>
              <w:spacing w:line="360" w:lineRule="auto"/>
              <w:jc w:val="center"/>
              <w:rPr>
                <w:sz w:val="24"/>
                <w:highlight w:val="none"/>
                <w:lang w:val="zh-CN" w:bidi="zh-CN"/>
              </w:rPr>
            </w:pPr>
          </w:p>
        </w:tc>
      </w:tr>
      <w:tr w14:paraId="6C7E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457" w:type="pct"/>
            <w:noWrap w:val="0"/>
            <w:vAlign w:val="center"/>
          </w:tcPr>
          <w:p w14:paraId="29DA46EF">
            <w:pPr>
              <w:spacing w:line="360" w:lineRule="auto"/>
              <w:jc w:val="center"/>
              <w:rPr>
                <w:sz w:val="24"/>
                <w:highlight w:val="none"/>
                <w:lang w:val="zh-CN" w:bidi="zh-CN"/>
              </w:rPr>
            </w:pPr>
          </w:p>
        </w:tc>
        <w:tc>
          <w:tcPr>
            <w:tcW w:w="709" w:type="pct"/>
            <w:noWrap w:val="0"/>
            <w:vAlign w:val="center"/>
          </w:tcPr>
          <w:p w14:paraId="4A877987">
            <w:pPr>
              <w:spacing w:line="360" w:lineRule="auto"/>
              <w:jc w:val="center"/>
              <w:rPr>
                <w:sz w:val="24"/>
                <w:highlight w:val="none"/>
                <w:lang w:val="zh-CN" w:bidi="zh-CN"/>
              </w:rPr>
            </w:pPr>
          </w:p>
        </w:tc>
        <w:tc>
          <w:tcPr>
            <w:tcW w:w="765" w:type="pct"/>
            <w:noWrap w:val="0"/>
            <w:vAlign w:val="center"/>
          </w:tcPr>
          <w:p w14:paraId="492DA442">
            <w:pPr>
              <w:spacing w:line="360" w:lineRule="auto"/>
              <w:jc w:val="center"/>
              <w:rPr>
                <w:sz w:val="24"/>
                <w:highlight w:val="none"/>
                <w:lang w:val="zh-CN" w:bidi="zh-CN"/>
              </w:rPr>
            </w:pPr>
          </w:p>
        </w:tc>
        <w:tc>
          <w:tcPr>
            <w:tcW w:w="1467" w:type="pct"/>
            <w:noWrap w:val="0"/>
            <w:vAlign w:val="center"/>
          </w:tcPr>
          <w:p w14:paraId="4D1DF28A">
            <w:pPr>
              <w:spacing w:line="360" w:lineRule="auto"/>
              <w:jc w:val="center"/>
              <w:rPr>
                <w:sz w:val="24"/>
                <w:highlight w:val="none"/>
                <w:lang w:val="zh-CN" w:bidi="zh-CN"/>
              </w:rPr>
            </w:pPr>
          </w:p>
        </w:tc>
        <w:tc>
          <w:tcPr>
            <w:tcW w:w="1048" w:type="pct"/>
            <w:noWrap w:val="0"/>
            <w:vAlign w:val="center"/>
          </w:tcPr>
          <w:p w14:paraId="52E4B993">
            <w:pPr>
              <w:spacing w:line="360" w:lineRule="auto"/>
              <w:jc w:val="center"/>
              <w:rPr>
                <w:sz w:val="24"/>
                <w:highlight w:val="none"/>
                <w:lang w:val="zh-CN" w:bidi="zh-CN"/>
              </w:rPr>
            </w:pPr>
          </w:p>
        </w:tc>
        <w:tc>
          <w:tcPr>
            <w:tcW w:w="551" w:type="pct"/>
            <w:noWrap w:val="0"/>
            <w:vAlign w:val="center"/>
          </w:tcPr>
          <w:p w14:paraId="264C5163">
            <w:pPr>
              <w:spacing w:line="360" w:lineRule="auto"/>
              <w:jc w:val="center"/>
              <w:rPr>
                <w:sz w:val="24"/>
                <w:highlight w:val="none"/>
                <w:lang w:val="zh-CN" w:bidi="zh-CN"/>
              </w:rPr>
            </w:pPr>
          </w:p>
        </w:tc>
      </w:tr>
      <w:tr w14:paraId="3C4DA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57" w:type="pct"/>
            <w:noWrap w:val="0"/>
            <w:vAlign w:val="center"/>
          </w:tcPr>
          <w:p w14:paraId="18FABD7C">
            <w:pPr>
              <w:spacing w:line="360" w:lineRule="auto"/>
              <w:jc w:val="center"/>
              <w:rPr>
                <w:sz w:val="24"/>
                <w:highlight w:val="none"/>
                <w:lang w:val="zh-CN" w:bidi="zh-CN"/>
              </w:rPr>
            </w:pPr>
          </w:p>
        </w:tc>
        <w:tc>
          <w:tcPr>
            <w:tcW w:w="709" w:type="pct"/>
            <w:noWrap w:val="0"/>
            <w:vAlign w:val="center"/>
          </w:tcPr>
          <w:p w14:paraId="1BD05C0C">
            <w:pPr>
              <w:spacing w:line="360" w:lineRule="auto"/>
              <w:jc w:val="center"/>
              <w:rPr>
                <w:sz w:val="24"/>
                <w:highlight w:val="none"/>
                <w:lang w:val="zh-CN" w:bidi="zh-CN"/>
              </w:rPr>
            </w:pPr>
          </w:p>
        </w:tc>
        <w:tc>
          <w:tcPr>
            <w:tcW w:w="765" w:type="pct"/>
            <w:noWrap w:val="0"/>
            <w:vAlign w:val="center"/>
          </w:tcPr>
          <w:p w14:paraId="02090426">
            <w:pPr>
              <w:spacing w:line="360" w:lineRule="auto"/>
              <w:jc w:val="center"/>
              <w:rPr>
                <w:sz w:val="24"/>
                <w:highlight w:val="none"/>
                <w:lang w:val="zh-CN" w:bidi="zh-CN"/>
              </w:rPr>
            </w:pPr>
          </w:p>
        </w:tc>
        <w:tc>
          <w:tcPr>
            <w:tcW w:w="1467" w:type="pct"/>
            <w:noWrap w:val="0"/>
            <w:vAlign w:val="center"/>
          </w:tcPr>
          <w:p w14:paraId="6E26AAA6">
            <w:pPr>
              <w:spacing w:line="360" w:lineRule="auto"/>
              <w:jc w:val="center"/>
              <w:rPr>
                <w:sz w:val="24"/>
                <w:highlight w:val="none"/>
                <w:lang w:val="zh-CN" w:bidi="zh-CN"/>
              </w:rPr>
            </w:pPr>
          </w:p>
        </w:tc>
        <w:tc>
          <w:tcPr>
            <w:tcW w:w="1048" w:type="pct"/>
            <w:noWrap w:val="0"/>
            <w:vAlign w:val="center"/>
          </w:tcPr>
          <w:p w14:paraId="29CE24BB">
            <w:pPr>
              <w:spacing w:line="360" w:lineRule="auto"/>
              <w:jc w:val="center"/>
              <w:rPr>
                <w:sz w:val="24"/>
                <w:highlight w:val="none"/>
                <w:lang w:val="zh-CN" w:bidi="zh-CN"/>
              </w:rPr>
            </w:pPr>
          </w:p>
        </w:tc>
        <w:tc>
          <w:tcPr>
            <w:tcW w:w="551" w:type="pct"/>
            <w:noWrap w:val="0"/>
            <w:vAlign w:val="center"/>
          </w:tcPr>
          <w:p w14:paraId="67B551D1">
            <w:pPr>
              <w:spacing w:line="360" w:lineRule="auto"/>
              <w:jc w:val="center"/>
              <w:rPr>
                <w:sz w:val="24"/>
                <w:highlight w:val="none"/>
                <w:lang w:val="zh-CN" w:bidi="zh-CN"/>
              </w:rPr>
            </w:pPr>
          </w:p>
        </w:tc>
      </w:tr>
      <w:tr w14:paraId="7E203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57" w:type="pct"/>
            <w:noWrap w:val="0"/>
            <w:vAlign w:val="center"/>
          </w:tcPr>
          <w:p w14:paraId="2C4A54B1">
            <w:pPr>
              <w:spacing w:line="360" w:lineRule="auto"/>
              <w:jc w:val="center"/>
              <w:rPr>
                <w:sz w:val="24"/>
                <w:highlight w:val="none"/>
                <w:lang w:val="zh-CN" w:bidi="zh-CN"/>
              </w:rPr>
            </w:pPr>
          </w:p>
        </w:tc>
        <w:tc>
          <w:tcPr>
            <w:tcW w:w="709" w:type="pct"/>
            <w:noWrap w:val="0"/>
            <w:vAlign w:val="center"/>
          </w:tcPr>
          <w:p w14:paraId="74BBA30D">
            <w:pPr>
              <w:spacing w:line="360" w:lineRule="auto"/>
              <w:jc w:val="center"/>
              <w:rPr>
                <w:sz w:val="24"/>
                <w:highlight w:val="none"/>
                <w:lang w:val="zh-CN" w:bidi="zh-CN"/>
              </w:rPr>
            </w:pPr>
          </w:p>
        </w:tc>
        <w:tc>
          <w:tcPr>
            <w:tcW w:w="765" w:type="pct"/>
            <w:noWrap w:val="0"/>
            <w:vAlign w:val="center"/>
          </w:tcPr>
          <w:p w14:paraId="4DE814DC">
            <w:pPr>
              <w:spacing w:line="360" w:lineRule="auto"/>
              <w:jc w:val="center"/>
              <w:rPr>
                <w:sz w:val="24"/>
                <w:highlight w:val="none"/>
                <w:lang w:val="zh-CN" w:bidi="zh-CN"/>
              </w:rPr>
            </w:pPr>
          </w:p>
        </w:tc>
        <w:tc>
          <w:tcPr>
            <w:tcW w:w="1467" w:type="pct"/>
            <w:noWrap w:val="0"/>
            <w:vAlign w:val="center"/>
          </w:tcPr>
          <w:p w14:paraId="09E271B6">
            <w:pPr>
              <w:spacing w:line="360" w:lineRule="auto"/>
              <w:jc w:val="center"/>
              <w:rPr>
                <w:sz w:val="24"/>
                <w:highlight w:val="none"/>
                <w:lang w:val="zh-CN" w:bidi="zh-CN"/>
              </w:rPr>
            </w:pPr>
          </w:p>
        </w:tc>
        <w:tc>
          <w:tcPr>
            <w:tcW w:w="1048" w:type="pct"/>
            <w:noWrap w:val="0"/>
            <w:vAlign w:val="center"/>
          </w:tcPr>
          <w:p w14:paraId="1E3C08FC">
            <w:pPr>
              <w:spacing w:line="360" w:lineRule="auto"/>
              <w:jc w:val="center"/>
              <w:rPr>
                <w:sz w:val="24"/>
                <w:highlight w:val="none"/>
                <w:lang w:val="zh-CN" w:bidi="zh-CN"/>
              </w:rPr>
            </w:pPr>
          </w:p>
        </w:tc>
        <w:tc>
          <w:tcPr>
            <w:tcW w:w="551" w:type="pct"/>
            <w:noWrap w:val="0"/>
            <w:vAlign w:val="center"/>
          </w:tcPr>
          <w:p w14:paraId="048FF8EE">
            <w:pPr>
              <w:spacing w:line="360" w:lineRule="auto"/>
              <w:jc w:val="center"/>
              <w:rPr>
                <w:sz w:val="24"/>
                <w:highlight w:val="none"/>
                <w:lang w:val="zh-CN" w:bidi="zh-CN"/>
              </w:rPr>
            </w:pPr>
          </w:p>
        </w:tc>
      </w:tr>
      <w:tr w14:paraId="63BD6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457" w:type="pct"/>
            <w:noWrap w:val="0"/>
            <w:vAlign w:val="center"/>
          </w:tcPr>
          <w:p w14:paraId="6099D054">
            <w:pPr>
              <w:spacing w:line="360" w:lineRule="auto"/>
              <w:jc w:val="center"/>
              <w:rPr>
                <w:sz w:val="24"/>
                <w:highlight w:val="none"/>
                <w:lang w:val="zh-CN" w:bidi="zh-CN"/>
              </w:rPr>
            </w:pPr>
          </w:p>
        </w:tc>
        <w:tc>
          <w:tcPr>
            <w:tcW w:w="709" w:type="pct"/>
            <w:noWrap w:val="0"/>
            <w:vAlign w:val="center"/>
          </w:tcPr>
          <w:p w14:paraId="4950DFDC">
            <w:pPr>
              <w:spacing w:line="360" w:lineRule="auto"/>
              <w:jc w:val="center"/>
              <w:rPr>
                <w:sz w:val="24"/>
                <w:highlight w:val="none"/>
                <w:lang w:val="zh-CN" w:bidi="zh-CN"/>
              </w:rPr>
            </w:pPr>
          </w:p>
        </w:tc>
        <w:tc>
          <w:tcPr>
            <w:tcW w:w="765" w:type="pct"/>
            <w:noWrap w:val="0"/>
            <w:vAlign w:val="center"/>
          </w:tcPr>
          <w:p w14:paraId="5EEA5917">
            <w:pPr>
              <w:spacing w:line="360" w:lineRule="auto"/>
              <w:jc w:val="center"/>
              <w:rPr>
                <w:sz w:val="24"/>
                <w:highlight w:val="none"/>
                <w:lang w:val="zh-CN" w:bidi="zh-CN"/>
              </w:rPr>
            </w:pPr>
          </w:p>
        </w:tc>
        <w:tc>
          <w:tcPr>
            <w:tcW w:w="1467" w:type="pct"/>
            <w:noWrap w:val="0"/>
            <w:vAlign w:val="center"/>
          </w:tcPr>
          <w:p w14:paraId="20E7DE9E">
            <w:pPr>
              <w:spacing w:line="360" w:lineRule="auto"/>
              <w:jc w:val="center"/>
              <w:rPr>
                <w:sz w:val="24"/>
                <w:highlight w:val="none"/>
                <w:lang w:val="zh-CN" w:bidi="zh-CN"/>
              </w:rPr>
            </w:pPr>
          </w:p>
        </w:tc>
        <w:tc>
          <w:tcPr>
            <w:tcW w:w="1048" w:type="pct"/>
            <w:noWrap w:val="0"/>
            <w:vAlign w:val="center"/>
          </w:tcPr>
          <w:p w14:paraId="3BBE8256">
            <w:pPr>
              <w:spacing w:line="360" w:lineRule="auto"/>
              <w:jc w:val="center"/>
              <w:rPr>
                <w:sz w:val="24"/>
                <w:highlight w:val="none"/>
                <w:lang w:val="zh-CN" w:bidi="zh-CN"/>
              </w:rPr>
            </w:pPr>
          </w:p>
        </w:tc>
        <w:tc>
          <w:tcPr>
            <w:tcW w:w="551" w:type="pct"/>
            <w:noWrap w:val="0"/>
            <w:vAlign w:val="center"/>
          </w:tcPr>
          <w:p w14:paraId="612C829B">
            <w:pPr>
              <w:spacing w:line="360" w:lineRule="auto"/>
              <w:jc w:val="center"/>
              <w:rPr>
                <w:sz w:val="24"/>
                <w:highlight w:val="none"/>
                <w:lang w:val="zh-CN" w:bidi="zh-CN"/>
              </w:rPr>
            </w:pPr>
          </w:p>
        </w:tc>
      </w:tr>
    </w:tbl>
    <w:p w14:paraId="48ABE2A9">
      <w:pPr>
        <w:rPr>
          <w:b/>
          <w:bCs/>
          <w:szCs w:val="21"/>
          <w:highlight w:val="none"/>
          <w:lang w:bidi="zh-CN"/>
        </w:rPr>
      </w:pPr>
      <w:bookmarkStart w:id="197" w:name="(三)人员安排及管理制度"/>
      <w:bookmarkEnd w:id="197"/>
      <w:r>
        <w:rPr>
          <w:rFonts w:hint="eastAsia"/>
          <w:b/>
          <w:bCs/>
          <w:szCs w:val="21"/>
          <w:highlight w:val="none"/>
          <w:lang w:bidi="zh-CN"/>
        </w:rPr>
        <w:t>后附：相关人员证书扫描件并加盖公章</w:t>
      </w:r>
    </w:p>
    <w:p w14:paraId="7D02B16D">
      <w:pPr>
        <w:rPr>
          <w:b/>
          <w:bCs/>
          <w:szCs w:val="21"/>
          <w:highlight w:val="none"/>
          <w:lang w:val="zh-CN" w:bidi="zh-CN"/>
        </w:rPr>
      </w:pPr>
    </w:p>
    <w:p w14:paraId="7FA76296">
      <w:pPr>
        <w:rPr>
          <w:b/>
          <w:bCs/>
          <w:szCs w:val="21"/>
          <w:highlight w:val="none"/>
          <w:lang w:val="zh-CN" w:bidi="zh-CN"/>
        </w:rPr>
      </w:pPr>
    </w:p>
    <w:p w14:paraId="2410CF1C">
      <w:pPr>
        <w:pStyle w:val="4"/>
        <w:numPr>
          <w:ilvl w:val="0"/>
          <w:numId w:val="4"/>
        </w:numPr>
        <w:ind w:firstLine="0"/>
        <w:jc w:val="center"/>
        <w:rPr>
          <w:rFonts w:hint="eastAsia" w:ascii="宋体" w:hAnsi="宋体" w:eastAsia="宋体" w:cs="宋体"/>
          <w:b/>
          <w:bCs/>
          <w:color w:val="000000"/>
          <w:kern w:val="10"/>
          <w:sz w:val="24"/>
          <w:highlight w:val="none"/>
        </w:rPr>
      </w:pPr>
      <w:r>
        <w:rPr>
          <w:rFonts w:hint="eastAsia" w:ascii="宋体" w:hAnsi="宋体" w:eastAsia="宋体" w:cs="宋体"/>
          <w:b/>
          <w:bCs/>
          <w:color w:val="000000"/>
          <w:kern w:val="10"/>
          <w:sz w:val="24"/>
          <w:highlight w:val="none"/>
        </w:rPr>
        <w:t>供应商认为需要提供的其他资料</w:t>
      </w:r>
    </w:p>
    <w:p w14:paraId="1DF68C43">
      <w:pPr>
        <w:pStyle w:val="4"/>
        <w:numPr>
          <w:ilvl w:val="0"/>
          <w:numId w:val="0"/>
        </w:numPr>
        <w:jc w:val="center"/>
        <w:rPr>
          <w:rFonts w:ascii="宋体" w:hAnsi="宋体" w:eastAsia="宋体" w:cs="宋体"/>
          <w:b w:val="0"/>
          <w:bCs w:val="0"/>
          <w:color w:val="000000"/>
          <w:kern w:val="10"/>
          <w:sz w:val="24"/>
          <w:highlight w:val="none"/>
        </w:rPr>
      </w:pPr>
      <w:r>
        <w:rPr>
          <w:rFonts w:hint="eastAsia" w:ascii="宋体" w:hAnsi="宋体" w:eastAsia="宋体"/>
          <w:b w:val="0"/>
          <w:bCs w:val="0"/>
          <w:color w:val="000000"/>
          <w:sz w:val="24"/>
          <w:highlight w:val="none"/>
        </w:rPr>
        <w:t>（</w:t>
      </w:r>
      <w:bookmarkStart w:id="198" w:name="_Toc31769"/>
      <w:bookmarkStart w:id="199" w:name="_Toc26496"/>
      <w:bookmarkStart w:id="200" w:name="_Toc3211"/>
      <w:r>
        <w:rPr>
          <w:rFonts w:hint="eastAsia" w:ascii="宋体" w:hAnsi="宋体" w:eastAsia="宋体"/>
          <w:b w:val="0"/>
          <w:bCs w:val="0"/>
          <w:color w:val="000000"/>
          <w:sz w:val="24"/>
          <w:highlight w:val="none"/>
        </w:rPr>
        <w:t>投标人认为需要的其他资料</w:t>
      </w:r>
      <w:bookmarkEnd w:id="198"/>
      <w:bookmarkEnd w:id="199"/>
      <w:bookmarkEnd w:id="200"/>
      <w:r>
        <w:rPr>
          <w:rFonts w:hint="eastAsia" w:ascii="宋体" w:hAnsi="宋体" w:eastAsia="宋体"/>
          <w:b w:val="0"/>
          <w:bCs w:val="0"/>
          <w:color w:val="000000"/>
          <w:sz w:val="24"/>
          <w:highlight w:val="none"/>
        </w:rPr>
        <w:t>）</w:t>
      </w:r>
    </w:p>
    <w:p w14:paraId="146FF54B">
      <w:pPr>
        <w:spacing w:line="360" w:lineRule="auto"/>
        <w:rPr>
          <w:rFonts w:ascii="宋体" w:hAnsi="宋体" w:cs="宋体"/>
          <w:bCs/>
          <w:color w:val="000000"/>
          <w:kern w:val="10"/>
          <w:sz w:val="24"/>
          <w:highlight w:val="none"/>
        </w:rPr>
      </w:pPr>
    </w:p>
    <w:p w14:paraId="16C00E98">
      <w:pPr>
        <w:rPr>
          <w:color w:val="000000"/>
          <w:highlight w:val="none"/>
        </w:rPr>
      </w:pPr>
    </w:p>
    <w:p w14:paraId="37BB5A61">
      <w:pPr>
        <w:rPr>
          <w:color w:val="000000"/>
          <w:highlight w:val="none"/>
        </w:rPr>
      </w:pPr>
    </w:p>
    <w:p w14:paraId="70ED8A03">
      <w:pPr>
        <w:rPr>
          <w:highlight w:val="none"/>
        </w:rPr>
      </w:pPr>
    </w:p>
    <w:p w14:paraId="1F1CC7D9">
      <w:pPr>
        <w:rPr>
          <w:highlight w:val="none"/>
        </w:rPr>
      </w:pPr>
    </w:p>
    <w:sectPr>
      <w:footerReference r:id="rId4" w:type="default"/>
      <w:pgSz w:w="11906" w:h="16838"/>
      <w:pgMar w:top="1440" w:right="1418" w:bottom="1134" w:left="1418" w:header="851"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C007">
    <w:pPr>
      <w:pStyle w:val="10"/>
      <w:rPr>
        <w:rFonts w:ascii="宋体" w:hAnsi="宋体"/>
        <w:sz w:val="21"/>
        <w:szCs w:val="21"/>
      </w:rPr>
    </w:pPr>
  </w:p>
  <w:p w14:paraId="5033F9C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E80D">
    <w:pPr>
      <w:pStyle w:val="10"/>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A303958">
                          <w:pPr>
                            <w:pStyle w:val="10"/>
                          </w:pPr>
                          <w:r>
                            <w:fldChar w:fldCharType="begin"/>
                          </w:r>
                          <w:r>
                            <w:instrText xml:space="preserve"> PAGE  \* MERGEFORMAT </w:instrText>
                          </w:r>
                          <w:r>
                            <w:fldChar w:fldCharType="separate"/>
                          </w:r>
                          <w:r>
                            <w:t>70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1A303958">
                    <w:pPr>
                      <w:pStyle w:val="10"/>
                    </w:pPr>
                    <w:r>
                      <w:fldChar w:fldCharType="begin"/>
                    </w:r>
                    <w:r>
                      <w:instrText xml:space="preserve"> PAGE  \* MERGEFORMAT </w:instrText>
                    </w:r>
                    <w:r>
                      <w:fldChar w:fldCharType="separate"/>
                    </w:r>
                    <w:r>
                      <w:t>70</w:t>
                    </w:r>
                    <w:r>
                      <w:fldChar w:fldCharType="end"/>
                    </w:r>
                  </w:p>
                </w:txbxContent>
              </v:textbox>
            </v:shape>
          </w:pict>
        </mc:Fallback>
      </mc:AlternateContent>
    </w:r>
  </w:p>
  <w:p w14:paraId="7C941FEF">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325E8"/>
    <w:multiLevelType w:val="singleLevel"/>
    <w:tmpl w:val="87A325E8"/>
    <w:lvl w:ilvl="0" w:tentative="0">
      <w:start w:val="1"/>
      <w:numFmt w:val="decimal"/>
      <w:suff w:val="nothing"/>
      <w:lvlText w:val="%1、"/>
      <w:lvlJc w:val="left"/>
    </w:lvl>
  </w:abstractNum>
  <w:abstractNum w:abstractNumId="1">
    <w:nsid w:val="301B1AF1"/>
    <w:multiLevelType w:val="singleLevel"/>
    <w:tmpl w:val="301B1AF1"/>
    <w:lvl w:ilvl="0" w:tentative="0">
      <w:start w:val="1"/>
      <w:numFmt w:val="decimal"/>
      <w:lvlText w:val="(%1)"/>
      <w:lvlJc w:val="left"/>
      <w:pPr>
        <w:ind w:left="425" w:hanging="425"/>
      </w:pPr>
      <w:rPr>
        <w:rFonts w:hint="default" w:cs="Times New Roman"/>
      </w:rPr>
    </w:lvl>
  </w:abstractNum>
  <w:abstractNum w:abstractNumId="2">
    <w:nsid w:val="4EF5AD7E"/>
    <w:multiLevelType w:val="singleLevel"/>
    <w:tmpl w:val="4EF5AD7E"/>
    <w:lvl w:ilvl="0" w:tentative="0">
      <w:start w:val="7"/>
      <w:numFmt w:val="chineseCounting"/>
      <w:suff w:val="nothing"/>
      <w:lvlText w:val="（%1）"/>
      <w:lvlJc w:val="left"/>
      <w:rPr>
        <w:rFonts w:hint="eastAsia"/>
      </w:rPr>
    </w:lvl>
  </w:abstractNum>
  <w:abstractNum w:abstractNumId="3">
    <w:nsid w:val="7D9481CE"/>
    <w:multiLevelType w:val="singleLevel"/>
    <w:tmpl w:val="7D9481C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2NlNTdkZjNkNTNlNTM1ZjY1YTIzMzE3MmQxMzMifQ=="/>
  </w:docVars>
  <w:rsids>
    <w:rsidRoot w:val="00000000"/>
    <w:rsid w:val="067A683A"/>
    <w:rsid w:val="0A601B3E"/>
    <w:rsid w:val="126A0D6A"/>
    <w:rsid w:val="28885E11"/>
    <w:rsid w:val="2ACE6FF7"/>
    <w:rsid w:val="2C694C98"/>
    <w:rsid w:val="37157A55"/>
    <w:rsid w:val="5B307ABF"/>
    <w:rsid w:val="63882291"/>
    <w:rsid w:val="659F75AC"/>
    <w:rsid w:val="6C9C1458"/>
    <w:rsid w:val="78F31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heading 1"/>
    <w:basedOn w:val="1"/>
    <w:next w:val="1"/>
    <w:qFormat/>
    <w:uiPriority w:val="0"/>
    <w:pPr>
      <w:keepNext/>
      <w:keepLines/>
      <w:pageBreakBefore/>
      <w:tabs>
        <w:tab w:val="left" w:pos="540"/>
      </w:tabs>
      <w:adjustRightInd w:val="0"/>
      <w:snapToGrid w:val="0"/>
      <w:spacing w:line="360" w:lineRule="auto"/>
      <w:jc w:val="center"/>
      <w:outlineLvl w:val="0"/>
    </w:pPr>
    <w:rPr>
      <w:rFonts w:ascii="宋体" w:hAnsi="宋体"/>
      <w:b/>
      <w:kern w:val="44"/>
      <w:sz w:val="44"/>
      <w:szCs w:val="44"/>
      <w:lang w:bidi="he-IL"/>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adjustRightInd/>
      <w:snapToGrid/>
      <w:spacing w:after="120" w:line="240" w:lineRule="auto"/>
      <w:ind w:firstLine="420" w:firstLineChars="100"/>
    </w:pPr>
    <w:rPr>
      <w:sz w:val="21"/>
      <w:szCs w:val="24"/>
    </w:rPr>
  </w:style>
  <w:style w:type="paragraph" w:styleId="3">
    <w:name w:val="Body Text"/>
    <w:basedOn w:val="1"/>
    <w:next w:val="1"/>
    <w:qFormat/>
    <w:uiPriority w:val="0"/>
    <w:pPr>
      <w:adjustRightInd w:val="0"/>
      <w:snapToGrid w:val="0"/>
      <w:spacing w:line="520" w:lineRule="exact"/>
      <w:ind w:firstLine="595"/>
    </w:pPr>
    <w:rPr>
      <w:kern w:val="0"/>
      <w:sz w:val="28"/>
      <w:szCs w:val="20"/>
    </w:rPr>
  </w:style>
  <w:style w:type="paragraph" w:styleId="4">
    <w:name w:val="Body Text First Indent 2"/>
    <w:basedOn w:val="5"/>
    <w:next w:val="7"/>
    <w:qFormat/>
    <w:uiPriority w:val="99"/>
    <w:pPr>
      <w:ind w:firstLine="420"/>
    </w:pPr>
  </w:style>
  <w:style w:type="paragraph" w:styleId="5">
    <w:name w:val="Body Text Indent"/>
    <w:basedOn w:val="1"/>
    <w:next w:val="6"/>
    <w:qFormat/>
    <w:uiPriority w:val="0"/>
    <w:pPr>
      <w:ind w:firstLine="430"/>
    </w:pPr>
    <w:rPr>
      <w:rFonts w:ascii="仿宋_GB2312" w:eastAsia="仿宋_GB2312"/>
      <w:kern w:val="0"/>
      <w:sz w:val="32"/>
    </w:rPr>
  </w:style>
  <w:style w:type="paragraph" w:styleId="6">
    <w:name w:val="envelope return"/>
    <w:basedOn w:val="1"/>
    <w:unhideWhenUsed/>
    <w:qFormat/>
    <w:uiPriority w:val="99"/>
    <w:pPr>
      <w:snapToGrid w:val="0"/>
    </w:pPr>
    <w:rPr>
      <w:rFonts w:ascii="等线 Light" w:hAnsi="等线 Light" w:eastAsia="等线 Light"/>
    </w:rPr>
  </w:style>
  <w:style w:type="paragraph" w:styleId="7">
    <w:name w:val="Normal Indent"/>
    <w:basedOn w:val="1"/>
    <w:next w:val="8"/>
    <w:qFormat/>
    <w:uiPriority w:val="0"/>
    <w:pPr>
      <w:ind w:firstLine="420" w:firstLineChars="200"/>
    </w:pPr>
  </w:style>
  <w:style w:type="paragraph" w:styleId="8">
    <w:name w:val="Body Text 2"/>
    <w:basedOn w:val="1"/>
    <w:next w:val="3"/>
    <w:qFormat/>
    <w:uiPriority w:val="0"/>
    <w:pPr>
      <w:spacing w:after="120" w:line="480" w:lineRule="auto"/>
    </w:pPr>
    <w:rPr>
      <w:rFonts w:ascii="仿宋_GB2312" w:eastAsia="仿宋_GB2312"/>
      <w:sz w:val="32"/>
      <w:szCs w:val="32"/>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6">
    <w:name w:val="List Paragraph"/>
    <w:basedOn w:val="1"/>
    <w:qFormat/>
    <w:uiPriority w:val="99"/>
    <w:pPr>
      <w:ind w:firstLine="420" w:firstLineChars="200"/>
    </w:pPr>
    <w:rPr>
      <w:rFonts w:ascii="Calibri" w:hAnsi="Calibri"/>
      <w:szCs w:val="22"/>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11"/>
    <w:basedOn w:val="1"/>
    <w:qFormat/>
    <w:uiPriority w:val="34"/>
    <w:pPr>
      <w:ind w:firstLine="420" w:firstLineChars="200"/>
    </w:pPr>
    <w:rPr>
      <w:rFonts w:ascii="Calibri" w:hAnsi="Calibri"/>
      <w:szCs w:val="22"/>
    </w:rPr>
  </w:style>
  <w:style w:type="character" w:customStyle="1" w:styleId="19">
    <w:name w:val="font11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44027</Words>
  <Characters>48135</Characters>
  <Lines>0</Lines>
  <Paragraphs>0</Paragraphs>
  <TotalTime>61</TotalTime>
  <ScaleCrop>false</ScaleCrop>
  <LinksUpToDate>false</LinksUpToDate>
  <CharactersWithSpaces>51044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2024-07-16T06:21:00Z</dcterms:created>
  <dc:creator>Administrator</dc:creator>
  <cp:lastModifiedBy>微笑</cp:lastModifiedBy>
  <dcterms:modified xsi:type="dcterms:W3CDTF">2024-08-16T04:47:06Z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21D74AA3A5614AB798FF0A5373D6BB49_12</vt:lpwstr>
  </property>
</Properties>
</file>