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9D40E">
      <w:pPr>
        <w:pStyle w:val="2"/>
        <w:bidi w:val="0"/>
        <w:jc w:val="center"/>
        <w:rPr>
          <w:rFonts w:hint="eastAsia" w:ascii="华文仿宋" w:hAnsi="华文仿宋" w:eastAsia="华文仿宋" w:cs="华文仿宋"/>
          <w:b/>
          <w:bCs/>
          <w:color w:val="auto"/>
          <w:szCs w:val="160"/>
        </w:rPr>
      </w:pPr>
      <w:r>
        <w:rPr>
          <w:rFonts w:hint="eastAsia" w:ascii="华文仿宋" w:hAnsi="华文仿宋" w:eastAsia="华文仿宋" w:cs="华文仿宋"/>
          <w:color w:val="auto"/>
          <w:lang w:eastAsia="zh-CN"/>
        </w:rPr>
        <w:t>淮滨县2025年度杨树食叶害虫飞机喷药防治项目</w:t>
      </w:r>
    </w:p>
    <w:p w14:paraId="1F33A0EF">
      <w:pPr>
        <w:adjustRightInd w:val="0"/>
        <w:snapToGrid w:val="0"/>
        <w:jc w:val="both"/>
        <w:rPr>
          <w:rFonts w:hint="eastAsia" w:ascii="华文仿宋" w:hAnsi="华文仿宋" w:eastAsia="华文仿宋" w:cs="华文仿宋"/>
          <w:b/>
          <w:bCs/>
          <w:color w:val="auto"/>
          <w:sz w:val="96"/>
          <w:szCs w:val="160"/>
        </w:rPr>
      </w:pPr>
    </w:p>
    <w:p w14:paraId="35F5DCC4">
      <w:pPr>
        <w:adjustRightInd w:val="0"/>
        <w:snapToGrid w:val="0"/>
        <w:jc w:val="center"/>
        <w:rPr>
          <w:rFonts w:hint="eastAsia" w:ascii="华文仿宋" w:hAnsi="华文仿宋" w:eastAsia="华文仿宋" w:cs="华文仿宋"/>
          <w:color w:val="auto"/>
          <w:sz w:val="24"/>
        </w:rPr>
      </w:pPr>
      <w:r>
        <w:rPr>
          <w:rFonts w:hint="eastAsia" w:ascii="华文仿宋" w:hAnsi="华文仿宋" w:eastAsia="华文仿宋" w:cs="华文仿宋"/>
          <w:b/>
          <w:bCs/>
          <w:color w:val="auto"/>
          <w:sz w:val="96"/>
          <w:szCs w:val="160"/>
        </w:rPr>
        <w:t>招标文件</w:t>
      </w:r>
    </w:p>
    <w:p w14:paraId="4B6C7494">
      <w:pPr>
        <w:autoSpaceDE w:val="0"/>
        <w:autoSpaceDN w:val="0"/>
        <w:adjustRightInd w:val="0"/>
        <w:jc w:val="center"/>
        <w:rPr>
          <w:rFonts w:hint="eastAsia" w:ascii="华文仿宋" w:hAnsi="华文仿宋" w:eastAsia="华文仿宋" w:cs="华文仿宋"/>
          <w:b/>
          <w:color w:val="auto"/>
          <w:sz w:val="32"/>
          <w:szCs w:val="52"/>
          <w:highlight w:val="yellow"/>
          <w:lang w:val="zh-CN"/>
        </w:rPr>
      </w:pPr>
    </w:p>
    <w:p w14:paraId="0A94DF75">
      <w:pPr>
        <w:tabs>
          <w:tab w:val="left" w:pos="7560"/>
        </w:tabs>
        <w:autoSpaceDE w:val="0"/>
        <w:autoSpaceDN w:val="0"/>
        <w:adjustRightInd w:val="0"/>
        <w:spacing w:line="360" w:lineRule="auto"/>
        <w:ind w:firstLine="1680" w:firstLineChars="600"/>
        <w:rPr>
          <w:rFonts w:hint="eastAsia" w:ascii="华文仿宋" w:hAnsi="华文仿宋" w:eastAsia="华文仿宋" w:cs="华文仿宋"/>
          <w:b/>
          <w:color w:val="auto"/>
          <w:spacing w:val="-20"/>
          <w:sz w:val="32"/>
          <w:szCs w:val="32"/>
          <w:lang w:val="en-US" w:eastAsia="zh-CN"/>
        </w:rPr>
      </w:pPr>
      <w:r>
        <w:rPr>
          <w:rFonts w:hint="eastAsia" w:ascii="华文仿宋" w:hAnsi="华文仿宋" w:eastAsia="华文仿宋" w:cs="华文仿宋"/>
          <w:b/>
          <w:color w:val="auto"/>
          <w:spacing w:val="-20"/>
          <w:sz w:val="32"/>
          <w:szCs w:val="32"/>
          <w:lang w:val="zh-CN" w:eastAsia="zh-CN"/>
        </w:rPr>
        <w:t>采购项目编号：</w:t>
      </w:r>
      <w:r>
        <w:rPr>
          <w:rFonts w:hint="eastAsia" w:ascii="华文仿宋" w:hAnsi="华文仿宋" w:eastAsia="华文仿宋" w:cs="华文仿宋"/>
          <w:b/>
          <w:color w:val="auto"/>
          <w:spacing w:val="-20"/>
          <w:sz w:val="32"/>
          <w:szCs w:val="32"/>
          <w:lang w:val="en-US" w:eastAsia="zh-CN"/>
        </w:rPr>
        <w:t>淮财磋商采购-2025-41</w:t>
      </w:r>
    </w:p>
    <w:p w14:paraId="09FED94D">
      <w:pPr>
        <w:tabs>
          <w:tab w:val="left" w:pos="6440"/>
        </w:tabs>
        <w:ind w:firstLine="316" w:firstLineChars="88"/>
        <w:jc w:val="center"/>
        <w:rPr>
          <w:rFonts w:hint="eastAsia" w:ascii="华文仿宋" w:hAnsi="华文仿宋" w:eastAsia="华文仿宋" w:cs="华文仿宋"/>
          <w:b/>
          <w:color w:val="auto"/>
          <w:sz w:val="32"/>
          <w:lang w:eastAsia="zh-CN"/>
        </w:rPr>
      </w:pPr>
      <w:r>
        <w:rPr>
          <w:rFonts w:hint="eastAsia" w:ascii="华文仿宋" w:hAnsi="华文仿宋" w:eastAsia="华文仿宋" w:cs="华文仿宋"/>
          <w:b/>
          <w:color w:val="auto"/>
          <w:sz w:val="36"/>
          <w:szCs w:val="36"/>
        </w:rPr>
        <w:drawing>
          <wp:anchor distT="0" distB="0" distL="114300" distR="114300" simplePos="0" relativeHeight="251663360" behindDoc="1" locked="0" layoutInCell="1" allowOverlap="1">
            <wp:simplePos x="0" y="0"/>
            <wp:positionH relativeFrom="column">
              <wp:posOffset>1821815</wp:posOffset>
            </wp:positionH>
            <wp:positionV relativeFrom="paragraph">
              <wp:posOffset>160655</wp:posOffset>
            </wp:positionV>
            <wp:extent cx="1836420" cy="2219325"/>
            <wp:effectExtent l="0" t="0" r="11430" b="9525"/>
            <wp:wrapTight wrapText="bothSides">
              <wp:wrapPolygon>
                <wp:start x="0" y="0"/>
                <wp:lineTo x="0" y="21507"/>
                <wp:lineTo x="21286" y="21507"/>
                <wp:lineTo x="21286" y="0"/>
                <wp:lineTo x="0" y="0"/>
              </wp:wrapPolygon>
            </wp:wrapTight>
            <wp:docPr id="3" name="图片 1" descr="9851571f10a574f7b50b7ba1bfedc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51571f10a574f7b50b7ba1bfedc4e"/>
                    <pic:cNvPicPr>
                      <a:picLocks noChangeAspect="1"/>
                    </pic:cNvPicPr>
                  </pic:nvPicPr>
                  <pic:blipFill>
                    <a:blip r:embed="rId7"/>
                    <a:stretch>
                      <a:fillRect/>
                    </a:stretch>
                  </pic:blipFill>
                  <pic:spPr>
                    <a:xfrm>
                      <a:off x="0" y="0"/>
                      <a:ext cx="1836420" cy="2219325"/>
                    </a:xfrm>
                    <a:prstGeom prst="rect">
                      <a:avLst/>
                    </a:prstGeom>
                    <a:noFill/>
                    <a:ln>
                      <a:noFill/>
                    </a:ln>
                  </pic:spPr>
                </pic:pic>
              </a:graphicData>
            </a:graphic>
          </wp:anchor>
        </w:drawing>
      </w:r>
    </w:p>
    <w:p w14:paraId="460C7228">
      <w:pPr>
        <w:tabs>
          <w:tab w:val="left" w:pos="6440"/>
        </w:tabs>
        <w:ind w:firstLine="281" w:firstLineChars="88"/>
        <w:jc w:val="center"/>
        <w:rPr>
          <w:rFonts w:hint="eastAsia" w:ascii="华文仿宋" w:hAnsi="华文仿宋" w:eastAsia="华文仿宋" w:cs="华文仿宋"/>
          <w:b/>
          <w:color w:val="auto"/>
          <w:sz w:val="32"/>
          <w:lang w:eastAsia="zh-CN"/>
        </w:rPr>
      </w:pPr>
    </w:p>
    <w:p w14:paraId="60017CE7">
      <w:pPr>
        <w:tabs>
          <w:tab w:val="left" w:pos="6440"/>
        </w:tabs>
        <w:ind w:firstLine="281" w:firstLineChars="88"/>
        <w:jc w:val="center"/>
        <w:rPr>
          <w:rFonts w:hint="eastAsia" w:ascii="华文仿宋" w:hAnsi="华文仿宋" w:eastAsia="华文仿宋" w:cs="华文仿宋"/>
          <w:b/>
          <w:color w:val="auto"/>
          <w:sz w:val="32"/>
          <w:lang w:eastAsia="zh-CN"/>
        </w:rPr>
      </w:pPr>
    </w:p>
    <w:p w14:paraId="57D9CDD4">
      <w:pPr>
        <w:tabs>
          <w:tab w:val="left" w:pos="6440"/>
        </w:tabs>
        <w:ind w:firstLine="281" w:firstLineChars="88"/>
        <w:jc w:val="center"/>
        <w:rPr>
          <w:rFonts w:hint="eastAsia" w:ascii="华文仿宋" w:hAnsi="华文仿宋" w:eastAsia="华文仿宋" w:cs="华文仿宋"/>
          <w:b/>
          <w:color w:val="auto"/>
          <w:sz w:val="32"/>
          <w:lang w:eastAsia="zh-CN"/>
        </w:rPr>
      </w:pPr>
    </w:p>
    <w:p w14:paraId="7D8640A0">
      <w:pPr>
        <w:pStyle w:val="44"/>
        <w:rPr>
          <w:rFonts w:hint="eastAsia" w:ascii="华文仿宋" w:hAnsi="华文仿宋" w:eastAsia="华文仿宋" w:cs="华文仿宋"/>
          <w:b/>
          <w:color w:val="auto"/>
          <w:sz w:val="32"/>
          <w:lang w:eastAsia="zh-CN"/>
        </w:rPr>
      </w:pPr>
    </w:p>
    <w:p w14:paraId="7C6D42D2">
      <w:pPr>
        <w:pStyle w:val="44"/>
        <w:rPr>
          <w:rFonts w:hint="eastAsia" w:ascii="华文仿宋" w:hAnsi="华文仿宋" w:eastAsia="华文仿宋" w:cs="华文仿宋"/>
          <w:b/>
          <w:color w:val="auto"/>
          <w:sz w:val="32"/>
          <w:lang w:eastAsia="zh-CN"/>
        </w:rPr>
      </w:pPr>
    </w:p>
    <w:p w14:paraId="191CA797">
      <w:pPr>
        <w:pStyle w:val="44"/>
        <w:rPr>
          <w:rFonts w:hint="eastAsia" w:ascii="华文仿宋" w:hAnsi="华文仿宋" w:eastAsia="华文仿宋" w:cs="华文仿宋"/>
          <w:color w:val="auto"/>
          <w:lang w:val="zh-CN"/>
        </w:rPr>
      </w:pPr>
    </w:p>
    <w:p w14:paraId="69078C12">
      <w:pPr>
        <w:pStyle w:val="44"/>
        <w:rPr>
          <w:rFonts w:hint="eastAsia" w:ascii="华文仿宋" w:hAnsi="华文仿宋" w:eastAsia="华文仿宋" w:cs="华文仿宋"/>
          <w:color w:val="auto"/>
          <w:lang w:val="zh-CN"/>
        </w:rPr>
      </w:pPr>
    </w:p>
    <w:p w14:paraId="66BD7859">
      <w:pPr>
        <w:pStyle w:val="44"/>
        <w:rPr>
          <w:rFonts w:hint="eastAsia" w:ascii="华文仿宋" w:hAnsi="华文仿宋" w:eastAsia="华文仿宋" w:cs="华文仿宋"/>
          <w:color w:val="auto"/>
          <w:lang w:val="zh-CN"/>
        </w:rPr>
      </w:pPr>
    </w:p>
    <w:p w14:paraId="22A1C839">
      <w:pPr>
        <w:tabs>
          <w:tab w:val="left" w:pos="7560"/>
        </w:tabs>
        <w:autoSpaceDE w:val="0"/>
        <w:autoSpaceDN w:val="0"/>
        <w:adjustRightInd w:val="0"/>
        <w:spacing w:line="360" w:lineRule="auto"/>
        <w:ind w:firstLine="1680" w:firstLineChars="600"/>
        <w:rPr>
          <w:rFonts w:hint="eastAsia" w:ascii="华文仿宋" w:hAnsi="华文仿宋" w:eastAsia="华文仿宋" w:cs="华文仿宋"/>
          <w:b/>
          <w:color w:val="auto"/>
          <w:spacing w:val="-20"/>
          <w:sz w:val="32"/>
          <w:szCs w:val="32"/>
          <w:lang w:val="en-US" w:eastAsia="zh-CN"/>
        </w:rPr>
      </w:pPr>
      <w:r>
        <w:rPr>
          <w:rFonts w:hint="eastAsia" w:ascii="华文仿宋" w:hAnsi="华文仿宋" w:eastAsia="华文仿宋" w:cs="华文仿宋"/>
          <w:b/>
          <w:color w:val="auto"/>
          <w:spacing w:val="-20"/>
          <w:sz w:val="32"/>
          <w:szCs w:val="32"/>
          <w:lang w:val="zh-CN"/>
        </w:rPr>
        <w:t>采</w:t>
      </w:r>
      <w:r>
        <w:rPr>
          <w:rFonts w:hint="eastAsia" w:ascii="华文仿宋" w:hAnsi="华文仿宋" w:eastAsia="华文仿宋" w:cs="华文仿宋"/>
          <w:b/>
          <w:color w:val="auto"/>
          <w:spacing w:val="-20"/>
          <w:sz w:val="32"/>
          <w:szCs w:val="32"/>
        </w:rPr>
        <w:t xml:space="preserve">    </w:t>
      </w:r>
      <w:r>
        <w:rPr>
          <w:rFonts w:hint="eastAsia" w:ascii="华文仿宋" w:hAnsi="华文仿宋" w:eastAsia="华文仿宋" w:cs="华文仿宋"/>
          <w:b/>
          <w:color w:val="auto"/>
          <w:spacing w:val="-20"/>
          <w:sz w:val="32"/>
          <w:szCs w:val="32"/>
          <w:lang w:val="zh-CN"/>
        </w:rPr>
        <w:t>购</w:t>
      </w:r>
      <w:r>
        <w:rPr>
          <w:rFonts w:hint="eastAsia" w:ascii="华文仿宋" w:hAnsi="华文仿宋" w:eastAsia="华文仿宋" w:cs="华文仿宋"/>
          <w:b/>
          <w:color w:val="auto"/>
          <w:spacing w:val="-20"/>
          <w:sz w:val="32"/>
          <w:szCs w:val="32"/>
        </w:rPr>
        <w:t xml:space="preserve">   </w:t>
      </w:r>
      <w:r>
        <w:rPr>
          <w:rFonts w:hint="eastAsia" w:ascii="华文仿宋" w:hAnsi="华文仿宋" w:eastAsia="华文仿宋" w:cs="华文仿宋"/>
          <w:b/>
          <w:color w:val="auto"/>
          <w:spacing w:val="-20"/>
          <w:sz w:val="32"/>
          <w:szCs w:val="32"/>
          <w:lang w:val="zh-CN"/>
        </w:rPr>
        <w:t>人：</w:t>
      </w:r>
      <w:r>
        <w:rPr>
          <w:rFonts w:hint="eastAsia" w:ascii="华文仿宋" w:hAnsi="华文仿宋" w:eastAsia="华文仿宋" w:cs="华文仿宋"/>
          <w:b/>
          <w:color w:val="auto"/>
          <w:spacing w:val="-20"/>
          <w:sz w:val="32"/>
          <w:szCs w:val="32"/>
          <w:lang w:val="en-US" w:eastAsia="zh-CN"/>
        </w:rPr>
        <w:t>淮滨县林业局</w:t>
      </w:r>
    </w:p>
    <w:p w14:paraId="5A721854">
      <w:pPr>
        <w:tabs>
          <w:tab w:val="left" w:pos="7560"/>
        </w:tabs>
        <w:autoSpaceDE w:val="0"/>
        <w:autoSpaceDN w:val="0"/>
        <w:adjustRightInd w:val="0"/>
        <w:spacing w:line="360" w:lineRule="auto"/>
        <w:ind w:firstLine="1680" w:firstLineChars="600"/>
        <w:rPr>
          <w:rFonts w:hint="eastAsia" w:ascii="华文仿宋" w:hAnsi="华文仿宋" w:eastAsia="华文仿宋" w:cs="华文仿宋"/>
          <w:b/>
          <w:color w:val="auto"/>
          <w:spacing w:val="-20"/>
          <w:sz w:val="32"/>
          <w:szCs w:val="32"/>
          <w:lang w:val="zh-CN"/>
        </w:rPr>
      </w:pPr>
      <w:r>
        <w:rPr>
          <w:rFonts w:hint="eastAsia" w:ascii="华文仿宋" w:hAnsi="华文仿宋" w:eastAsia="华文仿宋" w:cs="华文仿宋"/>
          <w:b/>
          <w:color w:val="auto"/>
          <w:spacing w:val="-20"/>
          <w:sz w:val="32"/>
          <w:szCs w:val="32"/>
          <w:lang w:val="zh-CN"/>
        </w:rPr>
        <w:t>采购代理机构：河南旭泽企业管理咨询有限公司</w:t>
      </w:r>
    </w:p>
    <w:p w14:paraId="25B76E04">
      <w:pPr>
        <w:tabs>
          <w:tab w:val="left" w:pos="7560"/>
        </w:tabs>
        <w:autoSpaceDE w:val="0"/>
        <w:autoSpaceDN w:val="0"/>
        <w:adjustRightInd w:val="0"/>
        <w:spacing w:line="360" w:lineRule="auto"/>
        <w:ind w:firstLine="1680" w:firstLineChars="600"/>
        <w:rPr>
          <w:rFonts w:hint="eastAsia" w:ascii="华文仿宋" w:hAnsi="华文仿宋" w:eastAsia="华文仿宋" w:cs="华文仿宋"/>
          <w:b/>
          <w:color w:val="auto"/>
          <w:sz w:val="32"/>
        </w:rPr>
      </w:pPr>
      <w:r>
        <w:rPr>
          <w:rFonts w:hint="eastAsia" w:ascii="华文仿宋" w:hAnsi="华文仿宋" w:eastAsia="华文仿宋" w:cs="华文仿宋"/>
          <w:b/>
          <w:color w:val="auto"/>
          <w:spacing w:val="-20"/>
          <w:sz w:val="32"/>
          <w:szCs w:val="32"/>
        </w:rPr>
        <w:t>日         期：</w:t>
      </w:r>
      <w:r>
        <w:rPr>
          <w:rFonts w:hint="eastAsia" w:ascii="华文仿宋" w:hAnsi="华文仿宋" w:eastAsia="华文仿宋" w:cs="华文仿宋"/>
          <w:b/>
          <w:color w:val="auto"/>
          <w:spacing w:val="-20"/>
          <w:sz w:val="32"/>
          <w:szCs w:val="32"/>
          <w:lang w:val="en-US" w:eastAsia="zh-CN"/>
        </w:rPr>
        <w:t xml:space="preserve"> </w:t>
      </w:r>
      <w:r>
        <w:rPr>
          <w:rFonts w:hint="eastAsia" w:ascii="华文仿宋" w:hAnsi="华文仿宋" w:eastAsia="华文仿宋" w:cs="华文仿宋"/>
          <w:b/>
          <w:color w:val="auto"/>
          <w:spacing w:val="-20"/>
          <w:sz w:val="32"/>
          <w:szCs w:val="32"/>
        </w:rPr>
        <w:t>二</w:t>
      </w:r>
      <w:r>
        <w:rPr>
          <w:rFonts w:hint="eastAsia" w:ascii="华文仿宋" w:hAnsi="华文仿宋" w:eastAsia="华文仿宋" w:cs="华文仿宋"/>
          <w:b/>
          <w:color w:val="auto"/>
          <w:spacing w:val="-20"/>
          <w:sz w:val="32"/>
          <w:szCs w:val="32"/>
          <w:lang w:val="en-US" w:eastAsia="zh-CN"/>
        </w:rPr>
        <w:t xml:space="preserve"> </w:t>
      </w:r>
      <w:r>
        <w:rPr>
          <w:rFonts w:hint="eastAsia" w:ascii="华文仿宋" w:hAnsi="华文仿宋" w:eastAsia="华文仿宋" w:cs="华文仿宋"/>
          <w:b/>
          <w:color w:val="auto"/>
          <w:spacing w:val="-20"/>
          <w:sz w:val="32"/>
          <w:szCs w:val="32"/>
        </w:rPr>
        <w:t>〇</w:t>
      </w:r>
      <w:r>
        <w:rPr>
          <w:rFonts w:hint="eastAsia" w:ascii="华文仿宋" w:hAnsi="华文仿宋" w:eastAsia="华文仿宋" w:cs="华文仿宋"/>
          <w:b/>
          <w:color w:val="auto"/>
          <w:spacing w:val="-20"/>
          <w:sz w:val="32"/>
          <w:szCs w:val="32"/>
          <w:lang w:val="en-US" w:eastAsia="zh-CN"/>
        </w:rPr>
        <w:t xml:space="preserve"> </w:t>
      </w:r>
      <w:r>
        <w:rPr>
          <w:rFonts w:hint="eastAsia" w:ascii="华文仿宋" w:hAnsi="华文仿宋" w:eastAsia="华文仿宋" w:cs="华文仿宋"/>
          <w:b/>
          <w:color w:val="auto"/>
          <w:spacing w:val="-20"/>
          <w:sz w:val="32"/>
          <w:szCs w:val="32"/>
        </w:rPr>
        <w:t>二</w:t>
      </w:r>
      <w:r>
        <w:rPr>
          <w:rFonts w:hint="eastAsia" w:ascii="华文仿宋" w:hAnsi="华文仿宋" w:eastAsia="华文仿宋" w:cs="华文仿宋"/>
          <w:b/>
          <w:color w:val="auto"/>
          <w:spacing w:val="-20"/>
          <w:sz w:val="32"/>
          <w:szCs w:val="32"/>
          <w:lang w:val="en-US" w:eastAsia="zh-CN"/>
        </w:rPr>
        <w:t xml:space="preserve"> 五 </w:t>
      </w:r>
      <w:r>
        <w:rPr>
          <w:rFonts w:hint="eastAsia" w:ascii="华文仿宋" w:hAnsi="华文仿宋" w:eastAsia="华文仿宋" w:cs="华文仿宋"/>
          <w:b/>
          <w:color w:val="auto"/>
          <w:spacing w:val="-20"/>
          <w:sz w:val="32"/>
          <w:szCs w:val="32"/>
          <w:highlight w:val="none"/>
        </w:rPr>
        <w:t>年</w:t>
      </w:r>
      <w:r>
        <w:rPr>
          <w:rFonts w:hint="eastAsia" w:ascii="华文仿宋" w:hAnsi="华文仿宋" w:eastAsia="华文仿宋" w:cs="华文仿宋"/>
          <w:b/>
          <w:color w:val="auto"/>
          <w:spacing w:val="-20"/>
          <w:sz w:val="32"/>
          <w:szCs w:val="32"/>
          <w:highlight w:val="none"/>
          <w:lang w:val="en-US" w:eastAsia="zh-CN"/>
        </w:rPr>
        <w:t xml:space="preserve"> 七 </w:t>
      </w:r>
      <w:r>
        <w:rPr>
          <w:rFonts w:hint="eastAsia" w:ascii="华文仿宋" w:hAnsi="华文仿宋" w:eastAsia="华文仿宋" w:cs="华文仿宋"/>
          <w:b/>
          <w:color w:val="auto"/>
          <w:spacing w:val="-20"/>
          <w:sz w:val="32"/>
          <w:szCs w:val="32"/>
          <w:highlight w:val="none"/>
        </w:rPr>
        <w:t>月</w:t>
      </w:r>
    </w:p>
    <w:p w14:paraId="692F4561">
      <w:pPr>
        <w:keepNext w:val="0"/>
        <w:keepLines w:val="0"/>
        <w:pageBreakBefore w:val="0"/>
        <w:widowControl/>
        <w:suppressLineNumbers w:val="0"/>
        <w:kinsoku/>
        <w:wordWrap w:val="0"/>
        <w:overflowPunct/>
        <w:topLinePunct/>
        <w:bidi w:val="0"/>
        <w:spacing w:line="360" w:lineRule="auto"/>
        <w:jc w:val="center"/>
        <w:rPr>
          <w:rFonts w:hint="eastAsia" w:ascii="华文仿宋" w:hAnsi="华文仿宋" w:eastAsia="华文仿宋" w:cs="华文仿宋"/>
          <w:b/>
          <w:bCs/>
          <w:color w:val="auto"/>
          <w:kern w:val="0"/>
          <w:sz w:val="18"/>
          <w:szCs w:val="18"/>
          <w:highlight w:val="none"/>
          <w:lang w:val="en-US" w:eastAsia="zh-CN" w:bidi="ar"/>
        </w:rPr>
      </w:pPr>
    </w:p>
    <w:sdt>
      <w:sdtPr>
        <w:rPr>
          <w:rFonts w:hint="eastAsia" w:ascii="华文仿宋" w:hAnsi="华文仿宋" w:eastAsia="华文仿宋" w:cs="华文仿宋"/>
          <w:color w:val="auto"/>
          <w:kern w:val="2"/>
          <w:sz w:val="21"/>
          <w:szCs w:val="24"/>
          <w:lang w:val="en-US" w:eastAsia="zh-CN" w:bidi="ar-SA"/>
        </w:rPr>
        <w:id w:val="147461182"/>
        <w15:color w:val="DBDBDB"/>
        <w:docPartObj>
          <w:docPartGallery w:val="Table of Contents"/>
          <w:docPartUnique/>
        </w:docPartObj>
      </w:sdtPr>
      <w:sdtEndPr>
        <w:rPr>
          <w:rFonts w:hint="eastAsia" w:ascii="华文仿宋" w:hAnsi="华文仿宋" w:eastAsia="华文仿宋" w:cs="华文仿宋"/>
          <w:color w:val="auto"/>
          <w:kern w:val="2"/>
          <w:sz w:val="21"/>
          <w:szCs w:val="24"/>
          <w:highlight w:val="none"/>
          <w:lang w:val="en-US" w:eastAsia="zh-CN" w:bidi="ar-SA"/>
        </w:rPr>
      </w:sdtEndPr>
      <w:sdtContent>
        <w:p w14:paraId="4EEC41C4">
          <w:pPr>
            <w:spacing w:before="0" w:beforeLines="0" w:after="0" w:afterLines="0" w:line="240" w:lineRule="auto"/>
            <w:ind w:left="0" w:leftChars="0" w:right="0" w:rightChars="0" w:firstLine="0" w:firstLineChars="0"/>
            <w:jc w:val="center"/>
            <w:rPr>
              <w:rFonts w:hint="eastAsia" w:ascii="华文仿宋" w:hAnsi="华文仿宋" w:eastAsia="华文仿宋" w:cs="华文仿宋"/>
              <w:color w:val="auto"/>
              <w:kern w:val="2"/>
              <w:sz w:val="21"/>
              <w:szCs w:val="24"/>
              <w:lang w:val="en-US" w:eastAsia="zh-CN" w:bidi="ar-SA"/>
            </w:rPr>
          </w:pPr>
        </w:p>
        <w:p w14:paraId="75FA3247">
          <w:pPr>
            <w:spacing w:before="0" w:beforeLines="0" w:after="0" w:afterLines="0" w:line="240" w:lineRule="auto"/>
            <w:ind w:left="0" w:leftChars="0" w:right="0" w:rightChars="0" w:firstLine="0" w:firstLineChars="0"/>
            <w:jc w:val="center"/>
            <w:rPr>
              <w:rFonts w:hint="eastAsia" w:ascii="华文仿宋" w:hAnsi="华文仿宋" w:eastAsia="华文仿宋" w:cs="华文仿宋"/>
              <w:color w:val="auto"/>
            </w:rPr>
          </w:pPr>
          <w:r>
            <w:rPr>
              <w:rFonts w:hint="eastAsia" w:ascii="华文仿宋" w:hAnsi="华文仿宋" w:eastAsia="华文仿宋" w:cs="华文仿宋"/>
              <w:color w:val="auto"/>
              <w:sz w:val="21"/>
            </w:rPr>
            <w:t>目</w:t>
          </w:r>
          <w:r>
            <w:rPr>
              <w:rFonts w:hint="eastAsia" w:ascii="华文仿宋" w:hAnsi="华文仿宋" w:eastAsia="华文仿宋" w:cs="华文仿宋"/>
              <w:color w:val="auto"/>
              <w:sz w:val="21"/>
              <w:lang w:val="en-US" w:eastAsia="zh-CN"/>
            </w:rPr>
            <w:t xml:space="preserve">      </w:t>
          </w:r>
          <w:r>
            <w:rPr>
              <w:rFonts w:hint="eastAsia" w:ascii="华文仿宋" w:hAnsi="华文仿宋" w:eastAsia="华文仿宋" w:cs="华文仿宋"/>
              <w:color w:val="auto"/>
              <w:sz w:val="21"/>
            </w:rPr>
            <w:t>录</w:t>
          </w:r>
        </w:p>
        <w:p w14:paraId="3278CDA3">
          <w:pPr>
            <w:pStyle w:val="61"/>
            <w:tabs>
              <w:tab w:val="right" w:leader="dot" w:pos="8980"/>
            </w:tabs>
            <w:rPr>
              <w:rFonts w:hint="eastAsia" w:ascii="华文仿宋" w:hAnsi="华文仿宋" w:eastAsia="华文仿宋" w:cs="华文仿宋"/>
              <w:color w:val="auto"/>
            </w:rPr>
          </w:pPr>
          <w:r>
            <w:rPr>
              <w:rFonts w:hint="eastAsia" w:ascii="华文仿宋" w:hAnsi="华文仿宋" w:eastAsia="华文仿宋" w:cs="华文仿宋"/>
              <w:color w:val="auto"/>
              <w:highlight w:val="none"/>
            </w:rPr>
            <w:fldChar w:fldCharType="begin"/>
          </w:r>
          <w:r>
            <w:rPr>
              <w:rFonts w:hint="eastAsia" w:ascii="华文仿宋" w:hAnsi="华文仿宋" w:eastAsia="华文仿宋" w:cs="华文仿宋"/>
              <w:color w:val="auto"/>
              <w:highlight w:val="none"/>
            </w:rPr>
            <w:instrText xml:space="preserve">TOC \o "1-1" \h \u </w:instrText>
          </w:r>
          <w:r>
            <w:rPr>
              <w:rFonts w:hint="eastAsia" w:ascii="华文仿宋" w:hAnsi="华文仿宋" w:eastAsia="华文仿宋" w:cs="华文仿宋"/>
              <w:color w:val="auto"/>
              <w:highlight w:val="none"/>
            </w:rPr>
            <w:fldChar w:fldCharType="separate"/>
          </w:r>
        </w:p>
        <w:p w14:paraId="0B052BBE">
          <w:pPr>
            <w:pStyle w:val="61"/>
            <w:tabs>
              <w:tab w:val="right" w:leader="dot" w:pos="8980"/>
            </w:tabs>
            <w:spacing w:line="600" w:lineRule="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highlight w:val="none"/>
            </w:rPr>
            <w:fldChar w:fldCharType="begin"/>
          </w:r>
          <w:r>
            <w:rPr>
              <w:rFonts w:hint="eastAsia" w:ascii="华文仿宋" w:hAnsi="华文仿宋" w:eastAsia="华文仿宋" w:cs="华文仿宋"/>
              <w:color w:val="auto"/>
              <w:sz w:val="24"/>
              <w:szCs w:val="24"/>
              <w:highlight w:val="none"/>
            </w:rPr>
            <w:instrText xml:space="preserve"> HYPERLINK \l _Toc22722 </w:instrText>
          </w:r>
          <w:r>
            <w:rPr>
              <w:rFonts w:hint="eastAsia" w:ascii="华文仿宋" w:hAnsi="华文仿宋" w:eastAsia="华文仿宋" w:cs="华文仿宋"/>
              <w:color w:val="auto"/>
              <w:sz w:val="24"/>
              <w:szCs w:val="24"/>
              <w:highlight w:val="none"/>
            </w:rPr>
            <w:fldChar w:fldCharType="separate"/>
          </w:r>
          <w:r>
            <w:rPr>
              <w:rFonts w:hint="eastAsia" w:ascii="华文仿宋" w:hAnsi="华文仿宋" w:eastAsia="华文仿宋" w:cs="华文仿宋"/>
              <w:color w:val="auto"/>
              <w:sz w:val="24"/>
              <w:szCs w:val="24"/>
              <w:highlight w:val="none"/>
            </w:rPr>
            <w:t>第一章</w:t>
          </w:r>
          <w:r>
            <w:rPr>
              <w:rFonts w:hint="eastAsia" w:ascii="华文仿宋" w:hAnsi="华文仿宋" w:eastAsia="华文仿宋" w:cs="华文仿宋"/>
              <w:color w:val="auto"/>
              <w:sz w:val="24"/>
              <w:szCs w:val="24"/>
              <w:highlight w:val="none"/>
              <w:lang w:val="en-US" w:eastAsia="zh-CN"/>
            </w:rPr>
            <w:t xml:space="preserve"> </w:t>
          </w:r>
          <w:r>
            <w:rPr>
              <w:rFonts w:hint="eastAsia" w:ascii="华文仿宋" w:hAnsi="华文仿宋" w:eastAsia="华文仿宋" w:cs="华文仿宋"/>
              <w:color w:val="auto"/>
              <w:sz w:val="24"/>
              <w:szCs w:val="24"/>
              <w:highlight w:val="none"/>
            </w:rPr>
            <w:t>竞争性磋商公告</w:t>
          </w:r>
          <w:r>
            <w:rPr>
              <w:rFonts w:hint="eastAsia" w:ascii="华文仿宋" w:hAnsi="华文仿宋" w:eastAsia="华文仿宋" w:cs="华文仿宋"/>
              <w:color w:val="auto"/>
              <w:sz w:val="24"/>
              <w:szCs w:val="24"/>
            </w:rPr>
            <w:tab/>
          </w:r>
          <w:r>
            <w:rPr>
              <w:rFonts w:hint="eastAsia" w:ascii="华文仿宋" w:hAnsi="华文仿宋" w:eastAsia="华文仿宋" w:cs="华文仿宋"/>
              <w:color w:val="auto"/>
              <w:sz w:val="24"/>
              <w:szCs w:val="24"/>
            </w:rPr>
            <w:fldChar w:fldCharType="begin"/>
          </w:r>
          <w:r>
            <w:rPr>
              <w:rFonts w:hint="eastAsia" w:ascii="华文仿宋" w:hAnsi="华文仿宋" w:eastAsia="华文仿宋" w:cs="华文仿宋"/>
              <w:color w:val="auto"/>
              <w:sz w:val="24"/>
              <w:szCs w:val="24"/>
            </w:rPr>
            <w:instrText xml:space="preserve"> PAGEREF _Toc22722 \h </w:instrText>
          </w:r>
          <w:r>
            <w:rPr>
              <w:rFonts w:hint="eastAsia" w:ascii="华文仿宋" w:hAnsi="华文仿宋" w:eastAsia="华文仿宋" w:cs="华文仿宋"/>
              <w:color w:val="auto"/>
              <w:sz w:val="24"/>
              <w:szCs w:val="24"/>
            </w:rPr>
            <w:fldChar w:fldCharType="separate"/>
          </w:r>
          <w:r>
            <w:rPr>
              <w:rFonts w:hint="eastAsia" w:ascii="华文仿宋" w:hAnsi="华文仿宋" w:eastAsia="华文仿宋" w:cs="华文仿宋"/>
              <w:color w:val="auto"/>
              <w:sz w:val="24"/>
              <w:szCs w:val="24"/>
            </w:rPr>
            <w:t>6</w:t>
          </w:r>
          <w:r>
            <w:rPr>
              <w:rFonts w:hint="eastAsia" w:ascii="华文仿宋" w:hAnsi="华文仿宋" w:eastAsia="华文仿宋" w:cs="华文仿宋"/>
              <w:color w:val="auto"/>
              <w:sz w:val="24"/>
              <w:szCs w:val="24"/>
            </w:rPr>
            <w:fldChar w:fldCharType="end"/>
          </w:r>
          <w:r>
            <w:rPr>
              <w:rFonts w:hint="eastAsia" w:ascii="华文仿宋" w:hAnsi="华文仿宋" w:eastAsia="华文仿宋" w:cs="华文仿宋"/>
              <w:color w:val="auto"/>
              <w:sz w:val="24"/>
              <w:szCs w:val="24"/>
              <w:highlight w:val="none"/>
            </w:rPr>
            <w:fldChar w:fldCharType="end"/>
          </w:r>
        </w:p>
        <w:p w14:paraId="1A4E31DD">
          <w:pPr>
            <w:pStyle w:val="61"/>
            <w:tabs>
              <w:tab w:val="right" w:leader="dot" w:pos="8980"/>
            </w:tabs>
            <w:spacing w:line="600" w:lineRule="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highlight w:val="none"/>
            </w:rPr>
            <w:fldChar w:fldCharType="begin"/>
          </w:r>
          <w:r>
            <w:rPr>
              <w:rFonts w:hint="eastAsia" w:ascii="华文仿宋" w:hAnsi="华文仿宋" w:eastAsia="华文仿宋" w:cs="华文仿宋"/>
              <w:color w:val="auto"/>
              <w:sz w:val="24"/>
              <w:szCs w:val="24"/>
              <w:highlight w:val="none"/>
            </w:rPr>
            <w:instrText xml:space="preserve"> HYPERLINK \l _Toc15036 </w:instrText>
          </w:r>
          <w:r>
            <w:rPr>
              <w:rFonts w:hint="eastAsia" w:ascii="华文仿宋" w:hAnsi="华文仿宋" w:eastAsia="华文仿宋" w:cs="华文仿宋"/>
              <w:color w:val="auto"/>
              <w:sz w:val="24"/>
              <w:szCs w:val="24"/>
              <w:highlight w:val="none"/>
            </w:rPr>
            <w:fldChar w:fldCharType="separate"/>
          </w:r>
          <w:r>
            <w:rPr>
              <w:rFonts w:hint="eastAsia" w:ascii="华文仿宋" w:hAnsi="华文仿宋" w:eastAsia="华文仿宋" w:cs="华文仿宋"/>
              <w:bCs/>
              <w:color w:val="auto"/>
              <w:sz w:val="24"/>
              <w:szCs w:val="24"/>
              <w:highlight w:val="none"/>
            </w:rPr>
            <w:t>第二章 供应商须知</w:t>
          </w:r>
          <w:r>
            <w:rPr>
              <w:rFonts w:hint="eastAsia" w:ascii="华文仿宋" w:hAnsi="华文仿宋" w:eastAsia="华文仿宋" w:cs="华文仿宋"/>
              <w:color w:val="auto"/>
              <w:sz w:val="24"/>
              <w:szCs w:val="24"/>
            </w:rPr>
            <w:tab/>
          </w:r>
          <w:r>
            <w:rPr>
              <w:rFonts w:hint="eastAsia" w:ascii="华文仿宋" w:hAnsi="华文仿宋" w:eastAsia="华文仿宋" w:cs="华文仿宋"/>
              <w:color w:val="auto"/>
              <w:sz w:val="24"/>
              <w:szCs w:val="24"/>
            </w:rPr>
            <w:fldChar w:fldCharType="begin"/>
          </w:r>
          <w:r>
            <w:rPr>
              <w:rFonts w:hint="eastAsia" w:ascii="华文仿宋" w:hAnsi="华文仿宋" w:eastAsia="华文仿宋" w:cs="华文仿宋"/>
              <w:color w:val="auto"/>
              <w:sz w:val="24"/>
              <w:szCs w:val="24"/>
            </w:rPr>
            <w:instrText xml:space="preserve"> PAGEREF _Toc15036 \h </w:instrText>
          </w:r>
          <w:r>
            <w:rPr>
              <w:rFonts w:hint="eastAsia" w:ascii="华文仿宋" w:hAnsi="华文仿宋" w:eastAsia="华文仿宋" w:cs="华文仿宋"/>
              <w:color w:val="auto"/>
              <w:sz w:val="24"/>
              <w:szCs w:val="24"/>
            </w:rPr>
            <w:fldChar w:fldCharType="separate"/>
          </w:r>
          <w:r>
            <w:rPr>
              <w:rFonts w:hint="eastAsia" w:ascii="华文仿宋" w:hAnsi="华文仿宋" w:eastAsia="华文仿宋" w:cs="华文仿宋"/>
              <w:color w:val="auto"/>
              <w:sz w:val="24"/>
              <w:szCs w:val="24"/>
            </w:rPr>
            <w:t>11</w:t>
          </w:r>
          <w:r>
            <w:rPr>
              <w:rFonts w:hint="eastAsia" w:ascii="华文仿宋" w:hAnsi="华文仿宋" w:eastAsia="华文仿宋" w:cs="华文仿宋"/>
              <w:color w:val="auto"/>
              <w:sz w:val="24"/>
              <w:szCs w:val="24"/>
            </w:rPr>
            <w:fldChar w:fldCharType="end"/>
          </w:r>
          <w:r>
            <w:rPr>
              <w:rFonts w:hint="eastAsia" w:ascii="华文仿宋" w:hAnsi="华文仿宋" w:eastAsia="华文仿宋" w:cs="华文仿宋"/>
              <w:color w:val="auto"/>
              <w:sz w:val="24"/>
              <w:szCs w:val="24"/>
              <w:highlight w:val="none"/>
            </w:rPr>
            <w:fldChar w:fldCharType="end"/>
          </w:r>
        </w:p>
        <w:p w14:paraId="7FF8B970">
          <w:pPr>
            <w:pStyle w:val="61"/>
            <w:tabs>
              <w:tab w:val="right" w:leader="dot" w:pos="8980"/>
            </w:tabs>
            <w:spacing w:line="600" w:lineRule="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highlight w:val="none"/>
            </w:rPr>
            <w:fldChar w:fldCharType="begin"/>
          </w:r>
          <w:r>
            <w:rPr>
              <w:rFonts w:hint="eastAsia" w:ascii="华文仿宋" w:hAnsi="华文仿宋" w:eastAsia="华文仿宋" w:cs="华文仿宋"/>
              <w:color w:val="auto"/>
              <w:sz w:val="24"/>
              <w:szCs w:val="24"/>
              <w:highlight w:val="none"/>
            </w:rPr>
            <w:instrText xml:space="preserve"> HYPERLINK \l _Toc18139 </w:instrText>
          </w:r>
          <w:r>
            <w:rPr>
              <w:rFonts w:hint="eastAsia" w:ascii="华文仿宋" w:hAnsi="华文仿宋" w:eastAsia="华文仿宋" w:cs="华文仿宋"/>
              <w:color w:val="auto"/>
              <w:sz w:val="24"/>
              <w:szCs w:val="24"/>
              <w:highlight w:val="none"/>
            </w:rPr>
            <w:fldChar w:fldCharType="separate"/>
          </w:r>
          <w:r>
            <w:rPr>
              <w:rFonts w:hint="eastAsia" w:ascii="华文仿宋" w:hAnsi="华文仿宋" w:eastAsia="华文仿宋" w:cs="华文仿宋"/>
              <w:bCs/>
              <w:color w:val="auto"/>
              <w:sz w:val="24"/>
              <w:szCs w:val="24"/>
              <w:highlight w:val="none"/>
            </w:rPr>
            <w:t>第三章</w:t>
          </w:r>
          <w:r>
            <w:rPr>
              <w:rFonts w:hint="eastAsia" w:ascii="华文仿宋" w:hAnsi="华文仿宋" w:eastAsia="华文仿宋" w:cs="华文仿宋"/>
              <w:bCs/>
              <w:color w:val="auto"/>
              <w:sz w:val="24"/>
              <w:szCs w:val="24"/>
              <w:highlight w:val="none"/>
              <w:lang w:val="en-US" w:eastAsia="zh-CN"/>
            </w:rPr>
            <w:t xml:space="preserve"> </w:t>
          </w:r>
          <w:r>
            <w:rPr>
              <w:rFonts w:hint="eastAsia" w:ascii="华文仿宋" w:hAnsi="华文仿宋" w:eastAsia="华文仿宋" w:cs="华文仿宋"/>
              <w:bCs/>
              <w:color w:val="auto"/>
              <w:sz w:val="24"/>
              <w:szCs w:val="24"/>
              <w:highlight w:val="none"/>
            </w:rPr>
            <w:t>评审办法（综合评分法）</w:t>
          </w:r>
          <w:r>
            <w:rPr>
              <w:rFonts w:hint="eastAsia" w:ascii="华文仿宋" w:hAnsi="华文仿宋" w:eastAsia="华文仿宋" w:cs="华文仿宋"/>
              <w:color w:val="auto"/>
              <w:sz w:val="24"/>
              <w:szCs w:val="24"/>
            </w:rPr>
            <w:tab/>
          </w:r>
          <w:r>
            <w:rPr>
              <w:rFonts w:hint="eastAsia" w:ascii="华文仿宋" w:hAnsi="华文仿宋" w:eastAsia="华文仿宋" w:cs="华文仿宋"/>
              <w:color w:val="auto"/>
              <w:sz w:val="24"/>
              <w:szCs w:val="24"/>
            </w:rPr>
            <w:fldChar w:fldCharType="begin"/>
          </w:r>
          <w:r>
            <w:rPr>
              <w:rFonts w:hint="eastAsia" w:ascii="华文仿宋" w:hAnsi="华文仿宋" w:eastAsia="华文仿宋" w:cs="华文仿宋"/>
              <w:color w:val="auto"/>
              <w:sz w:val="24"/>
              <w:szCs w:val="24"/>
            </w:rPr>
            <w:instrText xml:space="preserve"> PAGEREF _Toc18139 \h </w:instrText>
          </w:r>
          <w:r>
            <w:rPr>
              <w:rFonts w:hint="eastAsia" w:ascii="华文仿宋" w:hAnsi="华文仿宋" w:eastAsia="华文仿宋" w:cs="华文仿宋"/>
              <w:color w:val="auto"/>
              <w:sz w:val="24"/>
              <w:szCs w:val="24"/>
            </w:rPr>
            <w:fldChar w:fldCharType="separate"/>
          </w:r>
          <w:r>
            <w:rPr>
              <w:rFonts w:hint="eastAsia" w:ascii="华文仿宋" w:hAnsi="华文仿宋" w:eastAsia="华文仿宋" w:cs="华文仿宋"/>
              <w:color w:val="auto"/>
              <w:sz w:val="24"/>
              <w:szCs w:val="24"/>
            </w:rPr>
            <w:t>22</w:t>
          </w:r>
          <w:r>
            <w:rPr>
              <w:rFonts w:hint="eastAsia" w:ascii="华文仿宋" w:hAnsi="华文仿宋" w:eastAsia="华文仿宋" w:cs="华文仿宋"/>
              <w:color w:val="auto"/>
              <w:sz w:val="24"/>
              <w:szCs w:val="24"/>
            </w:rPr>
            <w:fldChar w:fldCharType="end"/>
          </w:r>
          <w:r>
            <w:rPr>
              <w:rFonts w:hint="eastAsia" w:ascii="华文仿宋" w:hAnsi="华文仿宋" w:eastAsia="华文仿宋" w:cs="华文仿宋"/>
              <w:color w:val="auto"/>
              <w:sz w:val="24"/>
              <w:szCs w:val="24"/>
              <w:highlight w:val="none"/>
            </w:rPr>
            <w:fldChar w:fldCharType="end"/>
          </w:r>
        </w:p>
        <w:p w14:paraId="7D014993">
          <w:pPr>
            <w:pStyle w:val="61"/>
            <w:tabs>
              <w:tab w:val="right" w:leader="dot" w:pos="8980"/>
            </w:tabs>
            <w:spacing w:line="600" w:lineRule="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highlight w:val="none"/>
            </w:rPr>
            <w:fldChar w:fldCharType="begin"/>
          </w:r>
          <w:r>
            <w:rPr>
              <w:rFonts w:hint="eastAsia" w:ascii="华文仿宋" w:hAnsi="华文仿宋" w:eastAsia="华文仿宋" w:cs="华文仿宋"/>
              <w:color w:val="auto"/>
              <w:sz w:val="24"/>
              <w:szCs w:val="24"/>
              <w:highlight w:val="none"/>
            </w:rPr>
            <w:instrText xml:space="preserve"> HYPERLINK \l _Toc6733 </w:instrText>
          </w:r>
          <w:r>
            <w:rPr>
              <w:rFonts w:hint="eastAsia" w:ascii="华文仿宋" w:hAnsi="华文仿宋" w:eastAsia="华文仿宋" w:cs="华文仿宋"/>
              <w:color w:val="auto"/>
              <w:sz w:val="24"/>
              <w:szCs w:val="24"/>
              <w:highlight w:val="none"/>
            </w:rPr>
            <w:fldChar w:fldCharType="separate"/>
          </w:r>
          <w:r>
            <w:rPr>
              <w:rFonts w:hint="eastAsia" w:ascii="华文仿宋" w:hAnsi="华文仿宋" w:eastAsia="华文仿宋" w:cs="华文仿宋"/>
              <w:color w:val="auto"/>
              <w:sz w:val="24"/>
              <w:szCs w:val="24"/>
              <w:highlight w:val="none"/>
            </w:rPr>
            <w:t>第四章</w:t>
          </w:r>
          <w:r>
            <w:rPr>
              <w:rFonts w:hint="eastAsia" w:ascii="华文仿宋" w:hAnsi="华文仿宋" w:eastAsia="华文仿宋" w:cs="华文仿宋"/>
              <w:color w:val="auto"/>
              <w:sz w:val="24"/>
              <w:szCs w:val="24"/>
              <w:highlight w:val="none"/>
              <w:lang w:val="en-US" w:eastAsia="zh-CN"/>
            </w:rPr>
            <w:t xml:space="preserve"> </w:t>
          </w:r>
          <w:r>
            <w:rPr>
              <w:rFonts w:hint="eastAsia" w:ascii="华文仿宋" w:hAnsi="华文仿宋" w:eastAsia="华文仿宋" w:cs="华文仿宋"/>
              <w:color w:val="auto"/>
              <w:sz w:val="24"/>
              <w:szCs w:val="24"/>
              <w:highlight w:val="none"/>
            </w:rPr>
            <w:t>合同主要条款</w:t>
          </w:r>
          <w:r>
            <w:rPr>
              <w:rFonts w:hint="eastAsia" w:ascii="华文仿宋" w:hAnsi="华文仿宋" w:eastAsia="华文仿宋" w:cs="华文仿宋"/>
              <w:color w:val="auto"/>
              <w:sz w:val="24"/>
              <w:szCs w:val="24"/>
              <w:highlight w:val="none"/>
              <w:lang w:eastAsia="zh-CN"/>
            </w:rPr>
            <w:t>及格式</w:t>
          </w:r>
          <w:r>
            <w:rPr>
              <w:rFonts w:hint="eastAsia" w:ascii="华文仿宋" w:hAnsi="华文仿宋" w:eastAsia="华文仿宋" w:cs="华文仿宋"/>
              <w:color w:val="auto"/>
              <w:sz w:val="24"/>
              <w:szCs w:val="24"/>
              <w:highlight w:val="none"/>
            </w:rPr>
            <w:t>（参考文本）</w:t>
          </w:r>
          <w:r>
            <w:rPr>
              <w:rFonts w:hint="eastAsia" w:ascii="华文仿宋" w:hAnsi="华文仿宋" w:eastAsia="华文仿宋" w:cs="华文仿宋"/>
              <w:color w:val="auto"/>
              <w:sz w:val="24"/>
              <w:szCs w:val="24"/>
            </w:rPr>
            <w:tab/>
          </w:r>
          <w:r>
            <w:rPr>
              <w:rFonts w:hint="eastAsia" w:ascii="华文仿宋" w:hAnsi="华文仿宋" w:eastAsia="华文仿宋" w:cs="华文仿宋"/>
              <w:color w:val="auto"/>
              <w:sz w:val="24"/>
              <w:szCs w:val="24"/>
            </w:rPr>
            <w:fldChar w:fldCharType="begin"/>
          </w:r>
          <w:r>
            <w:rPr>
              <w:rFonts w:hint="eastAsia" w:ascii="华文仿宋" w:hAnsi="华文仿宋" w:eastAsia="华文仿宋" w:cs="华文仿宋"/>
              <w:color w:val="auto"/>
              <w:sz w:val="24"/>
              <w:szCs w:val="24"/>
            </w:rPr>
            <w:instrText xml:space="preserve"> PAGEREF _Toc6733 \h </w:instrText>
          </w:r>
          <w:r>
            <w:rPr>
              <w:rFonts w:hint="eastAsia" w:ascii="华文仿宋" w:hAnsi="华文仿宋" w:eastAsia="华文仿宋" w:cs="华文仿宋"/>
              <w:color w:val="auto"/>
              <w:sz w:val="24"/>
              <w:szCs w:val="24"/>
            </w:rPr>
            <w:fldChar w:fldCharType="separate"/>
          </w:r>
          <w:r>
            <w:rPr>
              <w:rFonts w:hint="eastAsia" w:ascii="华文仿宋" w:hAnsi="华文仿宋" w:eastAsia="华文仿宋" w:cs="华文仿宋"/>
              <w:color w:val="auto"/>
              <w:sz w:val="24"/>
              <w:szCs w:val="24"/>
            </w:rPr>
            <w:t>27</w:t>
          </w:r>
          <w:r>
            <w:rPr>
              <w:rFonts w:hint="eastAsia" w:ascii="华文仿宋" w:hAnsi="华文仿宋" w:eastAsia="华文仿宋" w:cs="华文仿宋"/>
              <w:color w:val="auto"/>
              <w:sz w:val="24"/>
              <w:szCs w:val="24"/>
            </w:rPr>
            <w:fldChar w:fldCharType="end"/>
          </w:r>
          <w:r>
            <w:rPr>
              <w:rFonts w:hint="eastAsia" w:ascii="华文仿宋" w:hAnsi="华文仿宋" w:eastAsia="华文仿宋" w:cs="华文仿宋"/>
              <w:color w:val="auto"/>
              <w:sz w:val="24"/>
              <w:szCs w:val="24"/>
              <w:highlight w:val="none"/>
            </w:rPr>
            <w:fldChar w:fldCharType="end"/>
          </w:r>
        </w:p>
        <w:p w14:paraId="395D3BC8">
          <w:pPr>
            <w:pStyle w:val="61"/>
            <w:tabs>
              <w:tab w:val="right" w:leader="dot" w:pos="8980"/>
            </w:tabs>
            <w:spacing w:line="600" w:lineRule="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highlight w:val="none"/>
            </w:rPr>
            <w:fldChar w:fldCharType="begin"/>
          </w:r>
          <w:r>
            <w:rPr>
              <w:rFonts w:hint="eastAsia" w:ascii="华文仿宋" w:hAnsi="华文仿宋" w:eastAsia="华文仿宋" w:cs="华文仿宋"/>
              <w:color w:val="auto"/>
              <w:sz w:val="24"/>
              <w:szCs w:val="24"/>
              <w:highlight w:val="none"/>
            </w:rPr>
            <w:instrText xml:space="preserve"> HYPERLINK \l _Toc20151 </w:instrText>
          </w:r>
          <w:r>
            <w:rPr>
              <w:rFonts w:hint="eastAsia" w:ascii="华文仿宋" w:hAnsi="华文仿宋" w:eastAsia="华文仿宋" w:cs="华文仿宋"/>
              <w:color w:val="auto"/>
              <w:sz w:val="24"/>
              <w:szCs w:val="24"/>
              <w:highlight w:val="none"/>
            </w:rPr>
            <w:fldChar w:fldCharType="separate"/>
          </w:r>
          <w:r>
            <w:rPr>
              <w:rFonts w:hint="eastAsia" w:ascii="华文仿宋" w:hAnsi="华文仿宋" w:eastAsia="华文仿宋" w:cs="华文仿宋"/>
              <w:color w:val="auto"/>
              <w:sz w:val="24"/>
              <w:szCs w:val="24"/>
            </w:rPr>
            <w:t xml:space="preserve">第五章 </w:t>
          </w:r>
          <w:r>
            <w:rPr>
              <w:rFonts w:hint="eastAsia" w:ascii="华文仿宋" w:hAnsi="华文仿宋" w:eastAsia="华文仿宋" w:cs="华文仿宋"/>
              <w:color w:val="auto"/>
              <w:sz w:val="24"/>
              <w:szCs w:val="24"/>
              <w:highlight w:val="none"/>
              <w:lang w:eastAsia="zh-CN"/>
            </w:rPr>
            <w:t>服务</w:t>
          </w:r>
          <w:r>
            <w:rPr>
              <w:rFonts w:hint="eastAsia" w:ascii="华文仿宋" w:hAnsi="华文仿宋" w:eastAsia="华文仿宋" w:cs="华文仿宋"/>
              <w:color w:val="auto"/>
              <w:sz w:val="24"/>
              <w:szCs w:val="24"/>
              <w:highlight w:val="none"/>
            </w:rPr>
            <w:t>内容及要求</w:t>
          </w:r>
          <w:r>
            <w:rPr>
              <w:rFonts w:hint="eastAsia" w:ascii="华文仿宋" w:hAnsi="华文仿宋" w:eastAsia="华文仿宋" w:cs="华文仿宋"/>
              <w:color w:val="auto"/>
              <w:sz w:val="24"/>
              <w:szCs w:val="24"/>
            </w:rPr>
            <w:tab/>
          </w:r>
          <w:r>
            <w:rPr>
              <w:rFonts w:hint="eastAsia" w:ascii="华文仿宋" w:hAnsi="华文仿宋" w:eastAsia="华文仿宋" w:cs="华文仿宋"/>
              <w:color w:val="auto"/>
              <w:sz w:val="24"/>
              <w:szCs w:val="24"/>
            </w:rPr>
            <w:fldChar w:fldCharType="begin"/>
          </w:r>
          <w:r>
            <w:rPr>
              <w:rFonts w:hint="eastAsia" w:ascii="华文仿宋" w:hAnsi="华文仿宋" w:eastAsia="华文仿宋" w:cs="华文仿宋"/>
              <w:color w:val="auto"/>
              <w:sz w:val="24"/>
              <w:szCs w:val="24"/>
            </w:rPr>
            <w:instrText xml:space="preserve"> PAGEREF _Toc20151 \h </w:instrText>
          </w:r>
          <w:r>
            <w:rPr>
              <w:rFonts w:hint="eastAsia" w:ascii="华文仿宋" w:hAnsi="华文仿宋" w:eastAsia="华文仿宋" w:cs="华文仿宋"/>
              <w:color w:val="auto"/>
              <w:sz w:val="24"/>
              <w:szCs w:val="24"/>
            </w:rPr>
            <w:fldChar w:fldCharType="separate"/>
          </w:r>
          <w:r>
            <w:rPr>
              <w:rFonts w:hint="eastAsia" w:ascii="华文仿宋" w:hAnsi="华文仿宋" w:eastAsia="华文仿宋" w:cs="华文仿宋"/>
              <w:color w:val="auto"/>
              <w:sz w:val="24"/>
              <w:szCs w:val="24"/>
            </w:rPr>
            <w:t>29</w:t>
          </w:r>
          <w:r>
            <w:rPr>
              <w:rFonts w:hint="eastAsia" w:ascii="华文仿宋" w:hAnsi="华文仿宋" w:eastAsia="华文仿宋" w:cs="华文仿宋"/>
              <w:color w:val="auto"/>
              <w:sz w:val="24"/>
              <w:szCs w:val="24"/>
            </w:rPr>
            <w:fldChar w:fldCharType="end"/>
          </w:r>
          <w:r>
            <w:rPr>
              <w:rFonts w:hint="eastAsia" w:ascii="华文仿宋" w:hAnsi="华文仿宋" w:eastAsia="华文仿宋" w:cs="华文仿宋"/>
              <w:color w:val="auto"/>
              <w:sz w:val="24"/>
              <w:szCs w:val="24"/>
              <w:highlight w:val="none"/>
            </w:rPr>
            <w:fldChar w:fldCharType="end"/>
          </w:r>
        </w:p>
        <w:p w14:paraId="5C1DAF18">
          <w:pPr>
            <w:pStyle w:val="61"/>
            <w:tabs>
              <w:tab w:val="right" w:leader="dot" w:pos="8980"/>
            </w:tabs>
            <w:spacing w:line="600" w:lineRule="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highlight w:val="none"/>
            </w:rPr>
            <w:fldChar w:fldCharType="begin"/>
          </w:r>
          <w:r>
            <w:rPr>
              <w:rFonts w:hint="eastAsia" w:ascii="华文仿宋" w:hAnsi="华文仿宋" w:eastAsia="华文仿宋" w:cs="华文仿宋"/>
              <w:color w:val="auto"/>
              <w:sz w:val="24"/>
              <w:szCs w:val="24"/>
              <w:highlight w:val="none"/>
            </w:rPr>
            <w:instrText xml:space="preserve"> HYPERLINK \l _Toc8871 </w:instrText>
          </w:r>
          <w:r>
            <w:rPr>
              <w:rFonts w:hint="eastAsia" w:ascii="华文仿宋" w:hAnsi="华文仿宋" w:eastAsia="华文仿宋" w:cs="华文仿宋"/>
              <w:color w:val="auto"/>
              <w:sz w:val="24"/>
              <w:szCs w:val="24"/>
              <w:highlight w:val="none"/>
            </w:rPr>
            <w:fldChar w:fldCharType="separate"/>
          </w:r>
          <w:r>
            <w:rPr>
              <w:rFonts w:hint="eastAsia" w:ascii="华文仿宋" w:hAnsi="华文仿宋" w:eastAsia="华文仿宋" w:cs="华文仿宋"/>
              <w:color w:val="auto"/>
              <w:sz w:val="24"/>
              <w:szCs w:val="24"/>
            </w:rPr>
            <w:t xml:space="preserve">第六章 </w:t>
          </w:r>
          <w:r>
            <w:rPr>
              <w:rFonts w:hint="eastAsia" w:ascii="华文仿宋" w:hAnsi="华文仿宋" w:eastAsia="华文仿宋" w:cs="华文仿宋"/>
              <w:color w:val="auto"/>
              <w:sz w:val="24"/>
              <w:szCs w:val="24"/>
              <w:highlight w:val="none"/>
            </w:rPr>
            <w:t>竞争性磋商响应文件格式</w:t>
          </w:r>
          <w:r>
            <w:rPr>
              <w:rFonts w:hint="eastAsia" w:ascii="华文仿宋" w:hAnsi="华文仿宋" w:eastAsia="华文仿宋" w:cs="华文仿宋"/>
              <w:color w:val="auto"/>
              <w:sz w:val="24"/>
              <w:szCs w:val="24"/>
            </w:rPr>
            <w:tab/>
          </w:r>
          <w:r>
            <w:rPr>
              <w:rFonts w:hint="eastAsia" w:ascii="华文仿宋" w:hAnsi="华文仿宋" w:eastAsia="华文仿宋" w:cs="华文仿宋"/>
              <w:color w:val="auto"/>
              <w:sz w:val="24"/>
              <w:szCs w:val="24"/>
            </w:rPr>
            <w:fldChar w:fldCharType="begin"/>
          </w:r>
          <w:r>
            <w:rPr>
              <w:rFonts w:hint="eastAsia" w:ascii="华文仿宋" w:hAnsi="华文仿宋" w:eastAsia="华文仿宋" w:cs="华文仿宋"/>
              <w:color w:val="auto"/>
              <w:sz w:val="24"/>
              <w:szCs w:val="24"/>
            </w:rPr>
            <w:instrText xml:space="preserve"> PAGEREF _Toc8871 \h </w:instrText>
          </w:r>
          <w:r>
            <w:rPr>
              <w:rFonts w:hint="eastAsia" w:ascii="华文仿宋" w:hAnsi="华文仿宋" w:eastAsia="华文仿宋" w:cs="华文仿宋"/>
              <w:color w:val="auto"/>
              <w:sz w:val="24"/>
              <w:szCs w:val="24"/>
            </w:rPr>
            <w:fldChar w:fldCharType="separate"/>
          </w:r>
          <w:r>
            <w:rPr>
              <w:rFonts w:hint="eastAsia" w:ascii="华文仿宋" w:hAnsi="华文仿宋" w:eastAsia="华文仿宋" w:cs="华文仿宋"/>
              <w:color w:val="auto"/>
              <w:sz w:val="24"/>
              <w:szCs w:val="24"/>
            </w:rPr>
            <w:t>33</w:t>
          </w:r>
          <w:r>
            <w:rPr>
              <w:rFonts w:hint="eastAsia" w:ascii="华文仿宋" w:hAnsi="华文仿宋" w:eastAsia="华文仿宋" w:cs="华文仿宋"/>
              <w:color w:val="auto"/>
              <w:sz w:val="24"/>
              <w:szCs w:val="24"/>
            </w:rPr>
            <w:fldChar w:fldCharType="end"/>
          </w:r>
          <w:r>
            <w:rPr>
              <w:rFonts w:hint="eastAsia" w:ascii="华文仿宋" w:hAnsi="华文仿宋" w:eastAsia="华文仿宋" w:cs="华文仿宋"/>
              <w:color w:val="auto"/>
              <w:sz w:val="24"/>
              <w:szCs w:val="24"/>
              <w:highlight w:val="none"/>
            </w:rPr>
            <w:fldChar w:fldCharType="end"/>
          </w:r>
        </w:p>
        <w:p w14:paraId="2B411C6D">
          <w:pPr>
            <w:pStyle w:val="61"/>
            <w:tabs>
              <w:tab w:val="right" w:leader="dot" w:pos="8980"/>
            </w:tabs>
            <w:spacing w:line="600" w:lineRule="auto"/>
            <w:rPr>
              <w:rFonts w:hint="eastAsia" w:ascii="华文仿宋" w:hAnsi="华文仿宋" w:eastAsia="华文仿宋" w:cs="华文仿宋"/>
              <w:color w:val="auto"/>
            </w:rPr>
          </w:pPr>
          <w:r>
            <w:rPr>
              <w:rFonts w:hint="eastAsia" w:ascii="华文仿宋" w:hAnsi="华文仿宋" w:eastAsia="华文仿宋" w:cs="华文仿宋"/>
              <w:color w:val="auto"/>
              <w:sz w:val="24"/>
              <w:szCs w:val="24"/>
              <w:highlight w:val="none"/>
            </w:rPr>
            <w:fldChar w:fldCharType="begin"/>
          </w:r>
          <w:r>
            <w:rPr>
              <w:rFonts w:hint="eastAsia" w:ascii="华文仿宋" w:hAnsi="华文仿宋" w:eastAsia="华文仿宋" w:cs="华文仿宋"/>
              <w:color w:val="auto"/>
              <w:sz w:val="24"/>
              <w:szCs w:val="24"/>
              <w:highlight w:val="none"/>
            </w:rPr>
            <w:instrText xml:space="preserve"> HYPERLINK \l _Toc27149 </w:instrText>
          </w:r>
          <w:r>
            <w:rPr>
              <w:rFonts w:hint="eastAsia" w:ascii="华文仿宋" w:hAnsi="华文仿宋" w:eastAsia="华文仿宋" w:cs="华文仿宋"/>
              <w:color w:val="auto"/>
              <w:sz w:val="24"/>
              <w:szCs w:val="24"/>
              <w:highlight w:val="none"/>
            </w:rPr>
            <w:fldChar w:fldCharType="separate"/>
          </w:r>
          <w:r>
            <w:rPr>
              <w:rFonts w:hint="eastAsia" w:ascii="华文仿宋" w:hAnsi="华文仿宋" w:eastAsia="华文仿宋" w:cs="华文仿宋"/>
              <w:bCs/>
              <w:color w:val="auto"/>
              <w:sz w:val="24"/>
              <w:szCs w:val="24"/>
              <w:highlight w:val="none"/>
            </w:rPr>
            <w:t>河南省政府采购合同融资政策告知函</w:t>
          </w:r>
          <w:r>
            <w:rPr>
              <w:rFonts w:hint="eastAsia" w:ascii="华文仿宋" w:hAnsi="华文仿宋" w:eastAsia="华文仿宋" w:cs="华文仿宋"/>
              <w:color w:val="auto"/>
              <w:sz w:val="24"/>
              <w:szCs w:val="24"/>
            </w:rPr>
            <w:tab/>
          </w:r>
          <w:r>
            <w:rPr>
              <w:rFonts w:hint="eastAsia" w:ascii="华文仿宋" w:hAnsi="华文仿宋" w:eastAsia="华文仿宋" w:cs="华文仿宋"/>
              <w:color w:val="auto"/>
              <w:sz w:val="24"/>
              <w:szCs w:val="24"/>
            </w:rPr>
            <w:fldChar w:fldCharType="begin"/>
          </w:r>
          <w:r>
            <w:rPr>
              <w:rFonts w:hint="eastAsia" w:ascii="华文仿宋" w:hAnsi="华文仿宋" w:eastAsia="华文仿宋" w:cs="华文仿宋"/>
              <w:color w:val="auto"/>
              <w:sz w:val="24"/>
              <w:szCs w:val="24"/>
            </w:rPr>
            <w:instrText xml:space="preserve"> PAGEREF _Toc27149 \h </w:instrText>
          </w:r>
          <w:r>
            <w:rPr>
              <w:rFonts w:hint="eastAsia" w:ascii="华文仿宋" w:hAnsi="华文仿宋" w:eastAsia="华文仿宋" w:cs="华文仿宋"/>
              <w:color w:val="auto"/>
              <w:sz w:val="24"/>
              <w:szCs w:val="24"/>
            </w:rPr>
            <w:fldChar w:fldCharType="separate"/>
          </w:r>
          <w:r>
            <w:rPr>
              <w:rFonts w:hint="eastAsia" w:ascii="华文仿宋" w:hAnsi="华文仿宋" w:eastAsia="华文仿宋" w:cs="华文仿宋"/>
              <w:color w:val="auto"/>
              <w:sz w:val="24"/>
              <w:szCs w:val="24"/>
            </w:rPr>
            <w:t>55</w:t>
          </w:r>
          <w:r>
            <w:rPr>
              <w:rFonts w:hint="eastAsia" w:ascii="华文仿宋" w:hAnsi="华文仿宋" w:eastAsia="华文仿宋" w:cs="华文仿宋"/>
              <w:color w:val="auto"/>
              <w:sz w:val="24"/>
              <w:szCs w:val="24"/>
            </w:rPr>
            <w:fldChar w:fldCharType="end"/>
          </w:r>
          <w:r>
            <w:rPr>
              <w:rFonts w:hint="eastAsia" w:ascii="华文仿宋" w:hAnsi="华文仿宋" w:eastAsia="华文仿宋" w:cs="华文仿宋"/>
              <w:color w:val="auto"/>
              <w:sz w:val="24"/>
              <w:szCs w:val="24"/>
              <w:highlight w:val="none"/>
            </w:rPr>
            <w:fldChar w:fldCharType="end"/>
          </w:r>
        </w:p>
        <w:p w14:paraId="0A7CC37A">
          <w:pPr>
            <w:pageBreakBefore w:val="0"/>
            <w:kinsoku/>
            <w:wordWrap w:val="0"/>
            <w:overflowPunct/>
            <w:topLinePunct/>
            <w:bidi w:val="0"/>
            <w:spacing w:line="360" w:lineRule="auto"/>
            <w:rPr>
              <w:rFonts w:hint="eastAsia" w:ascii="华文仿宋" w:hAnsi="华文仿宋" w:eastAsia="华文仿宋" w:cs="华文仿宋"/>
              <w:color w:val="auto"/>
              <w:highlight w:val="none"/>
            </w:rPr>
          </w:pPr>
          <w:r>
            <w:rPr>
              <w:rFonts w:hint="eastAsia" w:ascii="华文仿宋" w:hAnsi="华文仿宋" w:eastAsia="华文仿宋" w:cs="华文仿宋"/>
              <w:color w:val="auto"/>
              <w:highlight w:val="none"/>
            </w:rPr>
            <w:fldChar w:fldCharType="end"/>
          </w:r>
        </w:p>
      </w:sdtContent>
    </w:sdt>
    <w:p w14:paraId="001FA53F">
      <w:pPr>
        <w:pageBreakBefore w:val="0"/>
        <w:kinsoku/>
        <w:wordWrap w:val="0"/>
        <w:overflowPunct/>
        <w:topLinePunct/>
        <w:bidi w:val="0"/>
        <w:spacing w:line="360" w:lineRule="auto"/>
        <w:rPr>
          <w:rFonts w:hint="eastAsia" w:ascii="华文仿宋" w:hAnsi="华文仿宋" w:eastAsia="华文仿宋" w:cs="华文仿宋"/>
          <w:color w:val="auto"/>
          <w:highlight w:val="none"/>
        </w:rPr>
      </w:pPr>
    </w:p>
    <w:p w14:paraId="3D77AE08">
      <w:pPr>
        <w:pageBreakBefore w:val="0"/>
        <w:kinsoku/>
        <w:wordWrap w:val="0"/>
        <w:overflowPunct/>
        <w:topLinePunct/>
        <w:bidi w:val="0"/>
        <w:spacing w:line="360" w:lineRule="auto"/>
        <w:rPr>
          <w:rFonts w:hint="eastAsia" w:ascii="华文仿宋" w:hAnsi="华文仿宋" w:eastAsia="华文仿宋" w:cs="华文仿宋"/>
          <w:color w:val="auto"/>
          <w:highlight w:val="none"/>
        </w:rPr>
      </w:pPr>
    </w:p>
    <w:p w14:paraId="3171B8DB">
      <w:pPr>
        <w:pageBreakBefore w:val="0"/>
        <w:kinsoku/>
        <w:wordWrap w:val="0"/>
        <w:overflowPunct/>
        <w:topLinePunct/>
        <w:bidi w:val="0"/>
        <w:spacing w:line="360" w:lineRule="auto"/>
        <w:rPr>
          <w:rFonts w:hint="eastAsia" w:ascii="华文仿宋" w:hAnsi="华文仿宋" w:eastAsia="华文仿宋" w:cs="华文仿宋"/>
          <w:color w:val="auto"/>
          <w:highlight w:val="none"/>
        </w:rPr>
      </w:pPr>
    </w:p>
    <w:p w14:paraId="6DAF754E">
      <w:pPr>
        <w:pageBreakBefore w:val="0"/>
        <w:kinsoku/>
        <w:wordWrap w:val="0"/>
        <w:overflowPunct/>
        <w:topLinePunct/>
        <w:bidi w:val="0"/>
        <w:spacing w:line="360" w:lineRule="auto"/>
        <w:rPr>
          <w:rFonts w:hint="eastAsia" w:ascii="华文仿宋" w:hAnsi="华文仿宋" w:eastAsia="华文仿宋" w:cs="华文仿宋"/>
          <w:color w:val="auto"/>
          <w:highlight w:val="none"/>
        </w:rPr>
      </w:pPr>
    </w:p>
    <w:p w14:paraId="0E91AA82">
      <w:pPr>
        <w:pageBreakBefore w:val="0"/>
        <w:kinsoku/>
        <w:wordWrap w:val="0"/>
        <w:overflowPunct/>
        <w:topLinePunct/>
        <w:bidi w:val="0"/>
        <w:spacing w:line="360" w:lineRule="auto"/>
        <w:rPr>
          <w:rFonts w:hint="eastAsia" w:ascii="华文仿宋" w:hAnsi="华文仿宋" w:eastAsia="华文仿宋" w:cs="华文仿宋"/>
          <w:color w:val="auto"/>
          <w:highlight w:val="none"/>
        </w:rPr>
      </w:pPr>
    </w:p>
    <w:p w14:paraId="2935F4E6">
      <w:pPr>
        <w:pageBreakBefore w:val="0"/>
        <w:kinsoku/>
        <w:wordWrap w:val="0"/>
        <w:overflowPunct/>
        <w:topLinePunct/>
        <w:bidi w:val="0"/>
        <w:spacing w:line="360" w:lineRule="auto"/>
        <w:rPr>
          <w:rFonts w:hint="eastAsia" w:ascii="华文仿宋" w:hAnsi="华文仿宋" w:eastAsia="华文仿宋" w:cs="华文仿宋"/>
          <w:color w:val="auto"/>
          <w:highlight w:val="none"/>
        </w:rPr>
      </w:pPr>
    </w:p>
    <w:p w14:paraId="7F54CC3F">
      <w:pPr>
        <w:pageBreakBefore w:val="0"/>
        <w:kinsoku/>
        <w:wordWrap w:val="0"/>
        <w:overflowPunct/>
        <w:topLinePunct/>
        <w:bidi w:val="0"/>
        <w:spacing w:line="360" w:lineRule="auto"/>
        <w:rPr>
          <w:rFonts w:hint="eastAsia" w:ascii="华文仿宋" w:hAnsi="华文仿宋" w:eastAsia="华文仿宋" w:cs="华文仿宋"/>
          <w:color w:val="auto"/>
          <w:highlight w:val="none"/>
        </w:rPr>
      </w:pPr>
    </w:p>
    <w:p w14:paraId="4F5F2D30">
      <w:pPr>
        <w:pageBreakBefore w:val="0"/>
        <w:kinsoku/>
        <w:wordWrap w:val="0"/>
        <w:overflowPunct/>
        <w:topLinePunct/>
        <w:bidi w:val="0"/>
        <w:spacing w:line="360" w:lineRule="auto"/>
        <w:rPr>
          <w:rFonts w:hint="eastAsia" w:ascii="华文仿宋" w:hAnsi="华文仿宋" w:eastAsia="华文仿宋" w:cs="华文仿宋"/>
          <w:color w:val="auto"/>
          <w:highlight w:val="none"/>
        </w:rPr>
      </w:pPr>
    </w:p>
    <w:p w14:paraId="49BCB182">
      <w:pPr>
        <w:pageBreakBefore w:val="0"/>
        <w:kinsoku/>
        <w:wordWrap w:val="0"/>
        <w:overflowPunct/>
        <w:topLinePunct/>
        <w:bidi w:val="0"/>
        <w:spacing w:line="360" w:lineRule="auto"/>
        <w:rPr>
          <w:rFonts w:hint="eastAsia" w:ascii="华文仿宋" w:hAnsi="华文仿宋" w:eastAsia="华文仿宋" w:cs="华文仿宋"/>
          <w:color w:val="auto"/>
          <w:highlight w:val="none"/>
        </w:rPr>
      </w:pPr>
    </w:p>
    <w:p w14:paraId="1953C2BE">
      <w:pPr>
        <w:pageBreakBefore w:val="0"/>
        <w:kinsoku/>
        <w:wordWrap w:val="0"/>
        <w:overflowPunct/>
        <w:topLinePunct/>
        <w:bidi w:val="0"/>
        <w:spacing w:line="360" w:lineRule="auto"/>
        <w:rPr>
          <w:rFonts w:hint="eastAsia" w:ascii="华文仿宋" w:hAnsi="华文仿宋" w:eastAsia="华文仿宋" w:cs="华文仿宋"/>
          <w:color w:val="auto"/>
          <w:highlight w:val="none"/>
        </w:rPr>
      </w:pPr>
    </w:p>
    <w:p w14:paraId="2BB5A500">
      <w:pPr>
        <w:pageBreakBefore w:val="0"/>
        <w:kinsoku/>
        <w:wordWrap w:val="0"/>
        <w:overflowPunct/>
        <w:topLinePunct/>
        <w:bidi w:val="0"/>
        <w:spacing w:line="360" w:lineRule="auto"/>
        <w:rPr>
          <w:rFonts w:hint="eastAsia" w:ascii="华文仿宋" w:hAnsi="华文仿宋" w:eastAsia="华文仿宋" w:cs="华文仿宋"/>
          <w:color w:val="auto"/>
          <w:highlight w:val="none"/>
        </w:rPr>
      </w:pPr>
    </w:p>
    <w:p w14:paraId="36DD9A7B">
      <w:pPr>
        <w:pageBreakBefore w:val="0"/>
        <w:kinsoku/>
        <w:wordWrap w:val="0"/>
        <w:overflowPunct/>
        <w:topLinePunct/>
        <w:bidi w:val="0"/>
        <w:spacing w:line="360" w:lineRule="auto"/>
        <w:rPr>
          <w:rFonts w:hint="eastAsia" w:ascii="华文仿宋" w:hAnsi="华文仿宋" w:eastAsia="华文仿宋" w:cs="华文仿宋"/>
          <w:color w:val="auto"/>
          <w:highlight w:val="none"/>
        </w:rPr>
      </w:pPr>
    </w:p>
    <w:p w14:paraId="7A5AA5C4">
      <w:pPr>
        <w:pageBreakBefore w:val="0"/>
        <w:kinsoku/>
        <w:wordWrap w:val="0"/>
        <w:overflowPunct/>
        <w:topLinePunct/>
        <w:bidi w:val="0"/>
        <w:spacing w:line="360" w:lineRule="auto"/>
        <w:rPr>
          <w:rFonts w:hint="eastAsia" w:ascii="华文仿宋" w:hAnsi="华文仿宋" w:eastAsia="华文仿宋" w:cs="华文仿宋"/>
          <w:color w:val="auto"/>
          <w:highlight w:val="none"/>
        </w:rPr>
      </w:pPr>
    </w:p>
    <w:p w14:paraId="31A91623">
      <w:pPr>
        <w:pageBreakBefore w:val="0"/>
        <w:kinsoku/>
        <w:wordWrap w:val="0"/>
        <w:overflowPunct/>
        <w:topLinePunct/>
        <w:bidi w:val="0"/>
        <w:spacing w:line="360" w:lineRule="auto"/>
        <w:rPr>
          <w:rFonts w:hint="eastAsia" w:ascii="华文仿宋" w:hAnsi="华文仿宋" w:eastAsia="华文仿宋" w:cs="华文仿宋"/>
          <w:color w:val="auto"/>
          <w:highlight w:val="none"/>
        </w:rPr>
      </w:pPr>
    </w:p>
    <w:p w14:paraId="49406C6D">
      <w:pPr>
        <w:pStyle w:val="41"/>
        <w:rPr>
          <w:rFonts w:hint="eastAsia" w:ascii="华文仿宋" w:hAnsi="华文仿宋" w:eastAsia="华文仿宋" w:cs="华文仿宋"/>
          <w:color w:val="auto"/>
        </w:rPr>
      </w:pPr>
    </w:p>
    <w:p w14:paraId="6ACB2297">
      <w:pPr>
        <w:pageBreakBefore w:val="0"/>
        <w:kinsoku/>
        <w:wordWrap w:val="0"/>
        <w:overflowPunct/>
        <w:topLinePunct/>
        <w:bidi w:val="0"/>
        <w:spacing w:line="360" w:lineRule="auto"/>
        <w:jc w:val="center"/>
        <w:rPr>
          <w:rFonts w:hint="eastAsia" w:ascii="华文仿宋" w:hAnsi="华文仿宋" w:eastAsia="华文仿宋" w:cs="华文仿宋"/>
          <w:b/>
          <w:bCs/>
          <w:color w:val="auto"/>
          <w:sz w:val="36"/>
          <w:szCs w:val="36"/>
          <w:highlight w:val="none"/>
        </w:rPr>
      </w:pPr>
      <w:r>
        <w:rPr>
          <w:rFonts w:hint="eastAsia" w:ascii="华文仿宋" w:hAnsi="华文仿宋" w:eastAsia="华文仿宋" w:cs="华文仿宋"/>
          <w:b/>
          <w:bCs/>
          <w:color w:val="auto"/>
          <w:sz w:val="36"/>
          <w:szCs w:val="36"/>
          <w:highlight w:val="none"/>
        </w:rPr>
        <w:t>电子招投标特别提示</w:t>
      </w:r>
    </w:p>
    <w:p w14:paraId="203E5D32">
      <w:pPr>
        <w:pageBreakBefore w:val="0"/>
        <w:kinsoku/>
        <w:wordWrap w:val="0"/>
        <w:overflowPunct/>
        <w:topLinePunct/>
        <w:bidi w:val="0"/>
        <w:spacing w:line="360" w:lineRule="auto"/>
        <w:rPr>
          <w:rFonts w:hint="eastAsia" w:ascii="华文仿宋" w:hAnsi="华文仿宋" w:eastAsia="华文仿宋" w:cs="华文仿宋"/>
          <w:color w:val="auto"/>
          <w:sz w:val="24"/>
          <w:szCs w:val="24"/>
          <w:highlight w:val="none"/>
        </w:rPr>
      </w:pPr>
    </w:p>
    <w:p w14:paraId="47332FFB">
      <w:pPr>
        <w:keepNext w:val="0"/>
        <w:keepLines w:val="0"/>
        <w:pageBreakBefore w:val="0"/>
        <w:widowControl w:val="0"/>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b/>
          <w:bCs/>
          <w:color w:val="auto"/>
          <w:sz w:val="21"/>
          <w:szCs w:val="21"/>
          <w:highlight w:val="none"/>
          <w:u w:val="double"/>
        </w:rPr>
      </w:pPr>
      <w:r>
        <w:rPr>
          <w:rFonts w:hint="eastAsia" w:ascii="华文仿宋" w:hAnsi="华文仿宋" w:eastAsia="华文仿宋" w:cs="华文仿宋"/>
          <w:b/>
          <w:bCs/>
          <w:color w:val="auto"/>
          <w:sz w:val="21"/>
          <w:szCs w:val="21"/>
          <w:highlight w:val="none"/>
          <w:u w:val="double"/>
        </w:rPr>
        <w:t>一、投标人（供应商）注册</w:t>
      </w:r>
    </w:p>
    <w:p w14:paraId="7778B14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凡有意参加本项目的投标人（供应商），请</w:t>
      </w:r>
      <w:r>
        <w:rPr>
          <w:rFonts w:hint="eastAsia" w:ascii="华文仿宋" w:hAnsi="华文仿宋" w:eastAsia="华文仿宋" w:cs="华文仿宋"/>
          <w:color w:val="auto"/>
          <w:sz w:val="21"/>
          <w:szCs w:val="21"/>
          <w:highlight w:val="none"/>
          <w:lang w:eastAsia="zh-CN"/>
        </w:rPr>
        <w:t>登录</w:t>
      </w:r>
      <w:r>
        <w:rPr>
          <w:rFonts w:hint="eastAsia" w:ascii="华文仿宋" w:hAnsi="华文仿宋" w:eastAsia="华文仿宋" w:cs="华文仿宋"/>
          <w:color w:val="auto"/>
          <w:sz w:val="21"/>
          <w:szCs w:val="21"/>
          <w:highlight w:val="none"/>
        </w:rPr>
        <w:t>“全国公共资源交易平台（河南省·信  阳市）https://ggzyjy.xinyang.gov.cn ”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4FAA5710">
      <w:pPr>
        <w:keepNext w:val="0"/>
        <w:keepLines w:val="0"/>
        <w:pageBreakBefore w:val="0"/>
        <w:widowControl w:val="0"/>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b/>
          <w:bCs/>
          <w:color w:val="auto"/>
          <w:sz w:val="21"/>
          <w:szCs w:val="21"/>
          <w:highlight w:val="none"/>
          <w:u w:val="double"/>
        </w:rPr>
      </w:pPr>
      <w:r>
        <w:rPr>
          <w:rFonts w:hint="eastAsia" w:ascii="华文仿宋" w:hAnsi="华文仿宋" w:eastAsia="华文仿宋" w:cs="华文仿宋"/>
          <w:b/>
          <w:bCs/>
          <w:color w:val="auto"/>
          <w:sz w:val="21"/>
          <w:szCs w:val="21"/>
          <w:highlight w:val="none"/>
          <w:u w:val="double"/>
        </w:rPr>
        <w:t>二、办理 CA 数字证书</w:t>
      </w:r>
    </w:p>
    <w:p w14:paraId="200DEE80">
      <w:pPr>
        <w:spacing w:line="500" w:lineRule="exact"/>
        <w:ind w:firstLine="420" w:firstLineChars="200"/>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完成企业诚信库注册后，必须办理 CA 数字证书方可在网上办理招投标相关业务。投标人（供应商）根据信阳市公共资源交易网通知公告栏目中《关于信阳市公共资源交易平台数字证书（CA）互认系统正式上线运行的通知》要求，自行选择CA数字证书服务商，线上、线下办理CA数字证书。</w:t>
      </w:r>
    </w:p>
    <w:p w14:paraId="49B82351">
      <w:pPr>
        <w:keepNext w:val="0"/>
        <w:keepLines w:val="0"/>
        <w:pageBreakBefore w:val="0"/>
        <w:widowControl w:val="0"/>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b/>
          <w:bCs/>
          <w:color w:val="auto"/>
          <w:sz w:val="21"/>
          <w:szCs w:val="21"/>
          <w:highlight w:val="none"/>
          <w:u w:val="double"/>
        </w:rPr>
      </w:pPr>
      <w:r>
        <w:rPr>
          <w:rFonts w:hint="eastAsia" w:ascii="华文仿宋" w:hAnsi="华文仿宋" w:eastAsia="华文仿宋" w:cs="华文仿宋"/>
          <w:b/>
          <w:bCs/>
          <w:color w:val="auto"/>
          <w:sz w:val="21"/>
          <w:szCs w:val="21"/>
          <w:highlight w:val="none"/>
          <w:u w:val="double"/>
        </w:rPr>
        <w:t>三、招标（采购）文件获取方式</w:t>
      </w:r>
    </w:p>
    <w:p w14:paraId="5887269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投标人（供应商）凭 CA 数字证书</w:t>
      </w:r>
      <w:r>
        <w:rPr>
          <w:rFonts w:hint="eastAsia" w:ascii="华文仿宋" w:hAnsi="华文仿宋" w:eastAsia="华文仿宋" w:cs="华文仿宋"/>
          <w:color w:val="auto"/>
          <w:sz w:val="21"/>
          <w:szCs w:val="21"/>
          <w:highlight w:val="none"/>
          <w:lang w:eastAsia="zh-CN"/>
        </w:rPr>
        <w:t>登录</w:t>
      </w:r>
      <w:r>
        <w:rPr>
          <w:rFonts w:hint="eastAsia" w:ascii="华文仿宋" w:hAnsi="华文仿宋" w:eastAsia="华文仿宋" w:cs="华文仿宋"/>
          <w:color w:val="auto"/>
          <w:sz w:val="21"/>
          <w:szCs w:val="21"/>
          <w:highlight w:val="none"/>
        </w:rPr>
        <w:t>会员系统后，即可按网上提示免费下载招标（采购）文件及资料（操作程序详见信阳市公共资源交易中心网站下载中心栏目里投标人操作手册）。招标文件(*.XYZF 格式)下载后需使用“信阳市投标文件制作工具软件”打开（该工具软件可在“全国公共资源交易平台（河南省·信阳市）（https://ggzyjy.xinyang.gov.cn ）”网站下载中心栏目内下载或在招标文件领取页面下载）。</w:t>
      </w:r>
    </w:p>
    <w:p w14:paraId="72F56010">
      <w:pPr>
        <w:keepNext w:val="0"/>
        <w:keepLines w:val="0"/>
        <w:pageBreakBefore w:val="0"/>
        <w:widowControl w:val="0"/>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b/>
          <w:bCs/>
          <w:color w:val="auto"/>
          <w:sz w:val="21"/>
          <w:szCs w:val="21"/>
          <w:highlight w:val="none"/>
          <w:u w:val="double"/>
        </w:rPr>
      </w:pPr>
      <w:r>
        <w:rPr>
          <w:rFonts w:hint="eastAsia" w:ascii="华文仿宋" w:hAnsi="华文仿宋" w:eastAsia="华文仿宋" w:cs="华文仿宋"/>
          <w:b/>
          <w:bCs/>
          <w:color w:val="auto"/>
          <w:sz w:val="21"/>
          <w:szCs w:val="21"/>
          <w:highlight w:val="none"/>
          <w:u w:val="double"/>
        </w:rPr>
        <w:t>四、投标（响应）文件制作</w:t>
      </w:r>
    </w:p>
    <w:p w14:paraId="0ACB041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投标（响应）文件应使用信阳市公共资源交易系统投标文件制作专用工具软件编制，投标（响应）文件格式为“*.XYTF”。</w:t>
      </w:r>
    </w:p>
    <w:p w14:paraId="75EAD43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投标人（供应商）须在投标（响应）文件递交截止时间前制作并提交。</w:t>
      </w:r>
    </w:p>
    <w:p w14:paraId="33C5EBC0">
      <w:pPr>
        <w:keepNext w:val="0"/>
        <w:keepLines w:val="0"/>
        <w:pageBreakBefore w:val="0"/>
        <w:widowControl w:val="0"/>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b/>
          <w:bCs/>
          <w:color w:val="auto"/>
          <w:sz w:val="21"/>
          <w:szCs w:val="21"/>
          <w:highlight w:val="none"/>
          <w:u w:val="double"/>
        </w:rPr>
      </w:pPr>
      <w:r>
        <w:rPr>
          <w:rFonts w:hint="eastAsia" w:ascii="华文仿宋" w:hAnsi="华文仿宋" w:eastAsia="华文仿宋" w:cs="华文仿宋"/>
          <w:b/>
          <w:bCs/>
          <w:color w:val="auto"/>
          <w:sz w:val="21"/>
          <w:szCs w:val="21"/>
          <w:highlight w:val="none"/>
          <w:u w:val="double"/>
        </w:rPr>
        <w:t>五、投标（响应）文件的签字和盖章要求</w:t>
      </w:r>
    </w:p>
    <w:p w14:paraId="5E955C3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1、投标文件（响应）格式中所有要求投标人（供应商）加盖公章的地方都须加盖投标人（供应商）的 CA 印章。</w:t>
      </w:r>
    </w:p>
    <w:p w14:paraId="627A62E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2、投标文件（响应）格式中所有要求法定代表人或其委托代理人签字或盖章的地方（不含授权委托书委托人签字）都须加盖法定代表人 CA 印章。</w:t>
      </w:r>
    </w:p>
    <w:p w14:paraId="57E6F30A">
      <w:pPr>
        <w:keepNext w:val="0"/>
        <w:keepLines w:val="0"/>
        <w:pageBreakBefore w:val="0"/>
        <w:widowControl w:val="0"/>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b/>
          <w:bCs/>
          <w:color w:val="auto"/>
          <w:sz w:val="21"/>
          <w:szCs w:val="21"/>
          <w:highlight w:val="none"/>
          <w:u w:val="double"/>
        </w:rPr>
      </w:pPr>
      <w:r>
        <w:rPr>
          <w:rFonts w:hint="eastAsia" w:ascii="华文仿宋" w:hAnsi="华文仿宋" w:eastAsia="华文仿宋" w:cs="华文仿宋"/>
          <w:b/>
          <w:bCs/>
          <w:color w:val="auto"/>
          <w:sz w:val="21"/>
          <w:szCs w:val="21"/>
          <w:highlight w:val="none"/>
          <w:u w:val="double"/>
        </w:rPr>
        <w:t>六、投标文件份数</w:t>
      </w:r>
    </w:p>
    <w:p w14:paraId="0D0B62A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加密的电子投标（响应）文件壹份（*.XYTF 格式，在会员系统指定位置上传）。</w:t>
      </w:r>
    </w:p>
    <w:p w14:paraId="0FFB1349">
      <w:pPr>
        <w:keepNext w:val="0"/>
        <w:keepLines w:val="0"/>
        <w:pageBreakBefore w:val="0"/>
        <w:widowControl w:val="0"/>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b/>
          <w:bCs/>
          <w:color w:val="auto"/>
          <w:sz w:val="21"/>
          <w:szCs w:val="21"/>
          <w:highlight w:val="none"/>
          <w:u w:val="double"/>
        </w:rPr>
      </w:pPr>
      <w:r>
        <w:rPr>
          <w:rFonts w:hint="eastAsia" w:ascii="华文仿宋" w:hAnsi="华文仿宋" w:eastAsia="华文仿宋" w:cs="华文仿宋"/>
          <w:b/>
          <w:bCs/>
          <w:color w:val="auto"/>
          <w:sz w:val="21"/>
          <w:szCs w:val="21"/>
          <w:highlight w:val="none"/>
          <w:u w:val="double"/>
        </w:rPr>
        <w:t>七、投标（响应）文件的递交</w:t>
      </w:r>
    </w:p>
    <w:p w14:paraId="6D24B4F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2"/>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1、电子投标（响应）文件的递交</w:t>
      </w:r>
    </w:p>
    <w:p w14:paraId="425B689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各投标（供应商）人应在投标截止时间前上传加密的电子投标（响应）文件（*.XYTF）到会员系统的指定位置。上传的电子投标文件应使用投标人 CA 数字证书认证并加密。上传时必须得到交易系统“上传成功”的确认回复后方为上传成功。请投标人（供应商）在上传前务必认真检查上传投标（响应）文件是否完整、正确。</w:t>
      </w:r>
    </w:p>
    <w:p w14:paraId="5823AB5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2、本项目采用“不见面开标”交易方式，不见面开标大厅网址为https://ggzyjy.xinyang.gov.cn/，</w:t>
      </w:r>
      <w:r>
        <w:rPr>
          <w:rFonts w:hint="eastAsia" w:ascii="华文仿宋" w:hAnsi="华文仿宋" w:eastAsia="华文仿宋" w:cs="华文仿宋"/>
          <w:color w:val="auto"/>
          <w:sz w:val="21"/>
          <w:szCs w:val="21"/>
          <w:highlight w:val="none"/>
          <w:lang w:eastAsia="zh-CN"/>
        </w:rPr>
        <w:t>投标人</w:t>
      </w:r>
      <w:r>
        <w:rPr>
          <w:rFonts w:hint="eastAsia" w:ascii="华文仿宋" w:hAnsi="华文仿宋" w:eastAsia="华文仿宋" w:cs="华文仿宋"/>
          <w:color w:val="auto"/>
          <w:sz w:val="21"/>
          <w:szCs w:val="21"/>
          <w:highlight w:val="none"/>
        </w:rPr>
        <w:t>无需寄送和递交非加密的电子投标文件，无需到现场参加开标会议，无需到达现场提交原件资料。</w:t>
      </w:r>
    </w:p>
    <w:p w14:paraId="14D0AAA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eastAsia="zh-CN"/>
        </w:rPr>
        <w:t>投标人</w:t>
      </w:r>
      <w:r>
        <w:rPr>
          <w:rFonts w:hint="eastAsia" w:ascii="华文仿宋" w:hAnsi="华文仿宋" w:eastAsia="华文仿宋" w:cs="华文仿宋"/>
          <w:color w:val="auto"/>
          <w:sz w:val="21"/>
          <w:szCs w:val="21"/>
          <w:highlight w:val="none"/>
        </w:rPr>
        <w:t>应当在投标截止时间前，使用</w:t>
      </w:r>
      <w:r>
        <w:rPr>
          <w:rFonts w:hint="eastAsia" w:ascii="华文仿宋" w:hAnsi="华文仿宋" w:eastAsia="华文仿宋" w:cs="华文仿宋"/>
          <w:color w:val="auto"/>
          <w:sz w:val="21"/>
          <w:szCs w:val="21"/>
          <w:highlight w:val="none"/>
          <w:lang w:eastAsia="zh-CN"/>
        </w:rPr>
        <w:t>投标人</w:t>
      </w:r>
      <w:r>
        <w:rPr>
          <w:rFonts w:hint="eastAsia" w:ascii="华文仿宋" w:hAnsi="华文仿宋" w:eastAsia="华文仿宋" w:cs="华文仿宋"/>
          <w:color w:val="auto"/>
          <w:sz w:val="21"/>
          <w:szCs w:val="21"/>
          <w:highlight w:val="none"/>
        </w:rPr>
        <w:t>CA数字证书登录不见面开标大厅，在线签到并准时参加开标活动，并在规定时间内完成投标文件解密、答疑澄清等。</w:t>
      </w:r>
    </w:p>
    <w:p w14:paraId="48B55CE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逾期解密或者没有准时在线参加开标活动导致的一切后果</w:t>
      </w:r>
      <w:r>
        <w:rPr>
          <w:rFonts w:hint="eastAsia" w:ascii="华文仿宋" w:hAnsi="华文仿宋" w:eastAsia="华文仿宋" w:cs="华文仿宋"/>
          <w:color w:val="auto"/>
          <w:sz w:val="21"/>
          <w:szCs w:val="21"/>
          <w:highlight w:val="none"/>
          <w:lang w:eastAsia="zh-CN"/>
        </w:rPr>
        <w:t>投标人</w:t>
      </w:r>
      <w:r>
        <w:rPr>
          <w:rFonts w:hint="eastAsia" w:ascii="华文仿宋" w:hAnsi="华文仿宋" w:eastAsia="华文仿宋" w:cs="华文仿宋"/>
          <w:color w:val="auto"/>
          <w:sz w:val="21"/>
          <w:szCs w:val="21"/>
          <w:highlight w:val="none"/>
        </w:rPr>
        <w:t>自行承担。</w:t>
      </w:r>
    </w:p>
    <w:p w14:paraId="00B3231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不见面开标服务的具体事宜，请查阅信阳市公共资源交易中心网站首页—下载中心—信阳市不见面开标大厅系统操作手册 。</w:t>
      </w:r>
    </w:p>
    <w:p w14:paraId="361B0F4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特别提示：</w:t>
      </w:r>
      <w:r>
        <w:rPr>
          <w:rFonts w:hint="eastAsia" w:ascii="华文仿宋" w:hAnsi="华文仿宋" w:eastAsia="华文仿宋" w:cs="华文仿宋"/>
          <w:color w:val="auto"/>
          <w:sz w:val="21"/>
          <w:szCs w:val="21"/>
          <w:highlight w:val="none"/>
          <w:lang w:eastAsia="zh-CN"/>
        </w:rPr>
        <w:t>投标人</w:t>
      </w:r>
      <w:r>
        <w:rPr>
          <w:rFonts w:hint="eastAsia" w:ascii="华文仿宋" w:hAnsi="华文仿宋" w:eastAsia="华文仿宋" w:cs="华文仿宋"/>
          <w:color w:val="auto"/>
          <w:sz w:val="21"/>
          <w:szCs w:val="21"/>
          <w:highlight w:val="none"/>
        </w:rPr>
        <w:t>在线签到时，应如实准确的填写授权委托人的联系电话，开标当天请务必保证电话保持畅通。</w:t>
      </w:r>
    </w:p>
    <w:p w14:paraId="3492CAE9">
      <w:pPr>
        <w:keepNext w:val="0"/>
        <w:keepLines w:val="0"/>
        <w:pageBreakBefore w:val="0"/>
        <w:widowControl w:val="0"/>
        <w:numPr>
          <w:ilvl w:val="0"/>
          <w:numId w:val="0"/>
        </w:numPr>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  </w:t>
      </w:r>
      <w:r>
        <w:rPr>
          <w:rFonts w:hint="eastAsia" w:ascii="华文仿宋" w:hAnsi="华文仿宋" w:eastAsia="华文仿宋" w:cs="华文仿宋"/>
          <w:b/>
          <w:bCs/>
          <w:color w:val="auto"/>
          <w:sz w:val="21"/>
          <w:szCs w:val="21"/>
          <w:highlight w:val="none"/>
          <w:u w:val="double"/>
        </w:rPr>
        <w:t>八、澄清与变更</w:t>
      </w:r>
    </w:p>
    <w:p w14:paraId="1BF5350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如有疑问，以书面形式（包括信函、电报、传真等可以有形表现所载内容的形式），要  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4ACFF445">
      <w:pPr>
        <w:widowControl/>
        <w:spacing w:line="360" w:lineRule="exact"/>
        <w:ind w:firstLine="210" w:firstLineChars="100"/>
        <w:jc w:val="left"/>
        <w:outlineLvl w:val="1"/>
        <w:rPr>
          <w:rFonts w:hint="eastAsia" w:ascii="华文仿宋" w:hAnsi="华文仿宋" w:eastAsia="华文仿宋" w:cs="华文仿宋"/>
          <w:b/>
          <w:bCs/>
          <w:color w:val="auto"/>
          <w:szCs w:val="21"/>
          <w:highlight w:val="none"/>
          <w:u w:val="double"/>
        </w:rPr>
      </w:pPr>
      <w:r>
        <w:rPr>
          <w:rFonts w:hint="eastAsia" w:ascii="华文仿宋" w:hAnsi="华文仿宋" w:eastAsia="华文仿宋" w:cs="华文仿宋"/>
          <w:b/>
          <w:bCs/>
          <w:color w:val="auto"/>
          <w:szCs w:val="21"/>
          <w:highlight w:val="none"/>
          <w:u w:val="double"/>
        </w:rPr>
        <w:t xml:space="preserve">九、其他注意事项 </w:t>
      </w:r>
    </w:p>
    <w:p w14:paraId="22EFC262">
      <w:pPr>
        <w:widowControl/>
        <w:spacing w:line="500" w:lineRule="exact"/>
        <w:ind w:firstLine="420" w:firstLineChars="200"/>
        <w:jc w:val="left"/>
        <w:rPr>
          <w:rFonts w:hint="eastAsia" w:ascii="华文仿宋" w:hAnsi="华文仿宋" w:eastAsia="华文仿宋" w:cs="华文仿宋"/>
          <w:b/>
          <w:bCs/>
          <w:color w:val="auto"/>
          <w:szCs w:val="21"/>
          <w:highlight w:val="none"/>
          <w:u w:val="double"/>
        </w:rPr>
      </w:pPr>
      <w:r>
        <w:rPr>
          <w:rFonts w:hint="eastAsia" w:ascii="华文仿宋" w:hAnsi="华文仿宋" w:eastAsia="华文仿宋" w:cs="华文仿宋"/>
          <w:b/>
          <w:bCs/>
          <w:color w:val="auto"/>
          <w:szCs w:val="21"/>
          <w:highlight w:val="none"/>
          <w:u w:val="double"/>
        </w:rPr>
        <w:t>1、</w:t>
      </w:r>
      <w:r>
        <w:rPr>
          <w:rFonts w:hint="eastAsia" w:ascii="华文仿宋" w:hAnsi="华文仿宋" w:eastAsia="华文仿宋" w:cs="华文仿宋"/>
          <w:b/>
          <w:bCs/>
          <w:color w:val="auto"/>
          <w:szCs w:val="21"/>
          <w:highlight w:val="none"/>
          <w:u w:val="double"/>
          <w:lang w:val="en-US" w:eastAsia="zh-CN"/>
        </w:rPr>
        <w:t>供应商</w:t>
      </w:r>
      <w:r>
        <w:rPr>
          <w:rFonts w:hint="eastAsia" w:ascii="华文仿宋" w:hAnsi="华文仿宋" w:eastAsia="华文仿宋" w:cs="华文仿宋"/>
          <w:b/>
          <w:bCs/>
          <w:color w:val="auto"/>
          <w:szCs w:val="21"/>
          <w:highlight w:val="none"/>
          <w:u w:val="double"/>
        </w:rPr>
        <w:t>（</w:t>
      </w:r>
      <w:r>
        <w:rPr>
          <w:rFonts w:hint="eastAsia" w:ascii="华文仿宋" w:hAnsi="华文仿宋" w:eastAsia="华文仿宋" w:cs="华文仿宋"/>
          <w:b/>
          <w:bCs/>
          <w:color w:val="auto"/>
          <w:szCs w:val="21"/>
          <w:highlight w:val="none"/>
          <w:u w:val="double"/>
          <w:lang w:eastAsia="zh-CN"/>
        </w:rPr>
        <w:t>投标人</w:t>
      </w:r>
      <w:r>
        <w:rPr>
          <w:rFonts w:hint="eastAsia" w:ascii="华文仿宋" w:hAnsi="华文仿宋" w:eastAsia="华文仿宋" w:cs="华文仿宋"/>
          <w:b/>
          <w:bCs/>
          <w:color w:val="auto"/>
          <w:szCs w:val="21"/>
          <w:highlight w:val="none"/>
          <w:u w:val="double"/>
        </w:rPr>
        <w:t>）编制投标（响应）文件时，涉及营业执照、资质、业绩、获奖、人员、财务、 社保、纳税、各类证书等</w:t>
      </w:r>
      <w:r>
        <w:rPr>
          <w:rFonts w:hint="eastAsia" w:ascii="华文仿宋" w:hAnsi="华文仿宋" w:eastAsia="华文仿宋" w:cs="华文仿宋"/>
          <w:b/>
          <w:bCs/>
          <w:color w:val="auto"/>
          <w:szCs w:val="21"/>
          <w:highlight w:val="none"/>
          <w:u w:val="double"/>
          <w:lang w:eastAsia="zh-CN"/>
        </w:rPr>
        <w:t>（</w:t>
      </w:r>
      <w:r>
        <w:rPr>
          <w:rFonts w:hint="eastAsia" w:ascii="华文仿宋" w:hAnsi="华文仿宋" w:eastAsia="华文仿宋" w:cs="华文仿宋"/>
          <w:b/>
          <w:bCs/>
          <w:color w:val="auto"/>
          <w:szCs w:val="21"/>
          <w:highlight w:val="none"/>
          <w:u w:val="double"/>
          <w:lang w:val="en-US" w:eastAsia="zh-CN"/>
        </w:rPr>
        <w:t>如有）</w:t>
      </w:r>
      <w:r>
        <w:rPr>
          <w:rFonts w:hint="eastAsia" w:ascii="华文仿宋" w:hAnsi="华文仿宋" w:eastAsia="华文仿宋" w:cs="华文仿宋"/>
          <w:b/>
          <w:bCs/>
          <w:color w:val="auto"/>
          <w:szCs w:val="21"/>
          <w:highlight w:val="none"/>
          <w:u w:val="double"/>
        </w:rPr>
        <w:t>内容，须扫描编制在投标（响应）文件内，同时须上传至信阳市公共资源交易中心诚信库。评委评审时，只需依法对投标文件进行评审，并以投标文件的响应为唯一评审依据，不再比对主体信用信息。</w:t>
      </w:r>
    </w:p>
    <w:p w14:paraId="08D8F5AA">
      <w:pPr>
        <w:widowControl/>
        <w:spacing w:line="500" w:lineRule="exact"/>
        <w:ind w:firstLine="420" w:firstLineChars="200"/>
        <w:jc w:val="left"/>
        <w:rPr>
          <w:rFonts w:hint="eastAsia" w:ascii="华文仿宋" w:hAnsi="华文仿宋" w:eastAsia="华文仿宋" w:cs="华文仿宋"/>
          <w:b/>
          <w:bCs/>
          <w:color w:val="auto"/>
          <w:szCs w:val="21"/>
          <w:highlight w:val="none"/>
          <w:u w:val="double"/>
        </w:rPr>
      </w:pPr>
      <w:r>
        <w:rPr>
          <w:rFonts w:hint="eastAsia" w:ascii="华文仿宋" w:hAnsi="华文仿宋" w:eastAsia="华文仿宋" w:cs="华文仿宋"/>
          <w:b/>
          <w:bCs/>
          <w:color w:val="auto"/>
          <w:szCs w:val="21"/>
          <w:highlight w:val="none"/>
          <w:u w:val="double"/>
          <w:lang w:val="en-US" w:eastAsia="zh-CN"/>
        </w:rPr>
        <w:t>2</w:t>
      </w:r>
      <w:r>
        <w:rPr>
          <w:rFonts w:hint="eastAsia" w:ascii="华文仿宋" w:hAnsi="华文仿宋" w:eastAsia="华文仿宋" w:cs="华文仿宋"/>
          <w:b/>
          <w:bCs/>
          <w:color w:val="auto"/>
          <w:szCs w:val="21"/>
          <w:highlight w:val="none"/>
          <w:u w:val="double"/>
        </w:rPr>
        <w:t>、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因入库信息不合法、不真实、不清晰、不准确、不完整、无效、错误或信息处于编辑中、待验证状态等对交易活动所造成的一切后果，由信息提供主体自行负责。</w:t>
      </w:r>
    </w:p>
    <w:p w14:paraId="5474A94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华文仿宋" w:hAnsi="华文仿宋" w:eastAsia="华文仿宋" w:cs="华文仿宋"/>
          <w:b/>
          <w:bCs/>
          <w:color w:val="auto"/>
          <w:szCs w:val="21"/>
          <w:highlight w:val="none"/>
          <w:u w:val="double"/>
        </w:rPr>
      </w:pPr>
      <w:r>
        <w:rPr>
          <w:rFonts w:hint="eastAsia" w:ascii="华文仿宋" w:hAnsi="华文仿宋" w:eastAsia="华文仿宋" w:cs="华文仿宋"/>
          <w:b/>
          <w:bCs/>
          <w:color w:val="auto"/>
          <w:szCs w:val="21"/>
          <w:highlight w:val="none"/>
          <w:u w:val="double"/>
          <w:lang w:val="en-US" w:eastAsia="zh-CN"/>
        </w:rPr>
        <w:t>3</w:t>
      </w:r>
      <w:r>
        <w:rPr>
          <w:rFonts w:hint="eastAsia" w:ascii="华文仿宋" w:hAnsi="华文仿宋" w:eastAsia="华文仿宋" w:cs="华文仿宋"/>
          <w:b/>
          <w:bCs/>
          <w:color w:val="auto"/>
          <w:szCs w:val="21"/>
          <w:highlight w:val="none"/>
          <w:u w:val="double"/>
        </w:rPr>
        <w:t>、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63E3D29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华文仿宋" w:hAnsi="华文仿宋" w:eastAsia="华文仿宋" w:cs="华文仿宋"/>
          <w:b/>
          <w:bCs/>
          <w:color w:val="auto"/>
          <w:szCs w:val="21"/>
          <w:highlight w:val="none"/>
          <w:u w:val="double"/>
        </w:rPr>
      </w:pPr>
      <w:r>
        <w:rPr>
          <w:rFonts w:hint="eastAsia" w:ascii="华文仿宋" w:hAnsi="华文仿宋" w:eastAsia="华文仿宋" w:cs="华文仿宋"/>
          <w:b/>
          <w:bCs/>
          <w:color w:val="auto"/>
          <w:szCs w:val="21"/>
          <w:highlight w:val="none"/>
          <w:u w:val="double"/>
          <w:lang w:val="en-US" w:eastAsia="zh-CN"/>
        </w:rPr>
        <w:t>4</w:t>
      </w:r>
      <w:r>
        <w:rPr>
          <w:rFonts w:hint="eastAsia" w:ascii="华文仿宋" w:hAnsi="华文仿宋" w:eastAsia="华文仿宋" w:cs="华文仿宋"/>
          <w:b/>
          <w:bCs/>
          <w:color w:val="auto"/>
          <w:szCs w:val="21"/>
          <w:highlight w:val="none"/>
          <w:u w:val="double"/>
        </w:rPr>
        <w:t>、投标文件中的扫描件，在确保清晰的前提下，每张最好控制在 500kb 内，生成的加密电子投标文件最好不要超过50MB。</w:t>
      </w:r>
    </w:p>
    <w:p w14:paraId="01FDDABE">
      <w:pPr>
        <w:pStyle w:val="7"/>
        <w:rPr>
          <w:rFonts w:hint="eastAsia" w:ascii="华文仿宋" w:hAnsi="华文仿宋" w:eastAsia="华文仿宋" w:cs="华文仿宋"/>
          <w:color w:val="auto"/>
        </w:rPr>
      </w:pPr>
    </w:p>
    <w:p w14:paraId="4148E7D4">
      <w:pPr>
        <w:keepNext/>
        <w:keepLines w:val="0"/>
        <w:pageBreakBefore w:val="0"/>
        <w:widowControl w:val="0"/>
        <w:kinsoku/>
        <w:overflowPunct/>
        <w:autoSpaceDE/>
        <w:autoSpaceDN/>
        <w:bidi w:val="0"/>
        <w:adjustRightInd/>
        <w:snapToGrid/>
        <w:spacing w:line="336" w:lineRule="auto"/>
        <w:ind w:firstLine="640" w:firstLineChars="200"/>
        <w:jc w:val="center"/>
        <w:textAlignment w:val="auto"/>
        <w:outlineLvl w:val="9"/>
        <w:rPr>
          <w:rFonts w:hint="eastAsia" w:ascii="华文仿宋" w:hAnsi="华文仿宋" w:eastAsia="华文仿宋" w:cs="华文仿宋"/>
          <w:b/>
          <w:bCs/>
          <w:color w:val="auto"/>
          <w:sz w:val="32"/>
          <w:szCs w:val="32"/>
        </w:rPr>
        <w:sectPr>
          <w:headerReference r:id="rId3" w:type="default"/>
          <w:footerReference r:id="rId4" w:type="default"/>
          <w:pgSz w:w="11906" w:h="16838"/>
          <w:pgMar w:top="1417" w:right="1463" w:bottom="1417" w:left="1463" w:header="851" w:footer="992" w:gutter="0"/>
          <w:pgNumType w:fmt="decimal" w:start="1"/>
          <w:cols w:space="720" w:num="1"/>
          <w:docGrid w:type="linesAndChars" w:linePitch="312" w:charSpace="0"/>
        </w:sectPr>
      </w:pPr>
    </w:p>
    <w:p w14:paraId="5CF2C2F5">
      <w:pPr>
        <w:pStyle w:val="2"/>
        <w:pageBreakBefore w:val="0"/>
        <w:kinsoku/>
        <w:wordWrap w:val="0"/>
        <w:overflowPunct/>
        <w:topLinePunct/>
        <w:bidi w:val="0"/>
        <w:spacing w:line="360" w:lineRule="auto"/>
        <w:jc w:val="center"/>
        <w:rPr>
          <w:rFonts w:hint="eastAsia" w:ascii="华文仿宋" w:hAnsi="华文仿宋" w:eastAsia="华文仿宋" w:cs="华文仿宋"/>
          <w:color w:val="auto"/>
          <w:highlight w:val="none"/>
        </w:rPr>
      </w:pPr>
      <w:bookmarkStart w:id="0" w:name="_Toc22722"/>
      <w:r>
        <w:rPr>
          <w:rFonts w:hint="eastAsia" w:ascii="华文仿宋" w:hAnsi="华文仿宋" w:eastAsia="华文仿宋" w:cs="华文仿宋"/>
          <w:color w:val="auto"/>
          <w:highlight w:val="none"/>
        </w:rPr>
        <w:t>第一章</w:t>
      </w:r>
      <w:r>
        <w:rPr>
          <w:rFonts w:hint="eastAsia" w:ascii="华文仿宋" w:hAnsi="华文仿宋" w:eastAsia="华文仿宋" w:cs="华文仿宋"/>
          <w:color w:val="auto"/>
          <w:highlight w:val="none"/>
          <w:lang w:val="en-US" w:eastAsia="zh-CN"/>
        </w:rPr>
        <w:t xml:space="preserve"> </w:t>
      </w:r>
      <w:r>
        <w:rPr>
          <w:rFonts w:hint="eastAsia" w:ascii="华文仿宋" w:hAnsi="华文仿宋" w:eastAsia="华文仿宋" w:cs="华文仿宋"/>
          <w:color w:val="auto"/>
          <w:highlight w:val="none"/>
        </w:rPr>
        <w:t>竞争性磋商公告</w:t>
      </w:r>
      <w:bookmarkEnd w:id="0"/>
    </w:p>
    <w:p w14:paraId="5B8A2E54">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b/>
          <w:bCs/>
          <w:color w:val="auto"/>
          <w:sz w:val="21"/>
          <w:szCs w:val="21"/>
          <w:highlight w:val="none"/>
        </w:rPr>
        <w:t>项目概况</w:t>
      </w:r>
    </w:p>
    <w:p w14:paraId="170F413C">
      <w:pPr>
        <w:pStyle w:val="22"/>
        <w:keepNext w:val="0"/>
        <w:keepLines w:val="0"/>
        <w:pageBreakBefore w:val="0"/>
        <w:widowControl w:val="0"/>
        <w:kinsoku/>
        <w:wordWrap w:val="0"/>
        <w:overflowPunct/>
        <w:topLinePunct/>
        <w:autoSpaceDE/>
        <w:autoSpaceDN/>
        <w:bidi w:val="0"/>
        <w:adjustRightInd/>
        <w:snapToGrid/>
        <w:spacing w:before="0" w:beforeLines="0" w:beforeAutospacing="0" w:after="0" w:afterLines="0" w:afterAutospacing="0" w:line="360" w:lineRule="auto"/>
        <w:ind w:firstLine="420" w:firstLineChars="200"/>
        <w:textAlignment w:val="auto"/>
        <w:rPr>
          <w:rFonts w:hint="eastAsia" w:ascii="华文仿宋" w:hAnsi="华文仿宋" w:eastAsia="华文仿宋" w:cs="华文仿宋"/>
          <w:bCs/>
          <w:color w:val="auto"/>
          <w:sz w:val="21"/>
          <w:szCs w:val="21"/>
          <w:highlight w:val="none"/>
        </w:rPr>
      </w:pPr>
      <w:r>
        <w:rPr>
          <w:rFonts w:hint="eastAsia" w:ascii="华文仿宋" w:hAnsi="华文仿宋" w:eastAsia="华文仿宋" w:cs="华文仿宋"/>
          <w:bCs/>
          <w:color w:val="auto"/>
          <w:sz w:val="21"/>
          <w:szCs w:val="21"/>
          <w:highlight w:val="none"/>
          <w:lang w:eastAsia="zh-CN"/>
        </w:rPr>
        <w:t>淮滨县2025年度杨树食叶害虫飞机喷药防治项目的潜在投标人应登录“全国公共资源交易平台（河南省·信阳市）（https://ggzyjy.xinyang.gov.cn/）”网站，凭办理的企业身份认证锁（CA数字证书）登录会员系统获取</w:t>
      </w:r>
      <w:r>
        <w:rPr>
          <w:rFonts w:hint="eastAsia" w:ascii="华文仿宋" w:hAnsi="华文仿宋" w:eastAsia="华文仿宋" w:cs="华文仿宋"/>
          <w:bCs/>
          <w:color w:val="auto"/>
          <w:sz w:val="21"/>
          <w:szCs w:val="21"/>
          <w:highlight w:val="none"/>
          <w:lang w:val="en-US" w:eastAsia="zh-CN"/>
        </w:rPr>
        <w:t>磋商</w:t>
      </w:r>
      <w:r>
        <w:rPr>
          <w:rFonts w:hint="eastAsia" w:ascii="华文仿宋" w:hAnsi="华文仿宋" w:eastAsia="华文仿宋" w:cs="华文仿宋"/>
          <w:bCs/>
          <w:color w:val="auto"/>
          <w:sz w:val="21"/>
          <w:szCs w:val="21"/>
          <w:highlight w:val="none"/>
          <w:lang w:eastAsia="zh-CN"/>
        </w:rPr>
        <w:t>文件</w:t>
      </w:r>
      <w:r>
        <w:rPr>
          <w:rFonts w:hint="eastAsia" w:ascii="华文仿宋" w:hAnsi="华文仿宋" w:eastAsia="华文仿宋" w:cs="华文仿宋"/>
          <w:bCs/>
          <w:color w:val="auto"/>
          <w:sz w:val="21"/>
          <w:szCs w:val="21"/>
          <w:highlight w:val="none"/>
        </w:rPr>
        <w:t>，并于202</w:t>
      </w:r>
      <w:r>
        <w:rPr>
          <w:rFonts w:hint="eastAsia" w:ascii="华文仿宋" w:hAnsi="华文仿宋" w:eastAsia="华文仿宋" w:cs="华文仿宋"/>
          <w:bCs/>
          <w:color w:val="auto"/>
          <w:sz w:val="21"/>
          <w:szCs w:val="21"/>
          <w:highlight w:val="none"/>
          <w:lang w:val="en-US" w:eastAsia="zh-CN"/>
        </w:rPr>
        <w:t>5</w:t>
      </w:r>
      <w:r>
        <w:rPr>
          <w:rFonts w:hint="eastAsia" w:ascii="华文仿宋" w:hAnsi="华文仿宋" w:eastAsia="华文仿宋" w:cs="华文仿宋"/>
          <w:bCs/>
          <w:color w:val="auto"/>
          <w:sz w:val="21"/>
          <w:szCs w:val="21"/>
          <w:highlight w:val="none"/>
        </w:rPr>
        <w:t>年</w:t>
      </w:r>
      <w:r>
        <w:rPr>
          <w:rFonts w:hint="eastAsia" w:ascii="华文仿宋" w:hAnsi="华文仿宋" w:eastAsia="华文仿宋" w:cs="华文仿宋"/>
          <w:bCs/>
          <w:color w:val="auto"/>
          <w:sz w:val="21"/>
          <w:szCs w:val="21"/>
          <w:highlight w:val="none"/>
          <w:lang w:val="en-US" w:eastAsia="zh-CN"/>
        </w:rPr>
        <w:t>08</w:t>
      </w:r>
      <w:r>
        <w:rPr>
          <w:rFonts w:hint="eastAsia" w:ascii="华文仿宋" w:hAnsi="华文仿宋" w:eastAsia="华文仿宋" w:cs="华文仿宋"/>
          <w:bCs/>
          <w:color w:val="auto"/>
          <w:sz w:val="21"/>
          <w:szCs w:val="21"/>
          <w:highlight w:val="none"/>
        </w:rPr>
        <w:t>月</w:t>
      </w:r>
      <w:r>
        <w:rPr>
          <w:rFonts w:hint="eastAsia" w:ascii="华文仿宋" w:hAnsi="华文仿宋" w:eastAsia="华文仿宋" w:cs="华文仿宋"/>
          <w:bCs/>
          <w:color w:val="auto"/>
          <w:sz w:val="21"/>
          <w:szCs w:val="21"/>
          <w:highlight w:val="none"/>
          <w:lang w:val="en-US" w:eastAsia="zh-CN"/>
        </w:rPr>
        <w:t>15</w:t>
      </w:r>
      <w:r>
        <w:rPr>
          <w:rFonts w:hint="eastAsia" w:ascii="华文仿宋" w:hAnsi="华文仿宋" w:eastAsia="华文仿宋" w:cs="华文仿宋"/>
          <w:bCs/>
          <w:color w:val="auto"/>
          <w:sz w:val="21"/>
          <w:szCs w:val="21"/>
          <w:highlight w:val="none"/>
        </w:rPr>
        <w:t>日</w:t>
      </w:r>
      <w:r>
        <w:rPr>
          <w:rFonts w:hint="eastAsia" w:ascii="华文仿宋" w:hAnsi="华文仿宋" w:eastAsia="华文仿宋" w:cs="华文仿宋"/>
          <w:bCs/>
          <w:color w:val="auto"/>
          <w:sz w:val="21"/>
          <w:szCs w:val="21"/>
          <w:highlight w:val="none"/>
          <w:lang w:val="en-US" w:eastAsia="zh-CN"/>
        </w:rPr>
        <w:t>9</w:t>
      </w:r>
      <w:r>
        <w:rPr>
          <w:rFonts w:hint="eastAsia" w:ascii="华文仿宋" w:hAnsi="华文仿宋" w:eastAsia="华文仿宋" w:cs="华文仿宋"/>
          <w:bCs/>
          <w:color w:val="auto"/>
          <w:sz w:val="21"/>
          <w:szCs w:val="21"/>
          <w:highlight w:val="none"/>
        </w:rPr>
        <w:t>时</w:t>
      </w:r>
      <w:r>
        <w:rPr>
          <w:rFonts w:hint="eastAsia" w:ascii="华文仿宋" w:hAnsi="华文仿宋" w:eastAsia="华文仿宋" w:cs="华文仿宋"/>
          <w:bCs/>
          <w:color w:val="auto"/>
          <w:sz w:val="21"/>
          <w:szCs w:val="21"/>
          <w:highlight w:val="none"/>
          <w:lang w:val="en-US" w:eastAsia="zh-CN"/>
        </w:rPr>
        <w:t>00</w:t>
      </w:r>
      <w:r>
        <w:rPr>
          <w:rFonts w:hint="eastAsia" w:ascii="华文仿宋" w:hAnsi="华文仿宋" w:eastAsia="华文仿宋" w:cs="华文仿宋"/>
          <w:bCs/>
          <w:color w:val="auto"/>
          <w:sz w:val="21"/>
          <w:szCs w:val="21"/>
          <w:highlight w:val="none"/>
        </w:rPr>
        <w:t>分（北京时间）前递交响应文件。</w:t>
      </w:r>
    </w:p>
    <w:p w14:paraId="62EFBCE6">
      <w:pPr>
        <w:keepNext w:val="0"/>
        <w:keepLines w:val="0"/>
        <w:pageBreakBefore w:val="0"/>
        <w:widowControl w:val="0"/>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b/>
          <w:bCs/>
          <w:color w:val="auto"/>
          <w:sz w:val="21"/>
          <w:szCs w:val="21"/>
          <w:highlight w:val="none"/>
          <w:lang w:eastAsia="zh-CN"/>
        </w:rPr>
        <w:t>一、</w:t>
      </w:r>
      <w:r>
        <w:rPr>
          <w:rFonts w:hint="eastAsia" w:ascii="华文仿宋" w:hAnsi="华文仿宋" w:eastAsia="华文仿宋" w:cs="华文仿宋"/>
          <w:b/>
          <w:bCs/>
          <w:color w:val="auto"/>
          <w:sz w:val="21"/>
          <w:szCs w:val="21"/>
          <w:highlight w:val="none"/>
        </w:rPr>
        <w:t>项目基本情况</w:t>
      </w:r>
    </w:p>
    <w:p w14:paraId="11BA58B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rPr>
        <w:t>1、项目编号：</w:t>
      </w:r>
      <w:r>
        <w:rPr>
          <w:rFonts w:hint="eastAsia" w:ascii="华文仿宋" w:hAnsi="华文仿宋" w:eastAsia="华文仿宋" w:cs="华文仿宋"/>
          <w:color w:val="auto"/>
          <w:sz w:val="21"/>
          <w:szCs w:val="21"/>
          <w:highlight w:val="none"/>
          <w:lang w:eastAsia="zh-CN"/>
        </w:rPr>
        <w:t>淮财磋商采购</w:t>
      </w:r>
      <w:r>
        <w:rPr>
          <w:rFonts w:hint="eastAsia" w:ascii="华文仿宋" w:hAnsi="华文仿宋" w:eastAsia="华文仿宋" w:cs="华文仿宋"/>
          <w:color w:val="auto"/>
          <w:sz w:val="21"/>
          <w:szCs w:val="21"/>
          <w:highlight w:val="none"/>
          <w:lang w:val="en-US" w:eastAsia="zh-CN"/>
        </w:rPr>
        <w:t>-2025-41</w:t>
      </w:r>
    </w:p>
    <w:p w14:paraId="3044847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color w:val="auto"/>
          <w:sz w:val="21"/>
          <w:szCs w:val="21"/>
          <w:highlight w:val="none"/>
        </w:rPr>
        <w:t>2、项目名称：</w:t>
      </w:r>
      <w:r>
        <w:rPr>
          <w:rFonts w:hint="eastAsia" w:ascii="华文仿宋" w:hAnsi="华文仿宋" w:eastAsia="华文仿宋" w:cs="华文仿宋"/>
          <w:color w:val="auto"/>
          <w:sz w:val="21"/>
          <w:szCs w:val="21"/>
          <w:highlight w:val="none"/>
          <w:lang w:eastAsia="zh-CN"/>
        </w:rPr>
        <w:t>淮滨县2025年度杨树食叶害虫飞机喷药防治项目</w:t>
      </w:r>
    </w:p>
    <w:p w14:paraId="784DDD6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3、采购方式：竞争性磋商</w:t>
      </w:r>
    </w:p>
    <w:p w14:paraId="3CBA46B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4、预算金额：</w:t>
      </w:r>
      <w:r>
        <w:rPr>
          <w:rFonts w:hint="eastAsia" w:ascii="华文仿宋" w:hAnsi="华文仿宋" w:eastAsia="华文仿宋" w:cs="华文仿宋"/>
          <w:color w:val="auto"/>
          <w:sz w:val="21"/>
          <w:szCs w:val="21"/>
          <w:highlight w:val="none"/>
          <w:lang w:val="en-US" w:eastAsia="zh-CN"/>
        </w:rPr>
        <w:t>1380000.00</w:t>
      </w:r>
      <w:r>
        <w:rPr>
          <w:rFonts w:hint="eastAsia" w:ascii="华文仿宋" w:hAnsi="华文仿宋" w:eastAsia="华文仿宋" w:cs="华文仿宋"/>
          <w:color w:val="auto"/>
          <w:sz w:val="21"/>
          <w:szCs w:val="21"/>
          <w:highlight w:val="none"/>
        </w:rPr>
        <w:t xml:space="preserve">元 </w:t>
      </w:r>
    </w:p>
    <w:p w14:paraId="3C5CECD5">
      <w:pPr>
        <w:keepNext w:val="0"/>
        <w:keepLines w:val="0"/>
        <w:pageBreakBefore w:val="0"/>
        <w:widowControl w:val="0"/>
        <w:kinsoku/>
        <w:wordWrap w:val="0"/>
        <w:overflowPunct/>
        <w:topLinePunct/>
        <w:autoSpaceDE/>
        <w:autoSpaceDN/>
        <w:bidi w:val="0"/>
        <w:adjustRightInd/>
        <w:snapToGrid/>
        <w:spacing w:line="360" w:lineRule="auto"/>
        <w:ind w:firstLine="840" w:firstLineChars="4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最高限价：</w:t>
      </w:r>
      <w:r>
        <w:rPr>
          <w:rFonts w:hint="eastAsia" w:ascii="华文仿宋" w:hAnsi="华文仿宋" w:eastAsia="华文仿宋" w:cs="华文仿宋"/>
          <w:color w:val="auto"/>
          <w:sz w:val="21"/>
          <w:szCs w:val="21"/>
          <w:highlight w:val="none"/>
          <w:lang w:val="en-US" w:eastAsia="zh-CN"/>
        </w:rPr>
        <w:t>1380000.00</w:t>
      </w:r>
      <w:r>
        <w:rPr>
          <w:rFonts w:hint="eastAsia" w:ascii="华文仿宋" w:hAnsi="华文仿宋" w:eastAsia="华文仿宋" w:cs="华文仿宋"/>
          <w:color w:val="auto"/>
          <w:sz w:val="21"/>
          <w:szCs w:val="21"/>
          <w:highlight w:val="none"/>
        </w:rPr>
        <w:t xml:space="preserve">元 </w:t>
      </w:r>
    </w:p>
    <w:tbl>
      <w:tblPr>
        <w:tblStyle w:val="26"/>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509"/>
        <w:gridCol w:w="3182"/>
        <w:gridCol w:w="1442"/>
        <w:gridCol w:w="1703"/>
      </w:tblGrid>
      <w:tr w14:paraId="3DF1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top"/>
          </w:tcPr>
          <w:p w14:paraId="6F904EFA">
            <w:pPr>
              <w:pStyle w:val="22"/>
              <w:keepNext w:val="0"/>
              <w:keepLines w:val="0"/>
              <w:pageBreakBefore w:val="0"/>
              <w:widowControl w:val="0"/>
              <w:kinsoku/>
              <w:wordWrap w:val="0"/>
              <w:overflowPunct/>
              <w:topLinePunct/>
              <w:autoSpaceDE/>
              <w:autoSpaceDN/>
              <w:bidi w:val="0"/>
              <w:adjustRightInd/>
              <w:snapToGrid/>
              <w:spacing w:before="0" w:beforeLines="0" w:beforeAutospacing="0" w:after="0" w:afterLines="0" w:afterAutospacing="0" w:line="360" w:lineRule="auto"/>
              <w:textAlignment w:val="auto"/>
              <w:rPr>
                <w:rFonts w:hint="eastAsia" w:ascii="华文仿宋" w:hAnsi="华文仿宋" w:eastAsia="华文仿宋" w:cs="华文仿宋"/>
                <w:color w:val="auto"/>
                <w:sz w:val="21"/>
                <w:szCs w:val="21"/>
                <w:highlight w:val="none"/>
                <w:vertAlign w:val="baseline"/>
                <w:lang w:eastAsia="zh-CN"/>
              </w:rPr>
            </w:pPr>
            <w:r>
              <w:rPr>
                <w:rFonts w:hint="eastAsia" w:ascii="华文仿宋" w:hAnsi="华文仿宋" w:eastAsia="华文仿宋" w:cs="华文仿宋"/>
                <w:color w:val="auto"/>
                <w:sz w:val="21"/>
                <w:szCs w:val="21"/>
                <w:highlight w:val="none"/>
                <w:vertAlign w:val="baseline"/>
                <w:lang w:eastAsia="zh-CN"/>
              </w:rPr>
              <w:t>序号</w:t>
            </w:r>
          </w:p>
        </w:tc>
        <w:tc>
          <w:tcPr>
            <w:tcW w:w="1509" w:type="dxa"/>
            <w:vAlign w:val="top"/>
          </w:tcPr>
          <w:p w14:paraId="677A8431">
            <w:pPr>
              <w:pStyle w:val="22"/>
              <w:keepNext w:val="0"/>
              <w:keepLines w:val="0"/>
              <w:pageBreakBefore w:val="0"/>
              <w:widowControl w:val="0"/>
              <w:kinsoku/>
              <w:wordWrap w:val="0"/>
              <w:overflowPunct/>
              <w:topLinePunct/>
              <w:autoSpaceDE/>
              <w:autoSpaceDN/>
              <w:bidi w:val="0"/>
              <w:adjustRightInd/>
              <w:snapToGrid/>
              <w:spacing w:before="0" w:beforeLines="0" w:beforeAutospacing="0" w:after="0" w:afterLines="0" w:afterAutospacing="0" w:line="360" w:lineRule="auto"/>
              <w:jc w:val="center"/>
              <w:textAlignment w:val="auto"/>
              <w:rPr>
                <w:rFonts w:hint="eastAsia" w:ascii="华文仿宋" w:hAnsi="华文仿宋" w:eastAsia="华文仿宋" w:cs="华文仿宋"/>
                <w:color w:val="auto"/>
                <w:sz w:val="21"/>
                <w:szCs w:val="21"/>
                <w:highlight w:val="none"/>
                <w:vertAlign w:val="baseline"/>
                <w:lang w:eastAsia="zh-CN"/>
              </w:rPr>
            </w:pPr>
            <w:r>
              <w:rPr>
                <w:rFonts w:hint="eastAsia" w:ascii="华文仿宋" w:hAnsi="华文仿宋" w:eastAsia="华文仿宋" w:cs="华文仿宋"/>
                <w:color w:val="auto"/>
                <w:sz w:val="21"/>
                <w:szCs w:val="21"/>
                <w:highlight w:val="none"/>
                <w:vertAlign w:val="baseline"/>
                <w:lang w:eastAsia="zh-CN"/>
              </w:rPr>
              <w:t>包号</w:t>
            </w:r>
          </w:p>
        </w:tc>
        <w:tc>
          <w:tcPr>
            <w:tcW w:w="3182" w:type="dxa"/>
            <w:vAlign w:val="top"/>
          </w:tcPr>
          <w:p w14:paraId="4C7D1E04">
            <w:pPr>
              <w:pStyle w:val="22"/>
              <w:keepNext w:val="0"/>
              <w:keepLines w:val="0"/>
              <w:pageBreakBefore w:val="0"/>
              <w:widowControl w:val="0"/>
              <w:kinsoku/>
              <w:wordWrap w:val="0"/>
              <w:overflowPunct/>
              <w:topLinePunct/>
              <w:autoSpaceDE/>
              <w:autoSpaceDN/>
              <w:bidi w:val="0"/>
              <w:adjustRightInd/>
              <w:snapToGrid/>
              <w:spacing w:before="0" w:beforeLines="0" w:beforeAutospacing="0" w:after="0" w:afterLines="0" w:afterAutospacing="0" w:line="360" w:lineRule="auto"/>
              <w:jc w:val="center"/>
              <w:textAlignment w:val="auto"/>
              <w:rPr>
                <w:rFonts w:hint="eastAsia" w:ascii="华文仿宋" w:hAnsi="华文仿宋" w:eastAsia="华文仿宋" w:cs="华文仿宋"/>
                <w:color w:val="auto"/>
                <w:sz w:val="21"/>
                <w:szCs w:val="21"/>
                <w:highlight w:val="none"/>
                <w:vertAlign w:val="baseline"/>
                <w:lang w:eastAsia="zh-CN"/>
              </w:rPr>
            </w:pPr>
            <w:r>
              <w:rPr>
                <w:rFonts w:hint="eastAsia" w:ascii="华文仿宋" w:hAnsi="华文仿宋" w:eastAsia="华文仿宋" w:cs="华文仿宋"/>
                <w:color w:val="auto"/>
                <w:sz w:val="21"/>
                <w:szCs w:val="21"/>
                <w:highlight w:val="none"/>
                <w:vertAlign w:val="baseline"/>
                <w:lang w:eastAsia="zh-CN"/>
              </w:rPr>
              <w:t>包名称</w:t>
            </w:r>
          </w:p>
        </w:tc>
        <w:tc>
          <w:tcPr>
            <w:tcW w:w="1442" w:type="dxa"/>
            <w:vAlign w:val="top"/>
          </w:tcPr>
          <w:p w14:paraId="53911D1A">
            <w:pPr>
              <w:pStyle w:val="22"/>
              <w:keepNext w:val="0"/>
              <w:keepLines w:val="0"/>
              <w:pageBreakBefore w:val="0"/>
              <w:widowControl w:val="0"/>
              <w:kinsoku/>
              <w:wordWrap w:val="0"/>
              <w:overflowPunct/>
              <w:topLinePunct/>
              <w:autoSpaceDE/>
              <w:autoSpaceDN/>
              <w:bidi w:val="0"/>
              <w:adjustRightInd/>
              <w:snapToGrid/>
              <w:spacing w:before="0" w:beforeLines="0" w:beforeAutospacing="0" w:after="0" w:afterLines="0" w:afterAutospacing="0" w:line="360" w:lineRule="auto"/>
              <w:jc w:val="center"/>
              <w:textAlignment w:val="auto"/>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color w:val="auto"/>
                <w:sz w:val="21"/>
                <w:szCs w:val="21"/>
                <w:highlight w:val="none"/>
                <w:lang w:val="en-US" w:eastAsia="zh-CN"/>
              </w:rPr>
              <w:t>包预算（元）</w:t>
            </w:r>
          </w:p>
        </w:tc>
        <w:tc>
          <w:tcPr>
            <w:tcW w:w="1703" w:type="dxa"/>
            <w:vAlign w:val="top"/>
          </w:tcPr>
          <w:p w14:paraId="5BFBF175">
            <w:pPr>
              <w:pStyle w:val="22"/>
              <w:keepNext w:val="0"/>
              <w:keepLines w:val="0"/>
              <w:pageBreakBefore w:val="0"/>
              <w:widowControl w:val="0"/>
              <w:kinsoku/>
              <w:wordWrap w:val="0"/>
              <w:overflowPunct/>
              <w:topLinePunct/>
              <w:autoSpaceDE/>
              <w:autoSpaceDN/>
              <w:bidi w:val="0"/>
              <w:adjustRightInd/>
              <w:snapToGrid/>
              <w:spacing w:before="0" w:beforeLines="0" w:beforeAutospacing="0" w:after="0" w:afterLines="0" w:afterAutospacing="0" w:line="360" w:lineRule="auto"/>
              <w:jc w:val="center"/>
              <w:textAlignment w:val="auto"/>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color w:val="auto"/>
                <w:sz w:val="21"/>
                <w:szCs w:val="21"/>
                <w:highlight w:val="none"/>
                <w:lang w:val="en-US" w:eastAsia="zh-CN"/>
              </w:rPr>
              <w:t>包最高限价（元）</w:t>
            </w:r>
          </w:p>
        </w:tc>
      </w:tr>
      <w:tr w14:paraId="4D04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650757F6">
            <w:pPr>
              <w:pStyle w:val="22"/>
              <w:keepNext w:val="0"/>
              <w:keepLines w:val="0"/>
              <w:pageBreakBefore w:val="0"/>
              <w:widowControl w:val="0"/>
              <w:kinsoku/>
              <w:wordWrap w:val="0"/>
              <w:overflowPunct/>
              <w:topLinePunct/>
              <w:autoSpaceDE/>
              <w:autoSpaceDN/>
              <w:bidi w:val="0"/>
              <w:adjustRightInd/>
              <w:snapToGrid/>
              <w:spacing w:before="0" w:beforeLines="0" w:beforeAutospacing="0" w:after="0" w:afterLines="0" w:afterAutospacing="0" w:line="360" w:lineRule="auto"/>
              <w:jc w:val="center"/>
              <w:textAlignment w:val="auto"/>
              <w:rPr>
                <w:rFonts w:hint="eastAsia" w:ascii="华文仿宋" w:hAnsi="华文仿宋" w:eastAsia="华文仿宋" w:cs="华文仿宋"/>
                <w:color w:val="auto"/>
                <w:sz w:val="21"/>
                <w:szCs w:val="21"/>
                <w:highlight w:val="none"/>
                <w:vertAlign w:val="baseline"/>
                <w:lang w:val="en-US" w:eastAsia="zh-CN"/>
              </w:rPr>
            </w:pPr>
            <w:r>
              <w:rPr>
                <w:rFonts w:hint="eastAsia" w:ascii="华文仿宋" w:hAnsi="华文仿宋" w:eastAsia="华文仿宋" w:cs="华文仿宋"/>
                <w:color w:val="auto"/>
                <w:sz w:val="21"/>
                <w:szCs w:val="21"/>
                <w:highlight w:val="none"/>
                <w:vertAlign w:val="baseline"/>
                <w:lang w:val="en-US" w:eastAsia="zh-CN"/>
              </w:rPr>
              <w:t>1</w:t>
            </w:r>
          </w:p>
        </w:tc>
        <w:tc>
          <w:tcPr>
            <w:tcW w:w="1509" w:type="dxa"/>
            <w:vAlign w:val="center"/>
          </w:tcPr>
          <w:p w14:paraId="7B3E7882">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vertAlign w:val="baseline"/>
                <w:lang w:val="en-US" w:eastAsia="zh-CN"/>
              </w:rPr>
            </w:pPr>
            <w:r>
              <w:rPr>
                <w:rFonts w:hint="eastAsia" w:ascii="华文仿宋" w:hAnsi="华文仿宋" w:eastAsia="华文仿宋" w:cs="华文仿宋"/>
                <w:color w:val="auto"/>
                <w:kern w:val="0"/>
                <w:sz w:val="21"/>
                <w:szCs w:val="21"/>
                <w:highlight w:val="none"/>
                <w:lang w:val="en-US" w:eastAsia="zh-CN" w:bidi="ar-SA"/>
              </w:rPr>
              <w:t>淮财磋商采购-2025-41</w:t>
            </w:r>
          </w:p>
        </w:tc>
        <w:tc>
          <w:tcPr>
            <w:tcW w:w="3182" w:type="dxa"/>
            <w:vAlign w:val="center"/>
          </w:tcPr>
          <w:p w14:paraId="73AAF6D7">
            <w:pPr>
              <w:pStyle w:val="22"/>
              <w:keepNext w:val="0"/>
              <w:keepLines w:val="0"/>
              <w:pageBreakBefore w:val="0"/>
              <w:widowControl w:val="0"/>
              <w:kinsoku/>
              <w:wordWrap w:val="0"/>
              <w:overflowPunct/>
              <w:topLinePunct/>
              <w:autoSpaceDE/>
              <w:autoSpaceDN/>
              <w:bidi w:val="0"/>
              <w:adjustRightInd/>
              <w:snapToGrid/>
              <w:spacing w:before="0" w:beforeLines="0" w:beforeAutospacing="0" w:after="0" w:afterLines="0" w:afterAutospacing="0" w:line="360" w:lineRule="auto"/>
              <w:jc w:val="center"/>
              <w:textAlignment w:val="auto"/>
              <w:rPr>
                <w:rFonts w:hint="eastAsia" w:ascii="华文仿宋" w:hAnsi="华文仿宋" w:eastAsia="华文仿宋" w:cs="华文仿宋"/>
                <w:color w:val="auto"/>
                <w:sz w:val="21"/>
                <w:szCs w:val="21"/>
                <w:highlight w:val="none"/>
                <w:vertAlign w:val="baseline"/>
                <w:lang w:eastAsia="zh-CN"/>
              </w:rPr>
            </w:pPr>
            <w:r>
              <w:rPr>
                <w:rFonts w:hint="eastAsia" w:ascii="华文仿宋" w:hAnsi="华文仿宋" w:eastAsia="华文仿宋" w:cs="华文仿宋"/>
                <w:color w:val="auto"/>
                <w:sz w:val="21"/>
                <w:szCs w:val="21"/>
                <w:highlight w:val="none"/>
                <w:lang w:eastAsia="zh-CN"/>
              </w:rPr>
              <w:t>淮滨县2025年度杨树食叶害虫飞机喷药防治项目</w:t>
            </w:r>
          </w:p>
        </w:tc>
        <w:tc>
          <w:tcPr>
            <w:tcW w:w="1442" w:type="dxa"/>
            <w:vAlign w:val="center"/>
          </w:tcPr>
          <w:p w14:paraId="5BE5DB79">
            <w:pPr>
              <w:pStyle w:val="22"/>
              <w:keepNext w:val="0"/>
              <w:keepLines w:val="0"/>
              <w:pageBreakBefore w:val="0"/>
              <w:widowControl w:val="0"/>
              <w:kinsoku/>
              <w:wordWrap w:val="0"/>
              <w:overflowPunct/>
              <w:topLinePunct/>
              <w:autoSpaceDE/>
              <w:autoSpaceDN/>
              <w:bidi w:val="0"/>
              <w:adjustRightInd/>
              <w:snapToGrid/>
              <w:spacing w:before="0" w:beforeLines="0" w:beforeAutospacing="0" w:after="0" w:afterLines="0" w:afterAutospacing="0" w:line="360" w:lineRule="auto"/>
              <w:jc w:val="center"/>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1380000.00</w:t>
            </w:r>
          </w:p>
        </w:tc>
        <w:tc>
          <w:tcPr>
            <w:tcW w:w="1703" w:type="dxa"/>
            <w:vAlign w:val="center"/>
          </w:tcPr>
          <w:p w14:paraId="7E753626">
            <w:pPr>
              <w:pStyle w:val="22"/>
              <w:keepNext w:val="0"/>
              <w:keepLines w:val="0"/>
              <w:pageBreakBefore w:val="0"/>
              <w:widowControl w:val="0"/>
              <w:kinsoku/>
              <w:wordWrap w:val="0"/>
              <w:overflowPunct/>
              <w:topLinePunct/>
              <w:autoSpaceDE/>
              <w:autoSpaceDN/>
              <w:bidi w:val="0"/>
              <w:adjustRightInd/>
              <w:snapToGrid/>
              <w:spacing w:before="0" w:beforeLines="0" w:beforeAutospacing="0" w:after="0" w:afterLines="0" w:afterAutospacing="0" w:line="360" w:lineRule="auto"/>
              <w:jc w:val="center"/>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1380000.00</w:t>
            </w:r>
          </w:p>
        </w:tc>
      </w:tr>
    </w:tbl>
    <w:p w14:paraId="04199465">
      <w:pPr>
        <w:keepNext w:val="0"/>
        <w:keepLines w:val="0"/>
        <w:pageBreakBefore w:val="0"/>
        <w:widowControl w:val="0"/>
        <w:numPr>
          <w:ilvl w:val="0"/>
          <w:numId w:val="2"/>
        </w:numPr>
        <w:kinsoku/>
        <w:wordWrap w:val="0"/>
        <w:overflowPunct/>
        <w:topLinePunct/>
        <w:autoSpaceDE/>
        <w:autoSpaceDN/>
        <w:bidi w:val="0"/>
        <w:adjustRightInd/>
        <w:snapToGrid/>
        <w:spacing w:line="360" w:lineRule="auto"/>
        <w:ind w:firstLine="420" w:firstLineChars="200"/>
        <w:textAlignment w:val="auto"/>
        <w:outlineLvl w:val="2"/>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采购需求：</w:t>
      </w:r>
    </w:p>
    <w:p w14:paraId="24EE1B3E">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color w:val="auto"/>
          <w:sz w:val="21"/>
          <w:szCs w:val="21"/>
          <w:highlight w:val="none"/>
          <w:lang w:val="en-US" w:eastAsia="zh-CN"/>
        </w:rPr>
        <w:t>5.1采购内容：</w:t>
      </w:r>
      <w:r>
        <w:rPr>
          <w:rFonts w:hint="eastAsia" w:ascii="华文仿宋" w:hAnsi="华文仿宋" w:eastAsia="华文仿宋" w:cs="华文仿宋"/>
          <w:color w:val="auto"/>
          <w:sz w:val="21"/>
          <w:szCs w:val="21"/>
          <w:highlight w:val="none"/>
          <w:lang w:eastAsia="zh-CN"/>
        </w:rPr>
        <w:t>淮滨县2025年度杨树食叶害虫飞机喷药防治项目</w:t>
      </w:r>
      <w:r>
        <w:rPr>
          <w:rFonts w:hint="eastAsia" w:ascii="华文仿宋" w:hAnsi="华文仿宋" w:eastAsia="华文仿宋" w:cs="华文仿宋"/>
          <w:color w:val="auto"/>
          <w:sz w:val="21"/>
          <w:szCs w:val="21"/>
          <w:highlight w:val="none"/>
          <w:lang w:val="en-US" w:eastAsia="zh-CN"/>
        </w:rPr>
        <w:t>。计划全年</w:t>
      </w:r>
      <w:r>
        <w:rPr>
          <w:rFonts w:hint="eastAsia" w:ascii="华文仿宋" w:hAnsi="华文仿宋" w:eastAsia="华文仿宋" w:cs="华文仿宋"/>
          <w:color w:val="auto"/>
          <w:sz w:val="21"/>
          <w:szCs w:val="21"/>
          <w:highlight w:val="none"/>
          <w:lang w:eastAsia="zh-CN"/>
        </w:rPr>
        <w:t>飞防</w:t>
      </w:r>
      <w:r>
        <w:rPr>
          <w:rFonts w:hint="eastAsia" w:ascii="华文仿宋" w:hAnsi="华文仿宋" w:eastAsia="华文仿宋" w:cs="华文仿宋"/>
          <w:color w:val="auto"/>
          <w:sz w:val="21"/>
          <w:szCs w:val="21"/>
          <w:highlight w:val="none"/>
          <w:lang w:val="en-US" w:eastAsia="zh-CN"/>
        </w:rPr>
        <w:t>20</w:t>
      </w:r>
      <w:r>
        <w:rPr>
          <w:rFonts w:hint="eastAsia" w:ascii="华文仿宋" w:hAnsi="华文仿宋" w:eastAsia="华文仿宋" w:cs="华文仿宋"/>
          <w:color w:val="auto"/>
          <w:sz w:val="21"/>
          <w:szCs w:val="21"/>
          <w:highlight w:val="none"/>
          <w:lang w:eastAsia="zh-CN"/>
        </w:rPr>
        <w:t>万亩（采购人根据虫情变化可以适当调整、增减作业面积）。全部采取R44小型直升机超低容量喷雾。</w:t>
      </w:r>
    </w:p>
    <w:p w14:paraId="116EFD15">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color w:val="auto"/>
          <w:sz w:val="21"/>
          <w:szCs w:val="21"/>
          <w:highlight w:val="none"/>
          <w:lang w:eastAsia="zh-CN"/>
        </w:rPr>
        <w:t>采购人根据虫情变化可以适当调整具体飞防区域和飞防面积数量，但会及时通知成交供应商。</w:t>
      </w:r>
    </w:p>
    <w:p w14:paraId="7098E9FE">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根据河南省林业有害生物飞防工作座谈会会议纪要（〔2018〕1号），R44直升机</w:t>
      </w:r>
      <w:r>
        <w:rPr>
          <w:rFonts w:hint="eastAsia" w:ascii="华文仿宋" w:hAnsi="华文仿宋" w:eastAsia="华文仿宋" w:cs="华文仿宋"/>
          <w:color w:val="auto"/>
          <w:sz w:val="21"/>
          <w:szCs w:val="21"/>
          <w:highlight w:val="none"/>
          <w:lang w:eastAsia="zh-CN"/>
        </w:rPr>
        <w:t>每架次</w:t>
      </w:r>
      <w:r>
        <w:rPr>
          <w:rFonts w:hint="eastAsia" w:ascii="华文仿宋" w:hAnsi="华文仿宋" w:eastAsia="华文仿宋" w:cs="华文仿宋"/>
          <w:color w:val="auto"/>
          <w:sz w:val="21"/>
          <w:szCs w:val="21"/>
          <w:highlight w:val="none"/>
          <w:lang w:val="en-US" w:eastAsia="zh-CN"/>
        </w:rPr>
        <w:t>载药量200千克、</w:t>
      </w:r>
      <w:r>
        <w:rPr>
          <w:rFonts w:hint="eastAsia" w:ascii="华文仿宋" w:hAnsi="华文仿宋" w:eastAsia="华文仿宋" w:cs="华文仿宋"/>
          <w:color w:val="auto"/>
          <w:sz w:val="21"/>
          <w:szCs w:val="21"/>
          <w:highlight w:val="none"/>
          <w:lang w:eastAsia="zh-CN"/>
        </w:rPr>
        <w:t>亩喷药量（330ml）计算，每架次喷洒亩数</w:t>
      </w:r>
      <w:r>
        <w:rPr>
          <w:rFonts w:hint="eastAsia" w:ascii="华文仿宋" w:hAnsi="华文仿宋" w:eastAsia="华文仿宋" w:cs="华文仿宋"/>
          <w:color w:val="auto"/>
          <w:sz w:val="21"/>
          <w:szCs w:val="21"/>
          <w:highlight w:val="none"/>
          <w:lang w:val="en-US" w:eastAsia="zh-CN"/>
        </w:rPr>
        <w:t>600亩</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lang w:val="en-US" w:eastAsia="zh-CN"/>
        </w:rPr>
        <w:t>（具体数量和技术规格见采购需求）</w:t>
      </w:r>
    </w:p>
    <w:p w14:paraId="5E03377C">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5.2服务期限：2025年6月至9月期间，具体时间视虫情而定。如因天气原因不能飞防，则时间顺延。具体开始飞防时间由采购人根据虫情确定并提前5日通知供应商。</w:t>
      </w:r>
    </w:p>
    <w:p w14:paraId="0C3EFB8E">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eastAsia="zh-CN"/>
        </w:rPr>
        <w:t>5.</w:t>
      </w:r>
      <w:r>
        <w:rPr>
          <w:rFonts w:hint="eastAsia" w:ascii="华文仿宋" w:hAnsi="华文仿宋" w:eastAsia="华文仿宋" w:cs="华文仿宋"/>
          <w:color w:val="auto"/>
          <w:sz w:val="21"/>
          <w:szCs w:val="21"/>
          <w:highlight w:val="none"/>
          <w:lang w:val="en-US" w:eastAsia="zh-CN"/>
        </w:rPr>
        <w:t>3</w:t>
      </w:r>
      <w:r>
        <w:rPr>
          <w:rFonts w:hint="eastAsia" w:ascii="华文仿宋" w:hAnsi="华文仿宋" w:eastAsia="华文仿宋" w:cs="华文仿宋"/>
          <w:color w:val="auto"/>
          <w:sz w:val="21"/>
          <w:szCs w:val="21"/>
          <w:highlight w:val="none"/>
          <w:lang w:eastAsia="zh-CN"/>
        </w:rPr>
        <w:t>质量要求：（</w:t>
      </w:r>
      <w:r>
        <w:rPr>
          <w:rFonts w:hint="eastAsia" w:ascii="华文仿宋" w:hAnsi="华文仿宋" w:eastAsia="华文仿宋" w:cs="华文仿宋"/>
          <w:color w:val="auto"/>
          <w:sz w:val="21"/>
          <w:szCs w:val="21"/>
          <w:highlight w:val="none"/>
          <w:lang w:val="en-US" w:eastAsia="zh-CN"/>
        </w:rPr>
        <w:t>1）飞防作业完成后15日内，由县级森防机构、供应商和第三方机构（单位）对杀虫效果进行联合检查验收，叶片保存率（杀虫效果）达到85%及以上。</w:t>
      </w:r>
    </w:p>
    <w:p w14:paraId="26AF5DDB">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ascii="华文仿宋" w:hAnsi="华文仿宋" w:eastAsia="华文仿宋" w:cs="华文仿宋"/>
          <w:color w:val="auto"/>
          <w:kern w:val="2"/>
          <w:sz w:val="21"/>
          <w:szCs w:val="21"/>
          <w:highlight w:val="none"/>
          <w:lang w:val="en-US" w:eastAsia="zh-CN" w:bidi="ar-SA"/>
        </w:rPr>
      </w:pPr>
      <w:r>
        <w:rPr>
          <w:rFonts w:hint="eastAsia" w:ascii="华文仿宋" w:hAnsi="华文仿宋" w:eastAsia="华文仿宋" w:cs="华文仿宋"/>
          <w:color w:val="auto"/>
          <w:kern w:val="2"/>
          <w:sz w:val="21"/>
          <w:szCs w:val="21"/>
          <w:highlight w:val="none"/>
          <w:lang w:val="en-US" w:eastAsia="zh-CN" w:bidi="ar-SA"/>
        </w:rPr>
        <w:t>（2）飞防后，防治区域内不出现连片1亩以上的成灾现象（杨树食叶害虫造成失叶率60%以上为成灾）。</w:t>
      </w:r>
    </w:p>
    <w:p w14:paraId="3A0BC13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kern w:val="2"/>
          <w:sz w:val="21"/>
          <w:szCs w:val="21"/>
          <w:highlight w:val="none"/>
          <w:lang w:val="en-US" w:eastAsia="zh-CN" w:bidi="ar-SA"/>
        </w:rPr>
      </w:pPr>
      <w:r>
        <w:rPr>
          <w:rFonts w:hint="eastAsia" w:ascii="华文仿宋" w:hAnsi="华文仿宋" w:eastAsia="华文仿宋" w:cs="华文仿宋"/>
          <w:color w:val="auto"/>
          <w:kern w:val="2"/>
          <w:sz w:val="21"/>
          <w:szCs w:val="21"/>
          <w:highlight w:val="none"/>
          <w:lang w:val="en-US" w:eastAsia="zh-CN" w:bidi="ar-SA"/>
        </w:rPr>
        <w:t>如果叶片保存率（杀虫效果）达不到85%及以上，或飞防后，防治区域内有连片1亩以上成灾现象的，供应商要按照采购人要求重新补防，直到防治效果合格。</w:t>
      </w:r>
    </w:p>
    <w:p w14:paraId="2A647FF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6、合同履行期限</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pacing w:val="-43"/>
          <w:sz w:val="20"/>
          <w:szCs w:val="20"/>
        </w:rPr>
        <w:t xml:space="preserve"> </w:t>
      </w:r>
      <w:r>
        <w:rPr>
          <w:rFonts w:hint="eastAsia" w:ascii="华文仿宋" w:hAnsi="华文仿宋" w:eastAsia="华文仿宋" w:cs="华文仿宋"/>
          <w:color w:val="auto"/>
          <w:spacing w:val="6"/>
          <w:sz w:val="20"/>
          <w:szCs w:val="20"/>
        </w:rPr>
        <w:t>由需方根据虫情最终确定。</w:t>
      </w:r>
    </w:p>
    <w:p w14:paraId="07163115">
      <w:pPr>
        <w:pStyle w:val="22"/>
        <w:keepNext w:val="0"/>
        <w:keepLines w:val="0"/>
        <w:pageBreakBefore w:val="0"/>
        <w:widowControl w:val="0"/>
        <w:kinsoku/>
        <w:wordWrap w:val="0"/>
        <w:overflowPunct/>
        <w:topLinePunct/>
        <w:autoSpaceDE/>
        <w:autoSpaceDN/>
        <w:bidi w:val="0"/>
        <w:adjustRightInd/>
        <w:snapToGrid/>
        <w:spacing w:before="0" w:beforeLines="0" w:beforeAutospacing="0" w:after="0" w:afterLines="0" w:afterAutospacing="0" w:line="360" w:lineRule="auto"/>
        <w:ind w:firstLine="420" w:firstLineChars="200"/>
        <w:textAlignment w:val="auto"/>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color w:val="auto"/>
          <w:sz w:val="21"/>
          <w:szCs w:val="21"/>
          <w:highlight w:val="none"/>
          <w:lang w:val="en-US" w:eastAsia="zh-CN"/>
        </w:rPr>
        <w:t>7</w:t>
      </w:r>
      <w:r>
        <w:rPr>
          <w:rFonts w:hint="eastAsia" w:ascii="华文仿宋" w:hAnsi="华文仿宋" w:eastAsia="华文仿宋" w:cs="华文仿宋"/>
          <w:color w:val="auto"/>
          <w:sz w:val="21"/>
          <w:szCs w:val="21"/>
          <w:highlight w:val="none"/>
        </w:rPr>
        <w:t>、本项目是否接受联合体投标：否</w:t>
      </w:r>
      <w:r>
        <w:rPr>
          <w:rFonts w:hint="eastAsia" w:ascii="华文仿宋" w:hAnsi="华文仿宋" w:eastAsia="华文仿宋" w:cs="华文仿宋"/>
          <w:color w:val="auto"/>
          <w:sz w:val="21"/>
          <w:szCs w:val="21"/>
          <w:highlight w:val="none"/>
          <w:lang w:eastAsia="zh-CN"/>
        </w:rPr>
        <w:t>。</w:t>
      </w:r>
    </w:p>
    <w:p w14:paraId="60A62EAF">
      <w:pPr>
        <w:pStyle w:val="22"/>
        <w:keepNext w:val="0"/>
        <w:keepLines w:val="0"/>
        <w:pageBreakBefore w:val="0"/>
        <w:widowControl w:val="0"/>
        <w:kinsoku/>
        <w:wordWrap w:val="0"/>
        <w:overflowPunct/>
        <w:topLinePunct/>
        <w:autoSpaceDE/>
        <w:autoSpaceDN/>
        <w:bidi w:val="0"/>
        <w:adjustRightInd/>
        <w:snapToGrid/>
        <w:spacing w:before="0" w:beforeLines="0" w:beforeAutospacing="0" w:after="0" w:afterLines="0" w:afterAutospacing="0" w:line="360" w:lineRule="auto"/>
        <w:ind w:firstLine="420" w:firstLineChars="200"/>
        <w:textAlignment w:val="auto"/>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color w:val="auto"/>
          <w:sz w:val="21"/>
          <w:szCs w:val="21"/>
          <w:highlight w:val="none"/>
          <w:lang w:val="en-US" w:eastAsia="zh-CN"/>
        </w:rPr>
        <w:t>8</w:t>
      </w:r>
      <w:r>
        <w:rPr>
          <w:rFonts w:hint="eastAsia" w:ascii="华文仿宋" w:hAnsi="华文仿宋" w:eastAsia="华文仿宋" w:cs="华文仿宋"/>
          <w:color w:val="auto"/>
          <w:sz w:val="21"/>
          <w:szCs w:val="21"/>
          <w:highlight w:val="none"/>
        </w:rPr>
        <w:t>、是否接受进口产品：否</w:t>
      </w:r>
      <w:r>
        <w:rPr>
          <w:rFonts w:hint="eastAsia" w:ascii="华文仿宋" w:hAnsi="华文仿宋" w:eastAsia="华文仿宋" w:cs="华文仿宋"/>
          <w:color w:val="auto"/>
          <w:sz w:val="21"/>
          <w:szCs w:val="21"/>
          <w:highlight w:val="none"/>
          <w:lang w:eastAsia="zh-CN"/>
        </w:rPr>
        <w:t>。</w:t>
      </w:r>
    </w:p>
    <w:p w14:paraId="6055FAED">
      <w:pPr>
        <w:pStyle w:val="22"/>
        <w:keepNext w:val="0"/>
        <w:keepLines w:val="0"/>
        <w:pageBreakBefore w:val="0"/>
        <w:widowControl w:val="0"/>
        <w:kinsoku/>
        <w:wordWrap w:val="0"/>
        <w:overflowPunct/>
        <w:topLinePunct/>
        <w:autoSpaceDE/>
        <w:autoSpaceDN/>
        <w:bidi w:val="0"/>
        <w:adjustRightInd/>
        <w:snapToGrid/>
        <w:spacing w:before="0" w:beforeLines="0" w:beforeAutospacing="0" w:after="0" w:afterLines="0" w:afterAutospacing="0" w:line="360" w:lineRule="auto"/>
        <w:ind w:firstLine="420" w:firstLineChars="200"/>
        <w:textAlignment w:val="auto"/>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color w:val="auto"/>
          <w:sz w:val="21"/>
          <w:szCs w:val="21"/>
          <w:highlight w:val="none"/>
          <w:lang w:val="en-US" w:eastAsia="zh-CN"/>
        </w:rPr>
        <w:t>9</w:t>
      </w:r>
      <w:r>
        <w:rPr>
          <w:rFonts w:hint="eastAsia" w:ascii="华文仿宋" w:hAnsi="华文仿宋" w:eastAsia="华文仿宋" w:cs="华文仿宋"/>
          <w:color w:val="auto"/>
          <w:sz w:val="21"/>
          <w:szCs w:val="21"/>
          <w:highlight w:val="none"/>
        </w:rPr>
        <w:t>、是否专门面向中小企业：</w:t>
      </w:r>
      <w:r>
        <w:rPr>
          <w:rFonts w:hint="eastAsia" w:ascii="华文仿宋" w:hAnsi="华文仿宋" w:eastAsia="华文仿宋" w:cs="华文仿宋"/>
          <w:color w:val="auto"/>
          <w:sz w:val="21"/>
          <w:szCs w:val="21"/>
          <w:highlight w:val="none"/>
          <w:lang w:eastAsia="zh-CN"/>
        </w:rPr>
        <w:t>是。</w:t>
      </w:r>
    </w:p>
    <w:p w14:paraId="346E9002">
      <w:pPr>
        <w:keepNext w:val="0"/>
        <w:keepLines w:val="0"/>
        <w:pageBreakBefore w:val="0"/>
        <w:widowControl w:val="0"/>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rPr>
        <w:t>二、申请人资格要求</w:t>
      </w:r>
    </w:p>
    <w:p w14:paraId="17E7909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2"/>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1、满足《中华人民共和国政府采购法》第二十二条规定。</w:t>
      </w:r>
    </w:p>
    <w:p w14:paraId="56E7B46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b/>
          <w:bCs/>
          <w:color w:val="auto"/>
          <w:spacing w:val="8"/>
          <w:sz w:val="21"/>
          <w:szCs w:val="21"/>
          <w:highlight w:val="none"/>
          <w:lang w:eastAsia="zh-CN"/>
        </w:rPr>
      </w:pPr>
      <w:r>
        <w:rPr>
          <w:rFonts w:hint="eastAsia" w:ascii="华文仿宋" w:hAnsi="华文仿宋" w:eastAsia="华文仿宋" w:cs="华文仿宋"/>
          <w:color w:val="auto"/>
          <w:sz w:val="21"/>
          <w:szCs w:val="21"/>
          <w:highlight w:val="none"/>
        </w:rPr>
        <w:t>2、落实政府采购政策满足的资格要求：</w:t>
      </w:r>
      <w:r>
        <w:rPr>
          <w:rFonts w:hint="eastAsia" w:ascii="华文仿宋" w:hAnsi="华文仿宋" w:eastAsia="华文仿宋" w:cs="华文仿宋"/>
          <w:b w:val="0"/>
          <w:bCs w:val="0"/>
          <w:color w:val="auto"/>
          <w:sz w:val="21"/>
          <w:szCs w:val="21"/>
          <w:highlight w:val="none"/>
          <w:lang w:eastAsia="zh-CN"/>
        </w:rPr>
        <w:t>本项目专门面向中小企业采购。</w:t>
      </w:r>
      <w:r>
        <w:rPr>
          <w:rFonts w:hint="eastAsia" w:ascii="华文仿宋" w:hAnsi="华文仿宋" w:eastAsia="华文仿宋" w:cs="华文仿宋"/>
          <w:color w:val="auto"/>
          <w:sz w:val="21"/>
          <w:szCs w:val="21"/>
        </w:rPr>
        <w:t>参加本项目的中小企业须提供《中小企业声明函》 （格式详见</w:t>
      </w:r>
      <w:r>
        <w:rPr>
          <w:rFonts w:hint="eastAsia" w:ascii="华文仿宋" w:hAnsi="华文仿宋" w:eastAsia="华文仿宋" w:cs="华文仿宋"/>
          <w:color w:val="auto"/>
          <w:sz w:val="21"/>
          <w:szCs w:val="21"/>
          <w:lang w:val="en-US" w:eastAsia="zh-CN"/>
        </w:rPr>
        <w:t>竞争性磋商</w:t>
      </w:r>
      <w:r>
        <w:rPr>
          <w:rFonts w:hint="eastAsia" w:ascii="华文仿宋" w:hAnsi="华文仿宋" w:eastAsia="华文仿宋" w:cs="华文仿宋"/>
          <w:color w:val="auto"/>
          <w:sz w:val="21"/>
          <w:szCs w:val="21"/>
        </w:rPr>
        <w:t>文件内《中小企业声明函》样本），不符合要求的声明函或未提供的将视为不符合资格要求。</w:t>
      </w:r>
    </w:p>
    <w:p w14:paraId="543392C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2"/>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3、本项目的特定资格要求：</w:t>
      </w:r>
    </w:p>
    <w:p w14:paraId="4DB0D00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lang w:val="en-US" w:eastAsia="zh-CN"/>
        </w:rPr>
      </w:pPr>
      <w:r>
        <w:rPr>
          <w:rFonts w:hint="eastAsia" w:ascii="华文仿宋" w:hAnsi="华文仿宋" w:eastAsia="华文仿宋" w:cs="华文仿宋"/>
          <w:color w:val="auto"/>
          <w:sz w:val="21"/>
          <w:szCs w:val="21"/>
        </w:rPr>
        <w:t>3.</w:t>
      </w:r>
      <w:r>
        <w:rPr>
          <w:rFonts w:hint="eastAsia" w:ascii="华文仿宋" w:hAnsi="华文仿宋" w:eastAsia="华文仿宋" w:cs="华文仿宋"/>
          <w:color w:val="auto"/>
          <w:sz w:val="21"/>
          <w:szCs w:val="21"/>
          <w:lang w:val="en-US" w:eastAsia="zh-CN"/>
        </w:rPr>
        <w:t>1供应商</w:t>
      </w:r>
      <w:r>
        <w:rPr>
          <w:rFonts w:hint="eastAsia" w:ascii="华文仿宋" w:hAnsi="华文仿宋" w:eastAsia="华文仿宋" w:cs="华文仿宋"/>
          <w:color w:val="auto"/>
          <w:sz w:val="21"/>
          <w:szCs w:val="21"/>
        </w:rPr>
        <w:t>近三年（20</w:t>
      </w:r>
      <w:r>
        <w:rPr>
          <w:rFonts w:hint="eastAsia" w:ascii="华文仿宋" w:hAnsi="华文仿宋" w:eastAsia="华文仿宋" w:cs="华文仿宋"/>
          <w:color w:val="auto"/>
          <w:sz w:val="21"/>
          <w:szCs w:val="21"/>
          <w:lang w:val="en-US" w:eastAsia="zh-CN"/>
        </w:rPr>
        <w:t>22</w:t>
      </w:r>
      <w:r>
        <w:rPr>
          <w:rFonts w:hint="eastAsia" w:ascii="华文仿宋" w:hAnsi="华文仿宋" w:eastAsia="华文仿宋" w:cs="华文仿宋"/>
          <w:color w:val="auto"/>
          <w:sz w:val="21"/>
          <w:szCs w:val="21"/>
        </w:rPr>
        <w:t>年1月1日至20</w:t>
      </w:r>
      <w:r>
        <w:rPr>
          <w:rFonts w:hint="eastAsia" w:ascii="华文仿宋" w:hAnsi="华文仿宋" w:eastAsia="华文仿宋" w:cs="华文仿宋"/>
          <w:color w:val="auto"/>
          <w:sz w:val="21"/>
          <w:szCs w:val="21"/>
          <w:lang w:val="en-US" w:eastAsia="zh-CN"/>
        </w:rPr>
        <w:t>24</w:t>
      </w:r>
      <w:r>
        <w:rPr>
          <w:rFonts w:hint="eastAsia" w:ascii="华文仿宋" w:hAnsi="华文仿宋" w:eastAsia="华文仿宋" w:cs="华文仿宋"/>
          <w:color w:val="auto"/>
          <w:sz w:val="21"/>
          <w:szCs w:val="21"/>
        </w:rPr>
        <w:t>年12月31日）没有发生安全事故</w:t>
      </w:r>
      <w:r>
        <w:rPr>
          <w:rFonts w:hint="eastAsia" w:ascii="华文仿宋" w:hAnsi="华文仿宋" w:eastAsia="华文仿宋" w:cs="华文仿宋"/>
          <w:color w:val="auto"/>
          <w:sz w:val="21"/>
          <w:szCs w:val="21"/>
          <w:lang w:eastAsia="zh-CN"/>
        </w:rPr>
        <w:t>，</w:t>
      </w:r>
      <w:r>
        <w:rPr>
          <w:rFonts w:hint="eastAsia" w:ascii="华文仿宋" w:hAnsi="华文仿宋" w:eastAsia="华文仿宋" w:cs="华文仿宋"/>
          <w:color w:val="auto"/>
          <w:sz w:val="21"/>
          <w:szCs w:val="21"/>
          <w:lang w:val="en-US" w:eastAsia="zh-CN"/>
        </w:rPr>
        <w:t>未发生过因飞防原因产生的次生灾害，无因违规飞行被通报的情况</w:t>
      </w:r>
      <w:r>
        <w:rPr>
          <w:rFonts w:hint="eastAsia" w:ascii="华文仿宋" w:hAnsi="华文仿宋" w:eastAsia="华文仿宋" w:cs="华文仿宋"/>
          <w:color w:val="auto"/>
          <w:sz w:val="21"/>
          <w:szCs w:val="21"/>
        </w:rPr>
        <w:t>（须出具书面承诺）</w:t>
      </w:r>
      <w:r>
        <w:rPr>
          <w:rFonts w:hint="eastAsia" w:ascii="华文仿宋" w:hAnsi="华文仿宋" w:eastAsia="华文仿宋" w:cs="华文仿宋"/>
          <w:color w:val="auto"/>
          <w:sz w:val="21"/>
          <w:szCs w:val="21"/>
          <w:lang w:val="en-US" w:eastAsia="zh-CN"/>
        </w:rPr>
        <w:t>；</w:t>
      </w:r>
    </w:p>
    <w:p w14:paraId="36098E2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lang w:val="en-US" w:eastAsia="zh-CN"/>
        </w:rPr>
        <w:t>3.2 供应商提供2025年1月1日以来任意一月依法缴纳税收和社会保障资金的相关材料（指供应商依法缴纳税收和社会保障资金的证明）。</w:t>
      </w:r>
      <w:r>
        <w:rPr>
          <w:rFonts w:hint="eastAsia" w:ascii="华文仿宋" w:hAnsi="华文仿宋" w:eastAsia="华文仿宋" w:cs="华文仿宋"/>
          <w:color w:val="auto"/>
          <w:sz w:val="21"/>
          <w:szCs w:val="21"/>
          <w:highlight w:val="none"/>
          <w:lang w:val="en-US" w:eastAsia="zh-CN"/>
        </w:rPr>
        <w:t>；</w:t>
      </w:r>
    </w:p>
    <w:p w14:paraId="647F818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3.3 具有履行合同所必需的设备和专业技术能力，投标人必须取得不低于乙级或二级的林业有害生物防治资质；</w:t>
      </w:r>
    </w:p>
    <w:p w14:paraId="20BE9BD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3.4供应商需提供有效的营业执照、运行合格证、通用航空企业经营许可证；</w:t>
      </w:r>
    </w:p>
    <w:p w14:paraId="1CB78EA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华文仿宋" w:hAnsi="华文仿宋" w:eastAsia="华文仿宋" w:cs="华文仿宋"/>
          <w:color w:val="auto"/>
          <w:kern w:val="0"/>
          <w:sz w:val="21"/>
          <w:szCs w:val="21"/>
          <w:shd w:val="clear" w:color="auto" w:fill="FFFFFF"/>
          <w:lang w:val="en-US" w:eastAsia="zh-CN" w:bidi="ar-SA"/>
        </w:rPr>
      </w:pPr>
      <w:r>
        <w:rPr>
          <w:rFonts w:hint="eastAsia" w:ascii="华文仿宋" w:hAnsi="华文仿宋" w:eastAsia="华文仿宋" w:cs="华文仿宋"/>
          <w:color w:val="auto"/>
          <w:kern w:val="0"/>
          <w:sz w:val="21"/>
          <w:szCs w:val="21"/>
          <w:shd w:val="clear" w:color="auto" w:fill="FFFFFF"/>
          <w:lang w:val="en-US" w:eastAsia="zh-CN" w:bidi="ar-SA"/>
        </w:rPr>
        <w:t>3.5未被列入失信被执行人、重大税收违法失信主体、政府采购严重违法失信行为记录名单的证明材料。(投标人应通过“信用中国”网站（www.creditchina.gov.cn） 查询“失信被执行人”(跳转至中国执行信息公开网)、“重大税收违法失信主体”，中国政府采购网（www.ccgp.gov.cn）查询“政府采购严重违法失信行为记录名单”渠道查询自身信用记录，提供查询网页截图)</w:t>
      </w:r>
    </w:p>
    <w:p w14:paraId="3A6A61E9">
      <w:pPr>
        <w:keepNext w:val="0"/>
        <w:keepLines w:val="0"/>
        <w:pageBreakBefore w:val="0"/>
        <w:widowControl w:val="0"/>
        <w:numPr>
          <w:ilvl w:val="0"/>
          <w:numId w:val="0"/>
        </w:numPr>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lang w:val="en-US" w:eastAsia="zh-CN"/>
        </w:rPr>
      </w:pPr>
    </w:p>
    <w:p w14:paraId="259F998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w:t>
      </w:r>
      <w:r>
        <w:rPr>
          <w:rFonts w:hint="eastAsia" w:ascii="华文仿宋" w:hAnsi="华文仿宋" w:eastAsia="华文仿宋" w:cs="华文仿宋"/>
          <w:color w:val="auto"/>
          <w:sz w:val="21"/>
          <w:szCs w:val="21"/>
          <w:highlight w:val="none"/>
          <w:lang w:val="en-US" w:eastAsia="zh-CN"/>
        </w:rPr>
        <w:t>6</w:t>
      </w:r>
      <w:r>
        <w:rPr>
          <w:rFonts w:hint="eastAsia" w:ascii="华文仿宋" w:hAnsi="华文仿宋" w:eastAsia="华文仿宋" w:cs="华文仿宋"/>
          <w:color w:val="auto"/>
          <w:sz w:val="21"/>
          <w:szCs w:val="21"/>
          <w:highlight w:val="none"/>
        </w:rPr>
        <w:t>单位负责人为同一人或者存在直接控股、管理关系的不同单位，不得同时参加同一合同项下的政府采购活动。</w:t>
      </w:r>
    </w:p>
    <w:p w14:paraId="696F2CEC">
      <w:pPr>
        <w:spacing w:before="162" w:line="303" w:lineRule="auto"/>
        <w:ind w:left="9" w:right="68" w:firstLine="422"/>
        <w:rPr>
          <w:rFonts w:hint="eastAsia" w:ascii="华文仿宋" w:hAnsi="华文仿宋" w:eastAsia="华文仿宋" w:cs="华文仿宋"/>
          <w:color w:val="auto"/>
          <w:sz w:val="20"/>
          <w:szCs w:val="20"/>
        </w:rPr>
      </w:pPr>
      <w:r>
        <w:rPr>
          <w:rFonts w:hint="eastAsia" w:ascii="华文仿宋" w:hAnsi="华文仿宋" w:eastAsia="华文仿宋" w:cs="华文仿宋"/>
          <w:color w:val="auto"/>
          <w:spacing w:val="9"/>
          <w:sz w:val="20"/>
          <w:szCs w:val="20"/>
        </w:rPr>
        <w:t>3.</w:t>
      </w:r>
      <w:r>
        <w:rPr>
          <w:rFonts w:hint="eastAsia" w:ascii="华文仿宋" w:hAnsi="华文仿宋" w:eastAsia="华文仿宋" w:cs="华文仿宋"/>
          <w:color w:val="auto"/>
          <w:spacing w:val="9"/>
          <w:sz w:val="20"/>
          <w:szCs w:val="20"/>
          <w:lang w:val="en-US" w:eastAsia="zh-CN"/>
        </w:rPr>
        <w:t>7</w:t>
      </w:r>
      <w:r>
        <w:rPr>
          <w:rFonts w:hint="eastAsia" w:ascii="华文仿宋" w:hAnsi="华文仿宋" w:eastAsia="华文仿宋" w:cs="华文仿宋"/>
          <w:color w:val="auto"/>
          <w:spacing w:val="-40"/>
          <w:sz w:val="20"/>
          <w:szCs w:val="20"/>
        </w:rPr>
        <w:t xml:space="preserve"> </w:t>
      </w:r>
      <w:r>
        <w:rPr>
          <w:rFonts w:hint="eastAsia" w:ascii="华文仿宋" w:hAnsi="华文仿宋" w:eastAsia="华文仿宋" w:cs="华文仿宋"/>
          <w:color w:val="auto"/>
          <w:spacing w:val="9"/>
          <w:sz w:val="20"/>
          <w:szCs w:val="20"/>
        </w:rPr>
        <w:t>供应商所使用药品须为无公害生物制剂三证齐全（须提供农药</w:t>
      </w:r>
      <w:r>
        <w:rPr>
          <w:rFonts w:hint="eastAsia" w:ascii="华文仿宋" w:hAnsi="华文仿宋" w:eastAsia="华文仿宋" w:cs="华文仿宋"/>
          <w:color w:val="auto"/>
          <w:spacing w:val="8"/>
          <w:sz w:val="20"/>
          <w:szCs w:val="20"/>
        </w:rPr>
        <w:t>登记证、农药生产许</w:t>
      </w:r>
      <w:r>
        <w:rPr>
          <w:rFonts w:hint="eastAsia" w:ascii="华文仿宋" w:hAnsi="华文仿宋" w:eastAsia="华文仿宋" w:cs="华文仿宋"/>
          <w:color w:val="auto"/>
          <w:spacing w:val="7"/>
          <w:sz w:val="20"/>
          <w:szCs w:val="20"/>
        </w:rPr>
        <w:t>可证或批准文件、农药生产标准）。</w:t>
      </w:r>
    </w:p>
    <w:p w14:paraId="5CE19DEA">
      <w:pPr>
        <w:pStyle w:val="12"/>
        <w:spacing w:line="242" w:lineRule="auto"/>
        <w:rPr>
          <w:rFonts w:hint="eastAsia" w:ascii="华文仿宋" w:hAnsi="华文仿宋" w:eastAsia="华文仿宋" w:cs="华文仿宋"/>
          <w:color w:val="auto"/>
        </w:rPr>
      </w:pPr>
    </w:p>
    <w:p w14:paraId="11C111E8">
      <w:pPr>
        <w:spacing w:before="200" w:line="228" w:lineRule="auto"/>
        <w:ind w:left="428"/>
        <w:rPr>
          <w:rFonts w:hint="eastAsia" w:ascii="华文仿宋" w:hAnsi="华文仿宋" w:eastAsia="华文仿宋" w:cs="华文仿宋"/>
          <w:color w:val="auto"/>
          <w:sz w:val="20"/>
          <w:szCs w:val="20"/>
        </w:rPr>
      </w:pPr>
      <w:r>
        <w:rPr>
          <w:rFonts w:hint="eastAsia" w:ascii="华文仿宋" w:hAnsi="华文仿宋" w:eastAsia="华文仿宋" w:cs="华文仿宋"/>
          <w:color w:val="auto"/>
          <w:spacing w:val="10"/>
          <w:sz w:val="20"/>
          <w:szCs w:val="20"/>
        </w:rPr>
        <w:t>3.</w:t>
      </w:r>
      <w:r>
        <w:rPr>
          <w:rFonts w:hint="eastAsia" w:ascii="华文仿宋" w:hAnsi="华文仿宋" w:eastAsia="华文仿宋" w:cs="华文仿宋"/>
          <w:color w:val="auto"/>
          <w:spacing w:val="10"/>
          <w:sz w:val="20"/>
          <w:szCs w:val="20"/>
          <w:lang w:val="en-US" w:eastAsia="zh-CN"/>
        </w:rPr>
        <w:t>8</w:t>
      </w:r>
      <w:r>
        <w:rPr>
          <w:rFonts w:hint="eastAsia" w:ascii="华文仿宋" w:hAnsi="华文仿宋" w:eastAsia="华文仿宋" w:cs="华文仿宋"/>
          <w:color w:val="auto"/>
          <w:spacing w:val="16"/>
          <w:sz w:val="20"/>
          <w:szCs w:val="20"/>
        </w:rPr>
        <w:t xml:space="preserve"> </w:t>
      </w:r>
      <w:r>
        <w:rPr>
          <w:rFonts w:hint="eastAsia" w:ascii="华文仿宋" w:hAnsi="华文仿宋" w:eastAsia="华文仿宋" w:cs="华文仿宋"/>
          <w:color w:val="auto"/>
          <w:spacing w:val="8"/>
          <w:sz w:val="20"/>
          <w:szCs w:val="20"/>
        </w:rPr>
        <w:t>本项目不接受联合体投标，不允许转包分包。</w:t>
      </w:r>
    </w:p>
    <w:p w14:paraId="6C6FC327">
      <w:pPr>
        <w:pStyle w:val="19"/>
        <w:rPr>
          <w:rFonts w:hint="eastAsia" w:ascii="华文仿宋" w:hAnsi="华文仿宋" w:eastAsia="华文仿宋" w:cs="华文仿宋"/>
          <w:color w:val="auto"/>
        </w:rPr>
      </w:pPr>
    </w:p>
    <w:p w14:paraId="65A6F2F7">
      <w:pPr>
        <w:keepNext w:val="0"/>
        <w:keepLines w:val="0"/>
        <w:pageBreakBefore w:val="0"/>
        <w:widowControl w:val="0"/>
        <w:numPr>
          <w:ilvl w:val="0"/>
          <w:numId w:val="0"/>
        </w:numPr>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rPr>
        <w:t>三、获取采购文件</w:t>
      </w:r>
    </w:p>
    <w:p w14:paraId="73D6FBB5">
      <w:pPr>
        <w:keepNext w:val="0"/>
        <w:keepLines w:val="0"/>
        <w:pageBreakBefore w:val="0"/>
        <w:kinsoku/>
        <w:wordWrap w:val="0"/>
        <w:overflowPunct/>
        <w:topLinePunct/>
        <w:autoSpaceDE/>
        <w:autoSpaceDN/>
        <w:bidi w:val="0"/>
        <w:adjustRightInd/>
        <w:snapToGrid/>
        <w:spacing w:line="360" w:lineRule="auto"/>
        <w:ind w:firstLine="420" w:firstLineChars="200"/>
        <w:jc w:val="left"/>
        <w:textAlignment w:val="auto"/>
        <w:rPr>
          <w:rFonts w:hint="eastAsia" w:ascii="华文仿宋" w:hAnsi="华文仿宋" w:eastAsia="华文仿宋" w:cs="华文仿宋"/>
          <w:color w:val="auto"/>
          <w:kern w:val="0"/>
          <w:szCs w:val="21"/>
          <w:highlight w:val="none"/>
        </w:rPr>
      </w:pPr>
      <w:r>
        <w:rPr>
          <w:rFonts w:hint="eastAsia" w:ascii="华文仿宋" w:hAnsi="华文仿宋" w:eastAsia="华文仿宋" w:cs="华文仿宋"/>
          <w:color w:val="auto"/>
          <w:kern w:val="0"/>
          <w:szCs w:val="21"/>
          <w:highlight w:val="none"/>
        </w:rPr>
        <w:t>1.时间：</w:t>
      </w:r>
      <w:r>
        <w:rPr>
          <w:rFonts w:hint="eastAsia" w:ascii="华文仿宋" w:hAnsi="华文仿宋" w:eastAsia="华文仿宋" w:cs="华文仿宋"/>
          <w:color w:val="auto"/>
          <w:kern w:val="0"/>
          <w:szCs w:val="21"/>
          <w:highlight w:val="none"/>
          <w:lang w:val="en-US" w:eastAsia="zh-CN"/>
        </w:rPr>
        <w:t>2025年08月01日00时00分至2025年08月07日23时59分（北京时间）。</w:t>
      </w:r>
    </w:p>
    <w:p w14:paraId="45B5F0AC">
      <w:pPr>
        <w:keepNext w:val="0"/>
        <w:keepLines w:val="0"/>
        <w:pageBreakBefore w:val="0"/>
        <w:kinsoku/>
        <w:wordWrap w:val="0"/>
        <w:overflowPunct/>
        <w:topLinePunct/>
        <w:autoSpaceDE/>
        <w:autoSpaceDN/>
        <w:bidi w:val="0"/>
        <w:adjustRightInd/>
        <w:snapToGrid/>
        <w:spacing w:line="360" w:lineRule="auto"/>
        <w:ind w:firstLine="420" w:firstLineChars="200"/>
        <w:jc w:val="left"/>
        <w:textAlignment w:val="auto"/>
        <w:rPr>
          <w:rFonts w:hint="eastAsia" w:ascii="华文仿宋" w:hAnsi="华文仿宋" w:eastAsia="华文仿宋" w:cs="华文仿宋"/>
          <w:color w:val="auto"/>
          <w:kern w:val="0"/>
          <w:szCs w:val="21"/>
          <w:highlight w:val="none"/>
        </w:rPr>
      </w:pPr>
      <w:r>
        <w:rPr>
          <w:rFonts w:hint="eastAsia" w:ascii="华文仿宋" w:hAnsi="华文仿宋" w:eastAsia="华文仿宋" w:cs="华文仿宋"/>
          <w:color w:val="auto"/>
          <w:kern w:val="0"/>
          <w:szCs w:val="21"/>
          <w:highlight w:val="none"/>
        </w:rPr>
        <w:t>2.</w:t>
      </w:r>
      <w:r>
        <w:rPr>
          <w:rFonts w:hint="eastAsia" w:ascii="华文仿宋" w:hAnsi="华文仿宋" w:eastAsia="华文仿宋" w:cs="华文仿宋"/>
          <w:color w:val="auto"/>
          <w:kern w:val="0"/>
          <w:szCs w:val="21"/>
          <w:highlight w:val="none"/>
          <w:lang w:val="en-US" w:eastAsia="zh-CN"/>
        </w:rPr>
        <w:t>地点：登录“全国公共资源交易平台（河南省·信阳市）（https://ggzyjy.xinyang.gov.cn/）”网站，凭办理的企业身份认证锁（CA数字证书）登录会员系统获取</w:t>
      </w:r>
      <w:r>
        <w:rPr>
          <w:rFonts w:hint="eastAsia" w:ascii="华文仿宋" w:hAnsi="华文仿宋" w:eastAsia="华文仿宋" w:cs="华文仿宋"/>
          <w:bCs/>
          <w:color w:val="auto"/>
          <w:sz w:val="21"/>
          <w:szCs w:val="21"/>
          <w:highlight w:val="none"/>
          <w:lang w:val="en-US" w:eastAsia="zh-CN"/>
        </w:rPr>
        <w:t>磋商</w:t>
      </w:r>
      <w:r>
        <w:rPr>
          <w:rFonts w:hint="eastAsia" w:ascii="华文仿宋" w:hAnsi="华文仿宋" w:eastAsia="华文仿宋" w:cs="华文仿宋"/>
          <w:bCs/>
          <w:color w:val="auto"/>
          <w:sz w:val="21"/>
          <w:szCs w:val="21"/>
          <w:highlight w:val="none"/>
          <w:lang w:eastAsia="zh-CN"/>
        </w:rPr>
        <w:t>文件</w:t>
      </w:r>
      <w:r>
        <w:rPr>
          <w:rFonts w:hint="eastAsia" w:ascii="华文仿宋" w:hAnsi="华文仿宋" w:eastAsia="华文仿宋" w:cs="华文仿宋"/>
          <w:color w:val="auto"/>
          <w:kern w:val="0"/>
          <w:szCs w:val="21"/>
          <w:highlight w:val="none"/>
        </w:rPr>
        <w:t>。</w:t>
      </w:r>
    </w:p>
    <w:p w14:paraId="3AD3230B">
      <w:pPr>
        <w:keepNext w:val="0"/>
        <w:keepLines w:val="0"/>
        <w:pageBreakBefore w:val="0"/>
        <w:kinsoku/>
        <w:wordWrap w:val="0"/>
        <w:overflowPunct/>
        <w:topLinePunct/>
        <w:autoSpaceDE/>
        <w:autoSpaceDN/>
        <w:bidi w:val="0"/>
        <w:adjustRightInd/>
        <w:snapToGrid/>
        <w:spacing w:line="360" w:lineRule="auto"/>
        <w:ind w:firstLine="420" w:firstLineChars="200"/>
        <w:jc w:val="left"/>
        <w:textAlignment w:val="auto"/>
        <w:outlineLvl w:val="2"/>
        <w:rPr>
          <w:rFonts w:hint="eastAsia" w:ascii="华文仿宋" w:hAnsi="华文仿宋" w:eastAsia="华文仿宋" w:cs="华文仿宋"/>
          <w:color w:val="auto"/>
          <w:kern w:val="0"/>
          <w:szCs w:val="21"/>
          <w:highlight w:val="none"/>
        </w:rPr>
      </w:pPr>
      <w:r>
        <w:rPr>
          <w:rFonts w:hint="eastAsia" w:ascii="华文仿宋" w:hAnsi="华文仿宋" w:eastAsia="华文仿宋" w:cs="华文仿宋"/>
          <w:color w:val="auto"/>
          <w:kern w:val="0"/>
          <w:szCs w:val="21"/>
          <w:highlight w:val="none"/>
        </w:rPr>
        <w:t>3.方式：</w:t>
      </w:r>
    </w:p>
    <w:p w14:paraId="3887E470">
      <w:pPr>
        <w:pStyle w:val="22"/>
        <w:keepNext w:val="0"/>
        <w:keepLines w:val="0"/>
        <w:pageBreakBefore w:val="0"/>
        <w:kinsoku/>
        <w:wordWrap/>
        <w:overflowPunct/>
        <w:topLinePunct w:val="0"/>
        <w:bidi w:val="0"/>
        <w:adjustRightInd/>
        <w:snapToGrid/>
        <w:spacing w:before="0" w:beforeAutospacing="0" w:after="0" w:afterAutospacing="0" w:line="360" w:lineRule="auto"/>
        <w:ind w:firstLine="480" w:firstLineChars="200"/>
        <w:jc w:val="both"/>
        <w:textAlignment w:val="auto"/>
        <w:rPr>
          <w:rFonts w:hint="eastAsia" w:ascii="华文仿宋" w:hAnsi="华文仿宋" w:eastAsia="华文仿宋" w:cs="华文仿宋"/>
          <w:color w:val="auto"/>
          <w:sz w:val="21"/>
          <w:szCs w:val="21"/>
          <w:shd w:val="clear" w:color="auto" w:fill="FFFFFF"/>
        </w:rPr>
      </w:pPr>
      <w:r>
        <w:rPr>
          <w:rFonts w:hint="eastAsia" w:ascii="华文仿宋" w:hAnsi="华文仿宋" w:eastAsia="华文仿宋" w:cs="华文仿宋"/>
          <w:color w:val="auto"/>
          <w:kern w:val="0"/>
          <w:szCs w:val="21"/>
          <w:highlight w:val="none"/>
          <w:lang w:val="en-US" w:eastAsia="zh-CN"/>
        </w:rPr>
        <w:t>3.1</w:t>
      </w:r>
      <w:r>
        <w:rPr>
          <w:rFonts w:hint="eastAsia" w:ascii="华文仿宋" w:hAnsi="华文仿宋" w:eastAsia="华文仿宋" w:cs="华文仿宋"/>
          <w:color w:val="auto"/>
          <w:sz w:val="21"/>
          <w:szCs w:val="21"/>
          <w:shd w:val="clear" w:color="auto" w:fill="FFFFFF"/>
          <w:lang w:val="en-US" w:eastAsia="zh-CN"/>
        </w:rPr>
        <w:t>供应商登录“全国公共资源交易平台（河南省·信阳市）（https://ggzyjy.xinyang.gov.cn）”网站进行交易主体注册。</w:t>
      </w:r>
      <w:r>
        <w:rPr>
          <w:rFonts w:hint="eastAsia" w:ascii="华文仿宋" w:hAnsi="华文仿宋" w:eastAsia="华文仿宋" w:cs="华文仿宋"/>
          <w:color w:val="auto"/>
          <w:sz w:val="21"/>
          <w:szCs w:val="21"/>
          <w:shd w:val="clear" w:color="auto" w:fill="FFFFFF"/>
        </w:rPr>
        <w:t>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14:paraId="5395D6D3">
      <w:pPr>
        <w:pStyle w:val="22"/>
        <w:keepNext w:val="0"/>
        <w:keepLines w:val="0"/>
        <w:pageBreakBefore w:val="0"/>
        <w:kinsoku/>
        <w:wordWrap/>
        <w:overflowPunct/>
        <w:topLinePunct w:val="0"/>
        <w:bidi w:val="0"/>
        <w:adjustRightInd/>
        <w:snapToGrid/>
        <w:spacing w:before="0" w:beforeAutospacing="0" w:after="0" w:afterAutospacing="0" w:line="360" w:lineRule="auto"/>
        <w:ind w:firstLine="420" w:firstLineChars="200"/>
        <w:jc w:val="both"/>
        <w:textAlignment w:val="auto"/>
        <w:rPr>
          <w:rFonts w:hint="eastAsia" w:ascii="华文仿宋" w:hAnsi="华文仿宋" w:eastAsia="华文仿宋" w:cs="华文仿宋"/>
          <w:color w:val="auto"/>
          <w:sz w:val="21"/>
          <w:szCs w:val="21"/>
          <w:shd w:val="clear" w:color="auto" w:fill="FFFFFF"/>
        </w:rPr>
      </w:pPr>
      <w:r>
        <w:rPr>
          <w:rFonts w:hint="eastAsia" w:ascii="华文仿宋" w:hAnsi="华文仿宋" w:eastAsia="华文仿宋" w:cs="华文仿宋"/>
          <w:color w:val="auto"/>
          <w:sz w:val="21"/>
          <w:szCs w:val="21"/>
          <w:shd w:val="clear" w:color="auto" w:fill="FFFFFF"/>
        </w:rPr>
        <w:t>3.2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19231D48">
      <w:pPr>
        <w:pStyle w:val="22"/>
        <w:keepNext w:val="0"/>
        <w:keepLines w:val="0"/>
        <w:pageBreakBefore w:val="0"/>
        <w:kinsoku/>
        <w:wordWrap/>
        <w:overflowPunct/>
        <w:topLinePunct w:val="0"/>
        <w:bidi w:val="0"/>
        <w:adjustRightInd/>
        <w:snapToGrid/>
        <w:spacing w:before="0" w:beforeAutospacing="0" w:after="0" w:afterAutospacing="0" w:line="360" w:lineRule="auto"/>
        <w:ind w:firstLine="420" w:firstLineChars="200"/>
        <w:jc w:val="both"/>
        <w:textAlignment w:val="auto"/>
        <w:rPr>
          <w:rFonts w:hint="eastAsia" w:ascii="华文仿宋" w:hAnsi="华文仿宋" w:eastAsia="华文仿宋" w:cs="华文仿宋"/>
          <w:color w:val="auto"/>
          <w:sz w:val="21"/>
          <w:szCs w:val="21"/>
          <w:shd w:val="clear" w:color="auto" w:fill="FFFFFF"/>
        </w:rPr>
      </w:pPr>
      <w:r>
        <w:rPr>
          <w:rFonts w:hint="eastAsia" w:ascii="华文仿宋" w:hAnsi="华文仿宋" w:eastAsia="华文仿宋" w:cs="华文仿宋"/>
          <w:color w:val="auto"/>
          <w:sz w:val="21"/>
          <w:szCs w:val="21"/>
          <w:shd w:val="clear" w:color="auto" w:fill="FFFFFF"/>
        </w:rPr>
        <w:t>3.3招标文件获取方式：投标人凭CA数字证书</w:t>
      </w:r>
      <w:r>
        <w:rPr>
          <w:rFonts w:hint="eastAsia" w:ascii="华文仿宋" w:hAnsi="华文仿宋" w:eastAsia="华文仿宋" w:cs="华文仿宋"/>
          <w:color w:val="auto"/>
          <w:sz w:val="21"/>
          <w:szCs w:val="21"/>
          <w:shd w:val="clear" w:color="auto" w:fill="FFFFFF"/>
          <w:lang w:eastAsia="zh-CN"/>
        </w:rPr>
        <w:t>登录</w:t>
      </w:r>
      <w:r>
        <w:rPr>
          <w:rFonts w:hint="eastAsia" w:ascii="华文仿宋" w:hAnsi="华文仿宋" w:eastAsia="华文仿宋" w:cs="华文仿宋"/>
          <w:color w:val="auto"/>
          <w:sz w:val="21"/>
          <w:szCs w:val="21"/>
          <w:shd w:val="clear" w:color="auto" w:fill="FFFFFF"/>
        </w:rPr>
        <w:t>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w:t>
      </w:r>
      <w:r>
        <w:rPr>
          <w:rFonts w:hint="eastAsia" w:ascii="华文仿宋" w:hAnsi="华文仿宋" w:eastAsia="华文仿宋" w:cs="华文仿宋"/>
          <w:color w:val="auto"/>
          <w:sz w:val="21"/>
          <w:szCs w:val="21"/>
          <w:shd w:val="clear" w:color="auto" w:fill="FFFFFF"/>
          <w:lang w:eastAsia="zh-CN"/>
        </w:rPr>
        <w:t>https://ggzyjy.xinyang.gov.cn/</w:t>
      </w:r>
      <w:r>
        <w:rPr>
          <w:rFonts w:hint="eastAsia" w:ascii="华文仿宋" w:hAnsi="华文仿宋" w:eastAsia="华文仿宋" w:cs="华文仿宋"/>
          <w:color w:val="auto"/>
          <w:sz w:val="21"/>
          <w:szCs w:val="21"/>
          <w:shd w:val="clear" w:color="auto" w:fill="FFFFFF"/>
        </w:rPr>
        <w:t>）”网站下载中心栏目内下载或在招标文件文件领取页面下载）。</w:t>
      </w:r>
    </w:p>
    <w:p w14:paraId="1024816F">
      <w:pPr>
        <w:keepNext w:val="0"/>
        <w:keepLines w:val="0"/>
        <w:pageBreakBefore w:val="0"/>
        <w:kinsoku/>
        <w:wordWrap w:val="0"/>
        <w:overflowPunct/>
        <w:topLinePunct/>
        <w:autoSpaceDE/>
        <w:autoSpaceDN/>
        <w:bidi w:val="0"/>
        <w:adjustRightInd/>
        <w:snapToGrid/>
        <w:spacing w:line="360" w:lineRule="auto"/>
        <w:ind w:firstLine="420" w:firstLineChars="200"/>
        <w:jc w:val="left"/>
        <w:textAlignment w:val="auto"/>
        <w:rPr>
          <w:rFonts w:hint="eastAsia" w:ascii="华文仿宋" w:hAnsi="华文仿宋" w:eastAsia="华文仿宋" w:cs="华文仿宋"/>
          <w:color w:val="auto"/>
          <w:kern w:val="0"/>
          <w:szCs w:val="21"/>
          <w:highlight w:val="none"/>
          <w:lang w:val="en-US" w:eastAsia="zh-CN"/>
        </w:rPr>
      </w:pPr>
      <w:r>
        <w:rPr>
          <w:rFonts w:hint="eastAsia" w:ascii="华文仿宋" w:hAnsi="华文仿宋" w:eastAsia="华文仿宋" w:cs="华文仿宋"/>
          <w:color w:val="auto"/>
          <w:kern w:val="0"/>
          <w:szCs w:val="21"/>
          <w:highlight w:val="none"/>
          <w:lang w:val="en-US" w:eastAsia="zh-CN"/>
        </w:rPr>
        <w:t>3.4请供应商下载磋商文件后及时关注系统业务菜单是否有新的答疑澄清文件或控制价文件。如有请直接下载，不再另行通知。</w:t>
      </w:r>
    </w:p>
    <w:p w14:paraId="4B6B460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2"/>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kern w:val="0"/>
          <w:szCs w:val="21"/>
          <w:highlight w:val="none"/>
        </w:rPr>
        <w:t>4.售价：磋商文件售价0元。</w:t>
      </w:r>
    </w:p>
    <w:p w14:paraId="1F8823AF">
      <w:pPr>
        <w:keepNext w:val="0"/>
        <w:keepLines w:val="0"/>
        <w:pageBreakBefore w:val="0"/>
        <w:widowControl w:val="0"/>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rPr>
        <w:t>四、响应文件提交：</w:t>
      </w:r>
    </w:p>
    <w:p w14:paraId="34E59FF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2"/>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color w:val="auto"/>
          <w:sz w:val="21"/>
          <w:szCs w:val="21"/>
          <w:highlight w:val="none"/>
        </w:rPr>
        <w:t>1、时间：</w:t>
      </w:r>
      <w:r>
        <w:rPr>
          <w:rFonts w:hint="eastAsia" w:ascii="华文仿宋" w:hAnsi="华文仿宋" w:eastAsia="华文仿宋" w:cs="华文仿宋"/>
          <w:color w:val="auto"/>
          <w:kern w:val="2"/>
          <w:sz w:val="21"/>
          <w:szCs w:val="21"/>
          <w:shd w:val="clear" w:color="auto" w:fill="FFFFFF"/>
          <w:lang w:val="en-US" w:eastAsia="zh-CN" w:bidi="ar-SA"/>
        </w:rPr>
        <w:t>2025年08月15日9时00分（北京时间）。</w:t>
      </w:r>
    </w:p>
    <w:p w14:paraId="6AFB7BC5">
      <w:pPr>
        <w:pStyle w:val="14"/>
        <w:keepNext w:val="0"/>
        <w:keepLines w:val="0"/>
        <w:pageBreakBefore w:val="0"/>
        <w:kinsoku/>
        <w:wordWrap/>
        <w:overflowPunct/>
        <w:topLinePunct w:val="0"/>
        <w:bidi w:val="0"/>
        <w:adjustRightInd/>
        <w:snapToGrid/>
        <w:spacing w:line="360" w:lineRule="auto"/>
        <w:ind w:firstLine="420"/>
        <w:textAlignment w:val="auto"/>
        <w:rPr>
          <w:rFonts w:hint="eastAsia" w:ascii="华文仿宋" w:hAnsi="华文仿宋" w:eastAsia="华文仿宋" w:cs="华文仿宋"/>
          <w:bCs/>
          <w:color w:val="auto"/>
          <w:kern w:val="2"/>
          <w:sz w:val="21"/>
          <w:szCs w:val="21"/>
          <w:lang w:eastAsia="zh-CN"/>
        </w:rPr>
      </w:pPr>
      <w:r>
        <w:rPr>
          <w:rFonts w:hint="eastAsia" w:ascii="华文仿宋" w:hAnsi="华文仿宋" w:eastAsia="华文仿宋" w:cs="华文仿宋"/>
          <w:bCs/>
          <w:color w:val="auto"/>
          <w:kern w:val="2"/>
          <w:sz w:val="21"/>
          <w:szCs w:val="21"/>
        </w:rPr>
        <w:t>2.地点：</w:t>
      </w:r>
      <w:r>
        <w:rPr>
          <w:rFonts w:hint="eastAsia" w:ascii="华文仿宋" w:hAnsi="华文仿宋" w:eastAsia="华文仿宋" w:cs="华文仿宋"/>
          <w:color w:val="auto"/>
          <w:sz w:val="21"/>
          <w:szCs w:val="21"/>
          <w:shd w:val="clear" w:color="auto" w:fill="FFFFFF"/>
          <w:lang w:eastAsia="zh-CN"/>
        </w:rPr>
        <w:t>登录</w:t>
      </w:r>
      <w:r>
        <w:rPr>
          <w:rFonts w:hint="eastAsia" w:ascii="华文仿宋" w:hAnsi="华文仿宋" w:eastAsia="华文仿宋" w:cs="华文仿宋"/>
          <w:color w:val="auto"/>
          <w:sz w:val="21"/>
          <w:szCs w:val="21"/>
          <w:shd w:val="clear" w:color="auto" w:fill="FFFFFF"/>
        </w:rPr>
        <w:t>“全国公共资源交易平台（河南省·信阳市）（</w:t>
      </w:r>
      <w:r>
        <w:rPr>
          <w:rFonts w:hint="eastAsia" w:ascii="华文仿宋" w:hAnsi="华文仿宋" w:eastAsia="华文仿宋" w:cs="华文仿宋"/>
          <w:color w:val="auto"/>
          <w:sz w:val="21"/>
          <w:szCs w:val="21"/>
          <w:shd w:val="clear" w:color="auto" w:fill="FFFFFF"/>
          <w:lang w:eastAsia="zh-CN"/>
        </w:rPr>
        <w:t>https://ggzyjy.xinyang.gov.cn/</w:t>
      </w:r>
      <w:r>
        <w:rPr>
          <w:rFonts w:hint="eastAsia" w:ascii="华文仿宋" w:hAnsi="华文仿宋" w:eastAsia="华文仿宋" w:cs="华文仿宋"/>
          <w:color w:val="auto"/>
          <w:sz w:val="21"/>
          <w:szCs w:val="21"/>
          <w:shd w:val="clear" w:color="auto" w:fill="FFFFFF"/>
        </w:rPr>
        <w:t>）”网站，凭办理的企业身份认证锁（CA数字证书）</w:t>
      </w:r>
      <w:r>
        <w:rPr>
          <w:rFonts w:hint="eastAsia" w:ascii="华文仿宋" w:hAnsi="华文仿宋" w:eastAsia="华文仿宋" w:cs="华文仿宋"/>
          <w:color w:val="auto"/>
          <w:sz w:val="21"/>
          <w:szCs w:val="21"/>
          <w:shd w:val="clear" w:color="auto" w:fill="FFFFFF"/>
          <w:lang w:eastAsia="zh-CN"/>
        </w:rPr>
        <w:t>登录</w:t>
      </w:r>
      <w:r>
        <w:rPr>
          <w:rFonts w:hint="eastAsia" w:ascii="华文仿宋" w:hAnsi="华文仿宋" w:eastAsia="华文仿宋" w:cs="华文仿宋"/>
          <w:color w:val="auto"/>
          <w:sz w:val="21"/>
          <w:szCs w:val="21"/>
          <w:shd w:val="clear" w:color="auto" w:fill="FFFFFF"/>
        </w:rPr>
        <w:t>会员系统进行网上投标</w:t>
      </w:r>
      <w:r>
        <w:rPr>
          <w:rFonts w:hint="eastAsia" w:ascii="华文仿宋" w:hAnsi="华文仿宋" w:eastAsia="华文仿宋" w:cs="华文仿宋"/>
          <w:color w:val="auto"/>
          <w:sz w:val="21"/>
          <w:szCs w:val="21"/>
          <w:shd w:val="clear" w:color="auto" w:fill="FFFFFF"/>
          <w:lang w:eastAsia="zh-CN"/>
        </w:rPr>
        <w:t>。</w:t>
      </w:r>
    </w:p>
    <w:p w14:paraId="4EB3D27F">
      <w:pPr>
        <w:pStyle w:val="14"/>
        <w:keepNext w:val="0"/>
        <w:keepLines w:val="0"/>
        <w:pageBreakBefore w:val="0"/>
        <w:kinsoku/>
        <w:wordWrap/>
        <w:overflowPunct/>
        <w:topLinePunct w:val="0"/>
        <w:bidi w:val="0"/>
        <w:adjustRightInd/>
        <w:snapToGrid/>
        <w:spacing w:line="360" w:lineRule="auto"/>
        <w:ind w:firstLine="420"/>
        <w:textAlignment w:val="auto"/>
        <w:outlineLvl w:val="2"/>
        <w:rPr>
          <w:rFonts w:hint="eastAsia" w:ascii="华文仿宋" w:hAnsi="华文仿宋" w:eastAsia="华文仿宋" w:cs="华文仿宋"/>
          <w:bCs/>
          <w:color w:val="auto"/>
          <w:kern w:val="2"/>
          <w:sz w:val="21"/>
          <w:szCs w:val="21"/>
        </w:rPr>
      </w:pPr>
      <w:r>
        <w:rPr>
          <w:rFonts w:hint="eastAsia" w:ascii="华文仿宋" w:hAnsi="华文仿宋" w:eastAsia="华文仿宋" w:cs="华文仿宋"/>
          <w:bCs/>
          <w:color w:val="auto"/>
          <w:kern w:val="2"/>
          <w:sz w:val="21"/>
          <w:szCs w:val="21"/>
        </w:rPr>
        <w:t>3.电子响应文件的递交</w:t>
      </w:r>
    </w:p>
    <w:p w14:paraId="1ED343E7">
      <w:pPr>
        <w:pStyle w:val="14"/>
        <w:keepNext w:val="0"/>
        <w:keepLines w:val="0"/>
        <w:pageBreakBefore w:val="0"/>
        <w:kinsoku/>
        <w:wordWrap/>
        <w:overflowPunct/>
        <w:topLinePunct w:val="0"/>
        <w:bidi w:val="0"/>
        <w:adjustRightInd/>
        <w:snapToGrid/>
        <w:spacing w:line="360" w:lineRule="auto"/>
        <w:ind w:firstLine="420"/>
        <w:textAlignment w:val="auto"/>
        <w:rPr>
          <w:rFonts w:hint="eastAsia" w:ascii="华文仿宋" w:hAnsi="华文仿宋" w:eastAsia="华文仿宋" w:cs="华文仿宋"/>
          <w:bCs/>
          <w:color w:val="auto"/>
          <w:kern w:val="2"/>
          <w:sz w:val="21"/>
          <w:szCs w:val="21"/>
        </w:rPr>
      </w:pPr>
      <w:r>
        <w:rPr>
          <w:rFonts w:hint="eastAsia" w:ascii="华文仿宋" w:hAnsi="华文仿宋" w:eastAsia="华文仿宋" w:cs="华文仿宋"/>
          <w:bCs/>
          <w:color w:val="auto"/>
          <w:kern w:val="2"/>
          <w:sz w:val="21"/>
          <w:szCs w:val="21"/>
        </w:rPr>
        <w:t>各投标人应在投标文件递交截止时间前上传加密的电子投标文件（*.XYTF）到会员系统的指定位置。上传的电子投标文件应使用投标人CA数字证书认证并加密。上传时必须得到交易系统“上传成功”的确认回复后方为上传成功。请投标人在上传前务必认真检查上传投标文件是否完整、正确。</w:t>
      </w:r>
    </w:p>
    <w:p w14:paraId="1D792C1D">
      <w:pPr>
        <w:pStyle w:val="14"/>
        <w:keepNext w:val="0"/>
        <w:keepLines w:val="0"/>
        <w:pageBreakBefore w:val="0"/>
        <w:kinsoku/>
        <w:wordWrap/>
        <w:overflowPunct/>
        <w:topLinePunct w:val="0"/>
        <w:bidi w:val="0"/>
        <w:adjustRightInd/>
        <w:snapToGrid/>
        <w:spacing w:line="360" w:lineRule="auto"/>
        <w:ind w:firstLine="420"/>
        <w:textAlignment w:val="auto"/>
        <w:outlineLvl w:val="2"/>
        <w:rPr>
          <w:rFonts w:hint="eastAsia" w:ascii="华文仿宋" w:hAnsi="华文仿宋" w:eastAsia="华文仿宋" w:cs="华文仿宋"/>
          <w:bCs/>
          <w:color w:val="auto"/>
          <w:kern w:val="2"/>
          <w:sz w:val="21"/>
          <w:szCs w:val="21"/>
        </w:rPr>
      </w:pPr>
      <w:r>
        <w:rPr>
          <w:rFonts w:hint="eastAsia" w:ascii="华文仿宋" w:hAnsi="华文仿宋" w:eastAsia="华文仿宋" w:cs="华文仿宋"/>
          <w:bCs/>
          <w:color w:val="auto"/>
          <w:kern w:val="2"/>
          <w:sz w:val="21"/>
          <w:szCs w:val="21"/>
        </w:rPr>
        <w:t>4.除电子投标文件外，不再接受任何纸质文件、资料原件等。</w:t>
      </w:r>
    </w:p>
    <w:p w14:paraId="22D48E34">
      <w:pPr>
        <w:pStyle w:val="14"/>
        <w:keepNext w:val="0"/>
        <w:keepLines w:val="0"/>
        <w:pageBreakBefore w:val="0"/>
        <w:kinsoku/>
        <w:wordWrap/>
        <w:overflowPunct/>
        <w:topLinePunct w:val="0"/>
        <w:bidi w:val="0"/>
        <w:adjustRightInd/>
        <w:snapToGrid/>
        <w:spacing w:line="360" w:lineRule="auto"/>
        <w:ind w:firstLine="420"/>
        <w:textAlignment w:val="auto"/>
        <w:rPr>
          <w:rFonts w:hint="eastAsia" w:ascii="华文仿宋" w:hAnsi="华文仿宋" w:eastAsia="华文仿宋" w:cs="华文仿宋"/>
          <w:bCs/>
          <w:color w:val="auto"/>
          <w:kern w:val="2"/>
          <w:sz w:val="21"/>
          <w:szCs w:val="21"/>
        </w:rPr>
      </w:pPr>
      <w:r>
        <w:rPr>
          <w:rFonts w:hint="eastAsia" w:ascii="华文仿宋" w:hAnsi="华文仿宋" w:eastAsia="华文仿宋" w:cs="华文仿宋"/>
          <w:bCs/>
          <w:color w:val="auto"/>
          <w:kern w:val="2"/>
          <w:sz w:val="21"/>
          <w:szCs w:val="21"/>
        </w:rPr>
        <w:t>5.本项目评标以电子投标文件为依据。加密电子投标文件逾期上传，采购人不予受理。</w:t>
      </w:r>
    </w:p>
    <w:p w14:paraId="4617139E">
      <w:pPr>
        <w:keepNext w:val="0"/>
        <w:keepLines w:val="0"/>
        <w:pageBreakBefore w:val="0"/>
        <w:widowControl w:val="0"/>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rPr>
        <w:t>五、响应文件开启：</w:t>
      </w:r>
    </w:p>
    <w:p w14:paraId="1694787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bCs/>
          <w:color w:val="auto"/>
          <w:kern w:val="2"/>
          <w:sz w:val="21"/>
          <w:szCs w:val="21"/>
          <w:lang w:val="en-US" w:eastAsia="zh-CN" w:bidi="ar-SA"/>
        </w:rPr>
      </w:pPr>
      <w:r>
        <w:rPr>
          <w:rFonts w:hint="eastAsia" w:ascii="华文仿宋" w:hAnsi="华文仿宋" w:eastAsia="华文仿宋" w:cs="华文仿宋"/>
          <w:bCs/>
          <w:color w:val="auto"/>
          <w:kern w:val="2"/>
          <w:sz w:val="21"/>
          <w:szCs w:val="21"/>
          <w:lang w:val="en-US" w:eastAsia="zh-CN" w:bidi="ar-SA"/>
        </w:rPr>
        <w:t>1、时间：2025年08月15日9时00分（北京时间）。</w:t>
      </w:r>
    </w:p>
    <w:p w14:paraId="0F78D82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bCs/>
          <w:color w:val="auto"/>
          <w:kern w:val="2"/>
          <w:sz w:val="21"/>
          <w:szCs w:val="21"/>
          <w:lang w:val="en-US" w:eastAsia="zh-CN" w:bidi="ar-SA"/>
        </w:rPr>
      </w:pPr>
      <w:r>
        <w:rPr>
          <w:rFonts w:hint="eastAsia" w:ascii="华文仿宋" w:hAnsi="华文仿宋" w:eastAsia="华文仿宋" w:cs="华文仿宋"/>
          <w:bCs/>
          <w:color w:val="auto"/>
          <w:kern w:val="2"/>
          <w:sz w:val="21"/>
          <w:szCs w:val="21"/>
          <w:lang w:val="en-US" w:eastAsia="zh-CN" w:bidi="ar-SA"/>
        </w:rPr>
        <w:t xml:space="preserve">2、地点：淮滨县为民服务中心四楼第一开标厅  </w:t>
      </w:r>
    </w:p>
    <w:p w14:paraId="38BBEC2F">
      <w:pPr>
        <w:keepNext w:val="0"/>
        <w:keepLines w:val="0"/>
        <w:pageBreakBefore w:val="0"/>
        <w:widowControl w:val="0"/>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rPr>
        <w:t>六、发布公告的媒介及</w:t>
      </w:r>
      <w:r>
        <w:rPr>
          <w:rFonts w:hint="eastAsia" w:ascii="华文仿宋" w:hAnsi="华文仿宋" w:eastAsia="华文仿宋" w:cs="华文仿宋"/>
          <w:b/>
          <w:bCs/>
          <w:color w:val="auto"/>
          <w:sz w:val="21"/>
          <w:szCs w:val="21"/>
          <w:highlight w:val="none"/>
          <w:lang w:eastAsia="zh-CN"/>
        </w:rPr>
        <w:t>磋商</w:t>
      </w:r>
      <w:r>
        <w:rPr>
          <w:rFonts w:hint="eastAsia" w:ascii="华文仿宋" w:hAnsi="华文仿宋" w:eastAsia="华文仿宋" w:cs="华文仿宋"/>
          <w:b/>
          <w:bCs/>
          <w:color w:val="auto"/>
          <w:sz w:val="21"/>
          <w:szCs w:val="21"/>
          <w:highlight w:val="none"/>
        </w:rPr>
        <w:t>公告期限：</w:t>
      </w:r>
    </w:p>
    <w:p w14:paraId="67ED04C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本次</w:t>
      </w:r>
      <w:r>
        <w:rPr>
          <w:rFonts w:hint="eastAsia" w:ascii="华文仿宋" w:hAnsi="华文仿宋" w:eastAsia="华文仿宋" w:cs="华文仿宋"/>
          <w:color w:val="auto"/>
          <w:sz w:val="21"/>
          <w:szCs w:val="21"/>
          <w:highlight w:val="none"/>
          <w:lang w:eastAsia="zh-CN"/>
        </w:rPr>
        <w:t>磋商</w:t>
      </w:r>
      <w:r>
        <w:rPr>
          <w:rFonts w:hint="eastAsia" w:ascii="华文仿宋" w:hAnsi="华文仿宋" w:eastAsia="华文仿宋" w:cs="华文仿宋"/>
          <w:color w:val="auto"/>
          <w:sz w:val="21"/>
          <w:szCs w:val="21"/>
          <w:highlight w:val="none"/>
        </w:rPr>
        <w:t>公告在《河南省政府采购网》、《全国公共资源交易平台（河南省·</w:t>
      </w:r>
      <w:r>
        <w:rPr>
          <w:rFonts w:hint="eastAsia" w:ascii="华文仿宋" w:hAnsi="华文仿宋" w:eastAsia="华文仿宋" w:cs="华文仿宋"/>
          <w:color w:val="auto"/>
          <w:sz w:val="21"/>
          <w:szCs w:val="21"/>
          <w:highlight w:val="none"/>
          <w:lang w:val="en-US" w:eastAsia="zh-CN"/>
        </w:rPr>
        <w:t>淮滨县</w:t>
      </w:r>
      <w:r>
        <w:rPr>
          <w:rFonts w:hint="eastAsia" w:ascii="华文仿宋" w:hAnsi="华文仿宋" w:eastAsia="华文仿宋" w:cs="华文仿宋"/>
          <w:color w:val="auto"/>
          <w:sz w:val="21"/>
          <w:szCs w:val="21"/>
          <w:highlight w:val="none"/>
        </w:rPr>
        <w:t>）》网上发布</w:t>
      </w:r>
      <w:r>
        <w:rPr>
          <w:rFonts w:hint="eastAsia" w:ascii="华文仿宋" w:hAnsi="华文仿宋" w:eastAsia="华文仿宋" w:cs="华文仿宋"/>
          <w:color w:val="auto"/>
          <w:sz w:val="21"/>
          <w:szCs w:val="21"/>
          <w:highlight w:val="none"/>
          <w:lang w:eastAsia="zh-CN"/>
        </w:rPr>
        <w:t>，公告期限为</w:t>
      </w:r>
      <w:r>
        <w:rPr>
          <w:rFonts w:hint="eastAsia" w:ascii="华文仿宋" w:hAnsi="华文仿宋" w:eastAsia="华文仿宋" w:cs="华文仿宋"/>
          <w:color w:val="auto"/>
          <w:sz w:val="21"/>
          <w:szCs w:val="21"/>
          <w:highlight w:val="none"/>
          <w:lang w:val="en-US" w:eastAsia="zh-CN"/>
        </w:rPr>
        <w:t>五</w:t>
      </w:r>
      <w:r>
        <w:rPr>
          <w:rFonts w:hint="eastAsia" w:ascii="华文仿宋" w:hAnsi="华文仿宋" w:eastAsia="华文仿宋" w:cs="华文仿宋"/>
          <w:color w:val="auto"/>
          <w:sz w:val="21"/>
          <w:szCs w:val="21"/>
          <w:highlight w:val="none"/>
          <w:lang w:eastAsia="zh-CN"/>
        </w:rPr>
        <w:t>个工作日</w:t>
      </w:r>
      <w:r>
        <w:rPr>
          <w:rFonts w:hint="eastAsia" w:ascii="华文仿宋" w:hAnsi="华文仿宋" w:eastAsia="华文仿宋" w:cs="华文仿宋"/>
          <w:color w:val="auto"/>
          <w:sz w:val="21"/>
          <w:szCs w:val="21"/>
          <w:highlight w:val="none"/>
        </w:rPr>
        <w:t>。</w:t>
      </w:r>
    </w:p>
    <w:p w14:paraId="0D9F6CE8">
      <w:pPr>
        <w:keepNext w:val="0"/>
        <w:keepLines w:val="0"/>
        <w:pageBreakBefore w:val="0"/>
        <w:widowControl w:val="0"/>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b/>
          <w:bCs/>
          <w:color w:val="auto"/>
          <w:sz w:val="21"/>
          <w:szCs w:val="21"/>
          <w:highlight w:val="none"/>
        </w:rPr>
        <w:t>七、其他补充事宜</w:t>
      </w:r>
    </w:p>
    <w:p w14:paraId="7967F9D5">
      <w:pPr>
        <w:keepNext w:val="0"/>
        <w:keepLines w:val="0"/>
        <w:pageBreakBefore w:val="0"/>
        <w:widowControl/>
        <w:kinsoku/>
        <w:wordWrap w:val="0"/>
        <w:overflowPunct/>
        <w:topLinePunct/>
        <w:autoSpaceDE/>
        <w:autoSpaceDN/>
        <w:bidi w:val="0"/>
        <w:adjustRightInd/>
        <w:snapToGrid/>
        <w:spacing w:line="360" w:lineRule="auto"/>
        <w:ind w:firstLine="420" w:firstLineChars="200"/>
        <w:jc w:val="left"/>
        <w:textAlignment w:val="auto"/>
        <w:rPr>
          <w:rFonts w:hint="eastAsia" w:ascii="华文仿宋" w:hAnsi="华文仿宋" w:eastAsia="华文仿宋" w:cs="华文仿宋"/>
          <w:color w:val="auto"/>
          <w:kern w:val="0"/>
          <w:szCs w:val="21"/>
          <w:highlight w:val="none"/>
        </w:rPr>
      </w:pPr>
      <w:r>
        <w:rPr>
          <w:rFonts w:hint="eastAsia" w:ascii="华文仿宋" w:hAnsi="华文仿宋" w:eastAsia="华文仿宋" w:cs="华文仿宋"/>
          <w:color w:val="auto"/>
          <w:kern w:val="0"/>
          <w:szCs w:val="21"/>
          <w:highlight w:val="none"/>
        </w:rPr>
        <w:t>1</w:t>
      </w:r>
      <w:r>
        <w:rPr>
          <w:rFonts w:hint="eastAsia" w:ascii="华文仿宋" w:hAnsi="华文仿宋" w:eastAsia="华文仿宋" w:cs="华文仿宋"/>
          <w:color w:val="auto"/>
          <w:kern w:val="0"/>
          <w:szCs w:val="21"/>
          <w:highlight w:val="none"/>
          <w:lang w:eastAsia="zh-CN"/>
        </w:rPr>
        <w:t>、</w:t>
      </w:r>
      <w:r>
        <w:rPr>
          <w:rFonts w:hint="eastAsia" w:ascii="华文仿宋" w:hAnsi="华文仿宋" w:eastAsia="华文仿宋" w:cs="华文仿宋"/>
          <w:color w:val="auto"/>
          <w:kern w:val="0"/>
          <w:szCs w:val="21"/>
          <w:highlight w:val="none"/>
        </w:rPr>
        <w:t>本项目采用“不见面开标”交易方式，不见面开标大厅网址为 https://ggzyjy.xinyang.gov.cn/BidOpening/bidhall/xinyang/login.html，供应商无需寄送和递交非加密的电子响应文件，无需到现场参加开标会议，无需到达现场提交原件资料。</w:t>
      </w:r>
    </w:p>
    <w:p w14:paraId="19FB17F3">
      <w:pPr>
        <w:keepNext w:val="0"/>
        <w:keepLines w:val="0"/>
        <w:pageBreakBefore w:val="0"/>
        <w:widowControl/>
        <w:kinsoku/>
        <w:wordWrap w:val="0"/>
        <w:overflowPunct/>
        <w:topLinePunct/>
        <w:autoSpaceDE/>
        <w:autoSpaceDN/>
        <w:bidi w:val="0"/>
        <w:adjustRightInd/>
        <w:snapToGrid/>
        <w:spacing w:line="360" w:lineRule="auto"/>
        <w:ind w:firstLine="420" w:firstLineChars="200"/>
        <w:jc w:val="left"/>
        <w:textAlignment w:val="auto"/>
        <w:rPr>
          <w:rFonts w:hint="eastAsia" w:ascii="华文仿宋" w:hAnsi="华文仿宋" w:eastAsia="华文仿宋" w:cs="华文仿宋"/>
          <w:color w:val="auto"/>
          <w:kern w:val="0"/>
          <w:szCs w:val="21"/>
          <w:highlight w:val="none"/>
        </w:rPr>
      </w:pPr>
      <w:r>
        <w:rPr>
          <w:rFonts w:hint="eastAsia" w:ascii="华文仿宋" w:hAnsi="华文仿宋" w:eastAsia="华文仿宋" w:cs="华文仿宋"/>
          <w:color w:val="auto"/>
          <w:kern w:val="0"/>
          <w:szCs w:val="21"/>
          <w:highlight w:val="none"/>
        </w:rPr>
        <w:t>2</w:t>
      </w:r>
      <w:r>
        <w:rPr>
          <w:rFonts w:hint="eastAsia" w:ascii="华文仿宋" w:hAnsi="华文仿宋" w:eastAsia="华文仿宋" w:cs="华文仿宋"/>
          <w:color w:val="auto"/>
          <w:kern w:val="0"/>
          <w:szCs w:val="21"/>
          <w:highlight w:val="none"/>
          <w:lang w:eastAsia="zh-CN"/>
        </w:rPr>
        <w:t>、</w:t>
      </w:r>
      <w:r>
        <w:rPr>
          <w:rFonts w:hint="eastAsia" w:ascii="华文仿宋" w:hAnsi="华文仿宋" w:eastAsia="华文仿宋" w:cs="华文仿宋"/>
          <w:color w:val="auto"/>
          <w:kern w:val="0"/>
          <w:szCs w:val="21"/>
          <w:highlight w:val="none"/>
        </w:rPr>
        <w:t>供应商应当在</w:t>
      </w:r>
      <w:r>
        <w:rPr>
          <w:rFonts w:hint="eastAsia" w:ascii="华文仿宋" w:hAnsi="华文仿宋" w:eastAsia="华文仿宋" w:cs="华文仿宋"/>
          <w:color w:val="auto"/>
          <w:kern w:val="0"/>
          <w:szCs w:val="21"/>
          <w:highlight w:val="none"/>
          <w:lang w:eastAsia="zh-CN"/>
        </w:rPr>
        <w:t>响应文件提交截止时间前</w:t>
      </w:r>
      <w:r>
        <w:rPr>
          <w:rFonts w:hint="eastAsia" w:ascii="华文仿宋" w:hAnsi="华文仿宋" w:eastAsia="华文仿宋" w:cs="华文仿宋"/>
          <w:color w:val="auto"/>
          <w:kern w:val="0"/>
          <w:szCs w:val="21"/>
          <w:highlight w:val="none"/>
        </w:rPr>
        <w:t>，使用供应商CA数字证书登录不见面开标大厅，在线签到并准时参加开标活动，并在规定时间内完成响应文件解密、答疑澄清等。</w:t>
      </w:r>
    </w:p>
    <w:p w14:paraId="10DDF46B">
      <w:pPr>
        <w:keepNext w:val="0"/>
        <w:keepLines w:val="0"/>
        <w:pageBreakBefore w:val="0"/>
        <w:widowControl/>
        <w:kinsoku/>
        <w:wordWrap w:val="0"/>
        <w:overflowPunct/>
        <w:topLinePunct/>
        <w:autoSpaceDE/>
        <w:autoSpaceDN/>
        <w:bidi w:val="0"/>
        <w:adjustRightInd/>
        <w:snapToGrid/>
        <w:spacing w:line="360" w:lineRule="auto"/>
        <w:ind w:firstLine="420" w:firstLineChars="200"/>
        <w:jc w:val="left"/>
        <w:textAlignment w:val="auto"/>
        <w:rPr>
          <w:rFonts w:hint="eastAsia" w:ascii="华文仿宋" w:hAnsi="华文仿宋" w:eastAsia="华文仿宋" w:cs="华文仿宋"/>
          <w:color w:val="auto"/>
          <w:kern w:val="0"/>
          <w:szCs w:val="21"/>
          <w:highlight w:val="none"/>
        </w:rPr>
      </w:pPr>
      <w:r>
        <w:rPr>
          <w:rFonts w:hint="eastAsia" w:ascii="华文仿宋" w:hAnsi="华文仿宋" w:eastAsia="华文仿宋" w:cs="华文仿宋"/>
          <w:color w:val="auto"/>
          <w:kern w:val="0"/>
          <w:szCs w:val="21"/>
          <w:highlight w:val="none"/>
        </w:rPr>
        <w:t>3</w:t>
      </w:r>
      <w:r>
        <w:rPr>
          <w:rFonts w:hint="eastAsia" w:ascii="华文仿宋" w:hAnsi="华文仿宋" w:eastAsia="华文仿宋" w:cs="华文仿宋"/>
          <w:color w:val="auto"/>
          <w:kern w:val="0"/>
          <w:szCs w:val="21"/>
          <w:highlight w:val="none"/>
          <w:lang w:eastAsia="zh-CN"/>
        </w:rPr>
        <w:t>、</w:t>
      </w:r>
      <w:r>
        <w:rPr>
          <w:rFonts w:hint="eastAsia" w:ascii="华文仿宋" w:hAnsi="华文仿宋" w:eastAsia="华文仿宋" w:cs="华文仿宋"/>
          <w:color w:val="auto"/>
          <w:kern w:val="0"/>
          <w:szCs w:val="21"/>
          <w:highlight w:val="none"/>
        </w:rPr>
        <w:t>逾期解密或者没有准时在线参加开标活动导致的一切后果供应商自行承担。</w:t>
      </w:r>
    </w:p>
    <w:p w14:paraId="29BC7446">
      <w:pPr>
        <w:keepNext w:val="0"/>
        <w:keepLines w:val="0"/>
        <w:pageBreakBefore w:val="0"/>
        <w:widowControl/>
        <w:kinsoku/>
        <w:wordWrap w:val="0"/>
        <w:overflowPunct/>
        <w:topLinePunct/>
        <w:autoSpaceDE/>
        <w:autoSpaceDN/>
        <w:bidi w:val="0"/>
        <w:adjustRightInd/>
        <w:snapToGrid/>
        <w:spacing w:line="360" w:lineRule="auto"/>
        <w:ind w:firstLine="420" w:firstLineChars="200"/>
        <w:jc w:val="left"/>
        <w:textAlignment w:val="auto"/>
        <w:rPr>
          <w:rFonts w:hint="eastAsia" w:ascii="华文仿宋" w:hAnsi="华文仿宋" w:eastAsia="华文仿宋" w:cs="华文仿宋"/>
          <w:color w:val="auto"/>
          <w:kern w:val="0"/>
          <w:szCs w:val="21"/>
          <w:highlight w:val="none"/>
        </w:rPr>
      </w:pPr>
      <w:r>
        <w:rPr>
          <w:rFonts w:hint="eastAsia" w:ascii="华文仿宋" w:hAnsi="华文仿宋" w:eastAsia="华文仿宋" w:cs="华文仿宋"/>
          <w:color w:val="auto"/>
          <w:kern w:val="0"/>
          <w:szCs w:val="21"/>
          <w:highlight w:val="none"/>
        </w:rPr>
        <w:t>4</w:t>
      </w:r>
      <w:r>
        <w:rPr>
          <w:rFonts w:hint="eastAsia" w:ascii="华文仿宋" w:hAnsi="华文仿宋" w:eastAsia="华文仿宋" w:cs="华文仿宋"/>
          <w:color w:val="auto"/>
          <w:kern w:val="0"/>
          <w:szCs w:val="21"/>
          <w:highlight w:val="none"/>
          <w:lang w:eastAsia="zh-CN"/>
        </w:rPr>
        <w:t>、</w:t>
      </w:r>
      <w:r>
        <w:rPr>
          <w:rFonts w:hint="eastAsia" w:ascii="华文仿宋" w:hAnsi="华文仿宋" w:eastAsia="华文仿宋" w:cs="华文仿宋"/>
          <w:color w:val="auto"/>
          <w:kern w:val="0"/>
          <w:szCs w:val="21"/>
          <w:highlight w:val="none"/>
        </w:rPr>
        <w:t>不见面开标服务的具体事宜，请查阅信阳市公共资源交易中心网站首页—下载中心—信阳</w:t>
      </w:r>
      <w:r>
        <w:rPr>
          <w:rFonts w:hint="eastAsia" w:ascii="华文仿宋" w:hAnsi="华文仿宋" w:eastAsia="华文仿宋" w:cs="华文仿宋"/>
          <w:color w:val="auto"/>
          <w:kern w:val="0"/>
          <w:szCs w:val="21"/>
          <w:highlight w:val="none"/>
          <w:lang w:val="en-US" w:eastAsia="zh-CN"/>
        </w:rPr>
        <w:tab/>
      </w:r>
      <w:r>
        <w:rPr>
          <w:rFonts w:hint="eastAsia" w:ascii="华文仿宋" w:hAnsi="华文仿宋" w:eastAsia="华文仿宋" w:cs="华文仿宋"/>
          <w:color w:val="auto"/>
          <w:kern w:val="0"/>
          <w:szCs w:val="21"/>
          <w:highlight w:val="none"/>
        </w:rPr>
        <w:t>市不见面开标大厅系统操作手册 。</w:t>
      </w:r>
    </w:p>
    <w:p w14:paraId="1FC166E1">
      <w:pPr>
        <w:keepNext w:val="0"/>
        <w:keepLines w:val="0"/>
        <w:pageBreakBefore w:val="0"/>
        <w:widowControl/>
        <w:kinsoku/>
        <w:wordWrap w:val="0"/>
        <w:overflowPunct/>
        <w:topLinePunct/>
        <w:autoSpaceDE/>
        <w:autoSpaceDN/>
        <w:bidi w:val="0"/>
        <w:adjustRightInd/>
        <w:snapToGrid/>
        <w:spacing w:line="360" w:lineRule="auto"/>
        <w:ind w:firstLine="422" w:firstLineChars="200"/>
        <w:jc w:val="left"/>
        <w:textAlignment w:val="auto"/>
        <w:rPr>
          <w:rFonts w:hint="eastAsia" w:ascii="华文仿宋" w:hAnsi="华文仿宋" w:eastAsia="华文仿宋" w:cs="华文仿宋"/>
          <w:b/>
          <w:bCs/>
          <w:color w:val="auto"/>
          <w:kern w:val="0"/>
          <w:szCs w:val="21"/>
          <w:highlight w:val="none"/>
        </w:rPr>
      </w:pPr>
      <w:r>
        <w:rPr>
          <w:rFonts w:hint="eastAsia" w:ascii="华文仿宋" w:hAnsi="华文仿宋" w:eastAsia="华文仿宋" w:cs="华文仿宋"/>
          <w:b/>
          <w:bCs/>
          <w:color w:val="auto"/>
          <w:kern w:val="0"/>
          <w:szCs w:val="21"/>
          <w:highlight w:val="none"/>
        </w:rPr>
        <w:t>特别提示：</w:t>
      </w:r>
      <w:r>
        <w:rPr>
          <w:rFonts w:hint="eastAsia" w:ascii="华文仿宋" w:hAnsi="华文仿宋" w:eastAsia="华文仿宋" w:cs="华文仿宋"/>
          <w:b/>
          <w:bCs/>
          <w:color w:val="auto"/>
          <w:kern w:val="0"/>
          <w:szCs w:val="21"/>
          <w:highlight w:val="none"/>
          <w:lang w:val="en-US" w:eastAsia="zh-CN"/>
        </w:rPr>
        <w:t>1.</w:t>
      </w:r>
      <w:r>
        <w:rPr>
          <w:rFonts w:hint="eastAsia" w:ascii="华文仿宋" w:hAnsi="华文仿宋" w:eastAsia="华文仿宋" w:cs="华文仿宋"/>
          <w:b/>
          <w:bCs/>
          <w:color w:val="auto"/>
          <w:kern w:val="0"/>
          <w:szCs w:val="21"/>
          <w:highlight w:val="none"/>
        </w:rPr>
        <w:t>供应商在线签到时，应如实准确的填写授权委托人的联系电话，开标当天请务必保证电话保持畅通。</w:t>
      </w:r>
    </w:p>
    <w:p w14:paraId="34CC8A79">
      <w:pPr>
        <w:keepNext w:val="0"/>
        <w:keepLines w:val="0"/>
        <w:pageBreakBefore w:val="0"/>
        <w:widowControl/>
        <w:numPr>
          <w:ilvl w:val="0"/>
          <w:numId w:val="0"/>
        </w:numPr>
        <w:kinsoku/>
        <w:wordWrap w:val="0"/>
        <w:overflowPunct/>
        <w:topLinePunct/>
        <w:autoSpaceDE/>
        <w:autoSpaceDN/>
        <w:bidi w:val="0"/>
        <w:adjustRightInd/>
        <w:snapToGrid/>
        <w:spacing w:line="360" w:lineRule="auto"/>
        <w:jc w:val="left"/>
        <w:textAlignment w:val="auto"/>
        <w:rPr>
          <w:rFonts w:hint="eastAsia" w:ascii="华文仿宋" w:hAnsi="华文仿宋" w:eastAsia="华文仿宋" w:cs="华文仿宋"/>
          <w:b/>
          <w:bCs/>
          <w:color w:val="auto"/>
          <w:kern w:val="0"/>
          <w:szCs w:val="21"/>
          <w:highlight w:val="none"/>
          <w:lang w:eastAsia="zh-CN"/>
        </w:rPr>
      </w:pPr>
      <w:r>
        <w:rPr>
          <w:rFonts w:hint="eastAsia" w:ascii="华文仿宋" w:hAnsi="华文仿宋" w:eastAsia="华文仿宋" w:cs="华文仿宋"/>
          <w:b/>
          <w:bCs/>
          <w:color w:val="auto"/>
          <w:kern w:val="0"/>
          <w:szCs w:val="21"/>
          <w:highlight w:val="none"/>
          <w:lang w:val="en-US" w:eastAsia="zh-CN"/>
        </w:rPr>
        <w:t>2.</w:t>
      </w:r>
      <w:r>
        <w:rPr>
          <w:rFonts w:hint="eastAsia" w:ascii="华文仿宋" w:hAnsi="华文仿宋" w:eastAsia="华文仿宋" w:cs="华文仿宋"/>
          <w:b/>
          <w:bCs/>
          <w:color w:val="auto"/>
          <w:kern w:val="0"/>
          <w:szCs w:val="21"/>
          <w:highlight w:val="none"/>
        </w:rPr>
        <w:t>由于信阳市公共资源交易中心系统升级，请各投标单位在新系统中重新入库，再下载招标文件</w:t>
      </w:r>
      <w:r>
        <w:rPr>
          <w:rFonts w:hint="eastAsia" w:ascii="华文仿宋" w:hAnsi="华文仿宋" w:eastAsia="华文仿宋" w:cs="华文仿宋"/>
          <w:b/>
          <w:bCs/>
          <w:color w:val="auto"/>
          <w:kern w:val="0"/>
          <w:szCs w:val="21"/>
          <w:highlight w:val="none"/>
          <w:lang w:eastAsia="zh-CN"/>
        </w:rPr>
        <w:t>。</w:t>
      </w:r>
    </w:p>
    <w:p w14:paraId="35EF1AA1">
      <w:pPr>
        <w:keepNext w:val="0"/>
        <w:keepLines w:val="0"/>
        <w:pageBreakBefore w:val="0"/>
        <w:widowControl w:val="0"/>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b/>
          <w:bCs/>
          <w:color w:val="auto"/>
          <w:sz w:val="21"/>
          <w:szCs w:val="21"/>
          <w:highlight w:val="none"/>
        </w:rPr>
        <w:t>八、凡对本次招标提出询问，请按照以下方式联系</w:t>
      </w:r>
    </w:p>
    <w:p w14:paraId="33638371">
      <w:pPr>
        <w:keepNext w:val="0"/>
        <w:keepLines w:val="0"/>
        <w:pageBreakBefore w:val="0"/>
        <w:kinsoku/>
        <w:wordWrap/>
        <w:overflowPunct/>
        <w:topLinePunct w:val="0"/>
        <w:bidi w:val="0"/>
        <w:adjustRightInd/>
        <w:snapToGrid/>
        <w:spacing w:line="360" w:lineRule="auto"/>
        <w:ind w:firstLine="420" w:firstLineChars="200"/>
        <w:textAlignment w:val="auto"/>
        <w:outlineLvl w:val="2"/>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1、采购人信息</w:t>
      </w:r>
    </w:p>
    <w:p w14:paraId="62C9A0D5">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采购人：淮滨县林业局</w:t>
      </w:r>
    </w:p>
    <w:p w14:paraId="2A42D44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华文仿宋" w:hAnsi="华文仿宋" w:eastAsia="华文仿宋" w:cs="华文仿宋"/>
          <w:color w:val="auto"/>
          <w:kern w:val="0"/>
          <w:sz w:val="24"/>
          <w:szCs w:val="24"/>
          <w:shd w:val="clear" w:fill="FFFFFF"/>
          <w:vertAlign w:val="baseline"/>
        </w:rPr>
      </w:pPr>
      <w:r>
        <w:rPr>
          <w:rFonts w:hint="eastAsia" w:ascii="华文仿宋" w:hAnsi="华文仿宋" w:eastAsia="华文仿宋" w:cs="华文仿宋"/>
          <w:color w:val="auto"/>
          <w:sz w:val="21"/>
          <w:szCs w:val="21"/>
          <w:highlight w:val="none"/>
          <w:lang w:val="en-US" w:eastAsia="zh-CN"/>
        </w:rPr>
        <w:t>地  址：淮滨县青年街</w:t>
      </w:r>
    </w:p>
    <w:p w14:paraId="53439333">
      <w:pPr>
        <w:keepNext w:val="0"/>
        <w:keepLines w:val="0"/>
        <w:pageBreakBefore w:val="0"/>
        <w:kinsoku/>
        <w:wordWrap/>
        <w:overflowPunct/>
        <w:topLinePunct w:val="0"/>
        <w:bidi w:val="0"/>
        <w:adjustRightInd/>
        <w:snapToGrid/>
        <w:spacing w:line="360" w:lineRule="auto"/>
        <w:ind w:firstLine="420" w:firstLineChars="200"/>
        <w:textAlignment w:val="auto"/>
        <w:outlineLvl w:val="2"/>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联系人：  涂先生</w:t>
      </w:r>
    </w:p>
    <w:p w14:paraId="4458338D">
      <w:pPr>
        <w:keepNext w:val="0"/>
        <w:keepLines w:val="0"/>
        <w:pageBreakBefore w:val="0"/>
        <w:kinsoku/>
        <w:wordWrap/>
        <w:overflowPunct/>
        <w:topLinePunct w:val="0"/>
        <w:bidi w:val="0"/>
        <w:adjustRightInd/>
        <w:snapToGrid/>
        <w:spacing w:line="360" w:lineRule="auto"/>
        <w:ind w:firstLine="420" w:firstLineChars="200"/>
        <w:textAlignment w:val="auto"/>
        <w:outlineLvl w:val="2"/>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联系电话： 13782920506</w:t>
      </w:r>
    </w:p>
    <w:p w14:paraId="2190C90A">
      <w:pPr>
        <w:keepNext w:val="0"/>
        <w:keepLines w:val="0"/>
        <w:pageBreakBefore w:val="0"/>
        <w:kinsoku/>
        <w:wordWrap/>
        <w:overflowPunct/>
        <w:topLinePunct w:val="0"/>
        <w:bidi w:val="0"/>
        <w:adjustRightInd/>
        <w:snapToGrid/>
        <w:spacing w:line="360" w:lineRule="auto"/>
        <w:ind w:firstLine="420" w:firstLineChars="200"/>
        <w:textAlignment w:val="auto"/>
        <w:outlineLvl w:val="2"/>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2、采购代理机构信息</w:t>
      </w:r>
    </w:p>
    <w:p w14:paraId="2F4DF3CC">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采购代理机构：河南旭泽企业管理咨询有限公司</w:t>
      </w:r>
    </w:p>
    <w:p w14:paraId="43024339">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highlight w:val="none"/>
          <w:lang w:val="en-US" w:eastAsia="zh-CN"/>
        </w:rPr>
        <w:t>地址：</w:t>
      </w:r>
      <w:r>
        <w:rPr>
          <w:rFonts w:hint="eastAsia" w:ascii="华文仿宋" w:hAnsi="华文仿宋" w:eastAsia="华文仿宋" w:cs="华文仿宋"/>
          <w:color w:val="auto"/>
          <w:sz w:val="21"/>
          <w:szCs w:val="21"/>
        </w:rPr>
        <w:t>信阳市新七大道中乐百花大厦10楼</w:t>
      </w:r>
    </w:p>
    <w:p w14:paraId="4316850E">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联系人：杨希玲</w:t>
      </w:r>
    </w:p>
    <w:p w14:paraId="052F5EAA">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val="en-US"/>
        </w:rPr>
      </w:pPr>
      <w:r>
        <w:rPr>
          <w:rFonts w:hint="eastAsia" w:ascii="华文仿宋" w:hAnsi="华文仿宋" w:eastAsia="华文仿宋" w:cs="华文仿宋"/>
          <w:color w:val="auto"/>
          <w:sz w:val="21"/>
          <w:szCs w:val="21"/>
          <w:highlight w:val="none"/>
          <w:lang w:val="en-US" w:eastAsia="zh-CN"/>
        </w:rPr>
        <w:t>电  话：</w:t>
      </w:r>
      <w:r>
        <w:rPr>
          <w:rFonts w:hint="eastAsia" w:ascii="华文仿宋" w:hAnsi="华文仿宋" w:eastAsia="华文仿宋" w:cs="华文仿宋"/>
          <w:color w:val="auto"/>
          <w:sz w:val="21"/>
          <w:szCs w:val="21"/>
          <w:lang w:val="en-US" w:eastAsia="zh-CN"/>
        </w:rPr>
        <w:t>17337612777</w:t>
      </w:r>
    </w:p>
    <w:p w14:paraId="45B223F5">
      <w:pPr>
        <w:keepNext w:val="0"/>
        <w:keepLines w:val="0"/>
        <w:pageBreakBefore w:val="0"/>
        <w:widowControl/>
        <w:kinsoku/>
        <w:wordWrap w:val="0"/>
        <w:overflowPunct/>
        <w:topLinePunct/>
        <w:autoSpaceDE/>
        <w:autoSpaceDN/>
        <w:bidi w:val="0"/>
        <w:adjustRightInd/>
        <w:snapToGrid/>
        <w:spacing w:line="360" w:lineRule="auto"/>
        <w:ind w:firstLine="420" w:firstLineChars="200"/>
        <w:jc w:val="left"/>
        <w:textAlignment w:val="auto"/>
        <w:outlineLvl w:val="2"/>
        <w:rPr>
          <w:rFonts w:hint="eastAsia" w:ascii="华文仿宋" w:hAnsi="华文仿宋" w:eastAsia="华文仿宋" w:cs="华文仿宋"/>
          <w:color w:val="auto"/>
          <w:kern w:val="0"/>
          <w:sz w:val="21"/>
          <w:szCs w:val="21"/>
          <w:highlight w:val="none"/>
        </w:rPr>
      </w:pPr>
      <w:r>
        <w:rPr>
          <w:rFonts w:hint="eastAsia" w:ascii="华文仿宋" w:hAnsi="华文仿宋" w:eastAsia="华文仿宋" w:cs="华文仿宋"/>
          <w:color w:val="auto"/>
          <w:kern w:val="0"/>
          <w:sz w:val="21"/>
          <w:szCs w:val="21"/>
          <w:highlight w:val="none"/>
        </w:rPr>
        <w:t>3</w:t>
      </w:r>
      <w:r>
        <w:rPr>
          <w:rFonts w:hint="eastAsia" w:ascii="华文仿宋" w:hAnsi="华文仿宋" w:eastAsia="华文仿宋" w:cs="华文仿宋"/>
          <w:color w:val="auto"/>
          <w:kern w:val="0"/>
          <w:sz w:val="21"/>
          <w:szCs w:val="21"/>
          <w:highlight w:val="none"/>
          <w:lang w:eastAsia="zh-CN"/>
        </w:rPr>
        <w:t>、</w:t>
      </w:r>
      <w:r>
        <w:rPr>
          <w:rFonts w:hint="eastAsia" w:ascii="华文仿宋" w:hAnsi="华文仿宋" w:eastAsia="华文仿宋" w:cs="华文仿宋"/>
          <w:color w:val="auto"/>
          <w:kern w:val="0"/>
          <w:sz w:val="21"/>
          <w:szCs w:val="21"/>
          <w:highlight w:val="none"/>
        </w:rPr>
        <w:t>项目联系方式</w:t>
      </w:r>
    </w:p>
    <w:p w14:paraId="4CFDDD83">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联系人：杨希玲</w:t>
      </w:r>
    </w:p>
    <w:p w14:paraId="676B8B73">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华文仿宋" w:hAnsi="华文仿宋" w:eastAsia="华文仿宋" w:cs="华文仿宋"/>
          <w:color w:val="auto"/>
          <w:sz w:val="21"/>
          <w:szCs w:val="21"/>
          <w:lang w:val="en-US" w:eastAsia="zh-CN"/>
        </w:rPr>
      </w:pPr>
      <w:r>
        <w:rPr>
          <w:rFonts w:hint="eastAsia" w:ascii="华文仿宋" w:hAnsi="华文仿宋" w:eastAsia="华文仿宋" w:cs="华文仿宋"/>
          <w:color w:val="auto"/>
          <w:sz w:val="21"/>
          <w:szCs w:val="21"/>
          <w:lang w:val="en-US" w:eastAsia="zh-CN"/>
        </w:rPr>
        <w:t>电  话：17337612777</w:t>
      </w:r>
    </w:p>
    <w:p w14:paraId="6593A8F2">
      <w:pPr>
        <w:keepNext w:val="0"/>
        <w:keepLines w:val="0"/>
        <w:pageBreakBefore w:val="0"/>
        <w:widowControl/>
        <w:kinsoku/>
        <w:wordWrap w:val="0"/>
        <w:overflowPunct/>
        <w:topLinePunct/>
        <w:autoSpaceDE/>
        <w:autoSpaceDN/>
        <w:bidi w:val="0"/>
        <w:adjustRightInd/>
        <w:snapToGrid/>
        <w:spacing w:line="360" w:lineRule="auto"/>
        <w:ind w:firstLine="420" w:firstLineChars="200"/>
        <w:jc w:val="left"/>
        <w:textAlignment w:val="auto"/>
        <w:outlineLvl w:val="2"/>
        <w:rPr>
          <w:rFonts w:hint="eastAsia" w:ascii="华文仿宋" w:hAnsi="华文仿宋" w:eastAsia="华文仿宋" w:cs="华文仿宋"/>
          <w:color w:val="auto"/>
          <w:kern w:val="0"/>
          <w:sz w:val="21"/>
          <w:szCs w:val="21"/>
          <w:highlight w:val="none"/>
        </w:rPr>
      </w:pPr>
      <w:r>
        <w:rPr>
          <w:rFonts w:hint="eastAsia" w:ascii="华文仿宋" w:hAnsi="华文仿宋" w:eastAsia="华文仿宋" w:cs="华文仿宋"/>
          <w:color w:val="auto"/>
          <w:kern w:val="0"/>
          <w:sz w:val="21"/>
          <w:szCs w:val="21"/>
          <w:highlight w:val="none"/>
          <w:lang w:val="en-US" w:eastAsia="zh-CN"/>
        </w:rPr>
        <w:t>4、</w:t>
      </w:r>
      <w:r>
        <w:rPr>
          <w:rFonts w:hint="eastAsia" w:ascii="华文仿宋" w:hAnsi="华文仿宋" w:eastAsia="华文仿宋" w:cs="华文仿宋"/>
          <w:color w:val="auto"/>
          <w:kern w:val="0"/>
          <w:sz w:val="21"/>
          <w:szCs w:val="21"/>
          <w:highlight w:val="none"/>
        </w:rPr>
        <w:t>监督部门信息</w:t>
      </w:r>
    </w:p>
    <w:p w14:paraId="57BB28F5">
      <w:pPr>
        <w:keepNext w:val="0"/>
        <w:keepLines w:val="0"/>
        <w:pageBreakBefore w:val="0"/>
        <w:widowControl/>
        <w:kinsoku/>
        <w:wordWrap w:val="0"/>
        <w:overflowPunct/>
        <w:topLinePunct/>
        <w:autoSpaceDE/>
        <w:autoSpaceDN/>
        <w:bidi w:val="0"/>
        <w:adjustRightInd/>
        <w:snapToGrid/>
        <w:spacing w:line="360" w:lineRule="auto"/>
        <w:ind w:firstLine="420" w:firstLineChars="200"/>
        <w:jc w:val="left"/>
        <w:textAlignment w:val="auto"/>
        <w:rPr>
          <w:rFonts w:hint="eastAsia" w:ascii="华文仿宋" w:hAnsi="华文仿宋" w:eastAsia="华文仿宋" w:cs="华文仿宋"/>
          <w:color w:val="auto"/>
          <w:kern w:val="0"/>
          <w:sz w:val="21"/>
          <w:szCs w:val="21"/>
          <w:highlight w:val="none"/>
        </w:rPr>
      </w:pPr>
      <w:r>
        <w:rPr>
          <w:rFonts w:hint="eastAsia" w:ascii="华文仿宋" w:hAnsi="华文仿宋" w:eastAsia="华文仿宋" w:cs="华文仿宋"/>
          <w:color w:val="auto"/>
          <w:kern w:val="0"/>
          <w:sz w:val="21"/>
          <w:szCs w:val="21"/>
          <w:highlight w:val="none"/>
        </w:rPr>
        <w:t>监督单位：淮滨县政府采购管理办公室</w:t>
      </w:r>
    </w:p>
    <w:p w14:paraId="30EAB3CD">
      <w:pPr>
        <w:keepNext w:val="0"/>
        <w:keepLines w:val="0"/>
        <w:pageBreakBefore w:val="0"/>
        <w:widowControl/>
        <w:kinsoku/>
        <w:wordWrap w:val="0"/>
        <w:overflowPunct/>
        <w:topLinePunct/>
        <w:autoSpaceDE/>
        <w:autoSpaceDN/>
        <w:bidi w:val="0"/>
        <w:adjustRightInd/>
        <w:snapToGrid/>
        <w:spacing w:line="360" w:lineRule="auto"/>
        <w:ind w:firstLine="420" w:firstLineChars="200"/>
        <w:jc w:val="left"/>
        <w:textAlignment w:val="auto"/>
        <w:rPr>
          <w:rFonts w:hint="eastAsia" w:ascii="华文仿宋" w:hAnsi="华文仿宋" w:eastAsia="华文仿宋" w:cs="华文仿宋"/>
          <w:color w:val="auto"/>
          <w:kern w:val="0"/>
          <w:sz w:val="21"/>
          <w:szCs w:val="21"/>
          <w:highlight w:val="none"/>
        </w:rPr>
      </w:pPr>
      <w:r>
        <w:rPr>
          <w:rFonts w:hint="eastAsia" w:ascii="华文仿宋" w:hAnsi="华文仿宋" w:eastAsia="华文仿宋" w:cs="华文仿宋"/>
          <w:color w:val="auto"/>
          <w:kern w:val="0"/>
          <w:sz w:val="21"/>
          <w:szCs w:val="21"/>
          <w:highlight w:val="none"/>
        </w:rPr>
        <w:t>联系电话：</w:t>
      </w:r>
      <w:r>
        <w:rPr>
          <w:rFonts w:hint="eastAsia" w:ascii="华文仿宋" w:hAnsi="华文仿宋" w:eastAsia="华文仿宋" w:cs="华文仿宋"/>
          <w:b w:val="0"/>
          <w:bCs/>
          <w:color w:val="auto"/>
          <w:kern w:val="0"/>
          <w:sz w:val="24"/>
          <w:szCs w:val="24"/>
          <w:shd w:val="clear" w:fill="FFFFFF"/>
        </w:rPr>
        <w:t xml:space="preserve"> </w:t>
      </w:r>
      <w:r>
        <w:rPr>
          <w:rFonts w:hint="eastAsia" w:ascii="华文仿宋" w:hAnsi="华文仿宋" w:eastAsia="华文仿宋" w:cs="华文仿宋"/>
          <w:color w:val="auto"/>
          <w:kern w:val="0"/>
          <w:sz w:val="21"/>
          <w:szCs w:val="21"/>
          <w:highlight w:val="none"/>
        </w:rPr>
        <w:t>0376-7775616</w:t>
      </w:r>
    </w:p>
    <w:p w14:paraId="287ECE9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bCs/>
          <w:color w:val="auto"/>
          <w:kern w:val="0"/>
          <w:szCs w:val="24"/>
          <w:highlight w:val="none"/>
          <w:lang w:val="en-US" w:eastAsia="zh-CN"/>
        </w:rPr>
      </w:pPr>
    </w:p>
    <w:p w14:paraId="7142B187">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华文仿宋" w:hAnsi="华文仿宋" w:eastAsia="华文仿宋" w:cs="华文仿宋"/>
          <w:color w:val="auto"/>
          <w:sz w:val="24"/>
          <w:szCs w:val="24"/>
          <w:lang w:val="en-US" w:eastAsia="zh-CN"/>
        </w:rPr>
      </w:pPr>
    </w:p>
    <w:p w14:paraId="78507159">
      <w:pPr>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br w:type="page"/>
      </w:r>
    </w:p>
    <w:p w14:paraId="1528A5C1">
      <w:pPr>
        <w:keepNext w:val="0"/>
        <w:keepLines w:val="0"/>
        <w:pageBreakBefore w:val="0"/>
        <w:widowControl/>
        <w:kinsoku/>
        <w:wordWrap w:val="0"/>
        <w:overflowPunct/>
        <w:topLinePunct/>
        <w:autoSpaceDE/>
        <w:autoSpaceDN/>
        <w:bidi w:val="0"/>
        <w:adjustRightInd/>
        <w:snapToGrid/>
        <w:spacing w:line="360" w:lineRule="auto"/>
        <w:ind w:firstLine="883" w:firstLineChars="200"/>
        <w:jc w:val="center"/>
        <w:textAlignment w:val="auto"/>
        <w:outlineLvl w:val="0"/>
        <w:rPr>
          <w:rFonts w:hint="eastAsia" w:ascii="华文仿宋" w:hAnsi="华文仿宋" w:eastAsia="华文仿宋" w:cs="华文仿宋"/>
          <w:b/>
          <w:bCs/>
          <w:color w:val="auto"/>
          <w:sz w:val="44"/>
          <w:szCs w:val="44"/>
          <w:highlight w:val="none"/>
        </w:rPr>
      </w:pPr>
      <w:bookmarkStart w:id="1" w:name="_Toc15036"/>
      <w:r>
        <w:rPr>
          <w:rFonts w:hint="eastAsia" w:ascii="华文仿宋" w:hAnsi="华文仿宋" w:eastAsia="华文仿宋" w:cs="华文仿宋"/>
          <w:b/>
          <w:bCs/>
          <w:color w:val="auto"/>
          <w:sz w:val="44"/>
          <w:szCs w:val="44"/>
          <w:highlight w:val="none"/>
        </w:rPr>
        <w:t>第二章 供应商须知</w:t>
      </w:r>
      <w:bookmarkEnd w:id="1"/>
    </w:p>
    <w:p w14:paraId="08B17EC3">
      <w:pPr>
        <w:pageBreakBefore w:val="0"/>
        <w:kinsoku/>
        <w:wordWrap w:val="0"/>
        <w:overflowPunct/>
        <w:topLinePunct/>
        <w:bidi w:val="0"/>
        <w:spacing w:line="360" w:lineRule="auto"/>
        <w:jc w:val="center"/>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b/>
          <w:bCs/>
          <w:color w:val="auto"/>
          <w:sz w:val="32"/>
          <w:szCs w:val="32"/>
          <w:highlight w:val="none"/>
        </w:rPr>
        <w:t>供应商须知前附表</w:t>
      </w:r>
    </w:p>
    <w:tbl>
      <w:tblPr>
        <w:tblStyle w:val="25"/>
        <w:tblW w:w="103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2804"/>
        <w:gridCol w:w="6429"/>
      </w:tblGrid>
      <w:tr w14:paraId="2D7F1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0" w:type="dxa"/>
            <w:vAlign w:val="center"/>
          </w:tcPr>
          <w:p w14:paraId="30287673">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b/>
                <w:bCs/>
                <w:color w:val="auto"/>
                <w:sz w:val="24"/>
                <w:szCs w:val="24"/>
                <w:highlight w:val="none"/>
                <w:lang w:val="en-US" w:eastAsia="zh-CN"/>
              </w:rPr>
            </w:pPr>
            <w:r>
              <w:rPr>
                <w:rFonts w:hint="eastAsia" w:ascii="华文仿宋" w:hAnsi="华文仿宋" w:eastAsia="华文仿宋" w:cs="华文仿宋"/>
                <w:b/>
                <w:bCs/>
                <w:color w:val="auto"/>
                <w:sz w:val="24"/>
                <w:szCs w:val="24"/>
                <w:highlight w:val="none"/>
                <w:lang w:val="en-US" w:eastAsia="zh-CN"/>
              </w:rPr>
              <w:t>条款号</w:t>
            </w:r>
          </w:p>
        </w:tc>
        <w:tc>
          <w:tcPr>
            <w:tcW w:w="2804" w:type="dxa"/>
            <w:vAlign w:val="center"/>
          </w:tcPr>
          <w:p w14:paraId="73C7E49C">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b/>
                <w:bCs/>
                <w:color w:val="auto"/>
                <w:sz w:val="24"/>
                <w:szCs w:val="24"/>
                <w:highlight w:val="none"/>
                <w:lang w:val="en-US" w:eastAsia="zh-CN"/>
              </w:rPr>
            </w:pPr>
            <w:r>
              <w:rPr>
                <w:rFonts w:hint="eastAsia" w:ascii="华文仿宋" w:hAnsi="华文仿宋" w:eastAsia="华文仿宋" w:cs="华文仿宋"/>
                <w:b/>
                <w:bCs/>
                <w:color w:val="auto"/>
                <w:sz w:val="24"/>
                <w:szCs w:val="24"/>
                <w:highlight w:val="none"/>
                <w:lang w:val="en-US" w:eastAsia="zh-CN"/>
              </w:rPr>
              <w:t>条款名称</w:t>
            </w:r>
          </w:p>
        </w:tc>
        <w:tc>
          <w:tcPr>
            <w:tcW w:w="6429" w:type="dxa"/>
            <w:vAlign w:val="center"/>
          </w:tcPr>
          <w:p w14:paraId="49B069F0">
            <w:pPr>
              <w:pStyle w:val="58"/>
              <w:keepNext w:val="0"/>
              <w:keepLines w:val="0"/>
              <w:pageBreakBefore w:val="0"/>
              <w:widowControl w:val="0"/>
              <w:kinsoku/>
              <w:wordWrap w:val="0"/>
              <w:overflowPunct/>
              <w:topLinePunct/>
              <w:autoSpaceDE/>
              <w:autoSpaceDN/>
              <w:bidi w:val="0"/>
              <w:adjustRightInd/>
              <w:snapToGrid/>
              <w:spacing w:line="360" w:lineRule="auto"/>
              <w:ind w:left="63" w:leftChars="30" w:right="0" w:firstLine="0" w:firstLineChars="0"/>
              <w:jc w:val="center"/>
              <w:textAlignment w:val="auto"/>
              <w:rPr>
                <w:rFonts w:hint="eastAsia" w:ascii="华文仿宋" w:hAnsi="华文仿宋" w:eastAsia="华文仿宋" w:cs="华文仿宋"/>
                <w:b/>
                <w:bCs/>
                <w:color w:val="auto"/>
                <w:sz w:val="24"/>
                <w:szCs w:val="24"/>
                <w:highlight w:val="none"/>
                <w:lang w:val="en-US" w:eastAsia="zh-CN"/>
              </w:rPr>
            </w:pPr>
            <w:r>
              <w:rPr>
                <w:rFonts w:hint="eastAsia" w:ascii="华文仿宋" w:hAnsi="华文仿宋" w:eastAsia="华文仿宋" w:cs="华文仿宋"/>
                <w:b/>
                <w:bCs/>
                <w:color w:val="auto"/>
                <w:sz w:val="24"/>
                <w:szCs w:val="24"/>
                <w:highlight w:val="none"/>
                <w:lang w:val="en-US" w:eastAsia="zh-CN"/>
              </w:rPr>
              <w:t>编列内容</w:t>
            </w:r>
          </w:p>
        </w:tc>
      </w:tr>
      <w:tr w14:paraId="066E9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0" w:type="dxa"/>
            <w:vAlign w:val="center"/>
          </w:tcPr>
          <w:p w14:paraId="31C1E9BD">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p>
          <w:p w14:paraId="34A1329E">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1.2.</w:t>
            </w:r>
            <w:r>
              <w:rPr>
                <w:rFonts w:hint="eastAsia" w:ascii="华文仿宋" w:hAnsi="华文仿宋" w:eastAsia="华文仿宋" w:cs="华文仿宋"/>
                <w:color w:val="auto"/>
                <w:w w:val="99"/>
                <w:sz w:val="21"/>
                <w:highlight w:val="none"/>
              </w:rPr>
              <w:t>1</w:t>
            </w:r>
          </w:p>
        </w:tc>
        <w:tc>
          <w:tcPr>
            <w:tcW w:w="2804" w:type="dxa"/>
            <w:vAlign w:val="center"/>
          </w:tcPr>
          <w:p w14:paraId="44B902C9">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firstLine="1050" w:firstLineChars="500"/>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kern w:val="2"/>
                <w:sz w:val="21"/>
                <w:szCs w:val="21"/>
                <w:lang w:val="en-US" w:eastAsia="zh-CN" w:bidi="ar-SA"/>
              </w:rPr>
              <w:t>采购人</w:t>
            </w:r>
          </w:p>
        </w:tc>
        <w:tc>
          <w:tcPr>
            <w:tcW w:w="6429" w:type="dxa"/>
            <w:vAlign w:val="center"/>
          </w:tcPr>
          <w:p w14:paraId="660A1B5D">
            <w:pPr>
              <w:keepNext w:val="0"/>
              <w:keepLines w:val="0"/>
              <w:pageBreakBefore w:val="0"/>
              <w:kinsoku/>
              <w:wordWrap/>
              <w:overflowPunct/>
              <w:topLinePunct w:val="0"/>
              <w:bidi w:val="0"/>
              <w:adjustRightInd/>
              <w:snapToGrid/>
              <w:spacing w:line="360" w:lineRule="auto"/>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kern w:val="2"/>
                <w:sz w:val="21"/>
                <w:szCs w:val="21"/>
                <w:lang w:val="en-US" w:eastAsia="zh-CN" w:bidi="ar-SA"/>
              </w:rPr>
              <w:t>采购人：淮滨县林业局</w:t>
            </w:r>
          </w:p>
          <w:p w14:paraId="14AD1E2B">
            <w:pPr>
              <w:keepNext w:val="0"/>
              <w:keepLines w:val="0"/>
              <w:pageBreakBefore w:val="0"/>
              <w:kinsoku/>
              <w:wordWrap/>
              <w:overflowPunct/>
              <w:topLinePunct w:val="0"/>
              <w:bidi w:val="0"/>
              <w:adjustRightInd/>
              <w:snapToGrid/>
              <w:spacing w:line="360" w:lineRule="auto"/>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kern w:val="2"/>
                <w:sz w:val="21"/>
                <w:szCs w:val="21"/>
                <w:lang w:val="en-US" w:eastAsia="zh-CN" w:bidi="ar-SA"/>
              </w:rPr>
              <w:t>地  址：淮滨县青年街</w:t>
            </w:r>
          </w:p>
          <w:p w14:paraId="6344762E">
            <w:pPr>
              <w:keepNext w:val="0"/>
              <w:keepLines w:val="0"/>
              <w:pageBreakBefore w:val="0"/>
              <w:kinsoku/>
              <w:wordWrap/>
              <w:overflowPunct/>
              <w:topLinePunct w:val="0"/>
              <w:bidi w:val="0"/>
              <w:adjustRightInd/>
              <w:snapToGrid/>
              <w:spacing w:line="360" w:lineRule="auto"/>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kern w:val="2"/>
                <w:sz w:val="21"/>
                <w:szCs w:val="21"/>
                <w:lang w:val="en-US" w:eastAsia="zh-CN" w:bidi="ar-SA"/>
              </w:rPr>
              <w:t>联系人：涂先生</w:t>
            </w:r>
          </w:p>
          <w:p w14:paraId="2CBC4110">
            <w:pPr>
              <w:keepNext w:val="0"/>
              <w:keepLines w:val="0"/>
              <w:pageBreakBefore w:val="0"/>
              <w:kinsoku/>
              <w:wordWrap/>
              <w:overflowPunct/>
              <w:topLinePunct w:val="0"/>
              <w:bidi w:val="0"/>
              <w:adjustRightInd/>
              <w:snapToGrid/>
              <w:spacing w:line="360" w:lineRule="auto"/>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kern w:val="2"/>
                <w:sz w:val="21"/>
                <w:szCs w:val="21"/>
                <w:lang w:val="en-US" w:eastAsia="zh-CN" w:bidi="ar-SA"/>
              </w:rPr>
              <w:t>联系电话：13782920506</w:t>
            </w:r>
          </w:p>
        </w:tc>
      </w:tr>
      <w:tr w14:paraId="57B78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0" w:type="dxa"/>
            <w:vAlign w:val="center"/>
          </w:tcPr>
          <w:p w14:paraId="1654E56E">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1.2.</w:t>
            </w:r>
            <w:r>
              <w:rPr>
                <w:rFonts w:hint="eastAsia" w:ascii="华文仿宋" w:hAnsi="华文仿宋" w:eastAsia="华文仿宋" w:cs="华文仿宋"/>
                <w:color w:val="auto"/>
                <w:w w:val="99"/>
                <w:sz w:val="21"/>
                <w:highlight w:val="none"/>
              </w:rPr>
              <w:t>2</w:t>
            </w:r>
          </w:p>
        </w:tc>
        <w:tc>
          <w:tcPr>
            <w:tcW w:w="2804" w:type="dxa"/>
            <w:vAlign w:val="center"/>
          </w:tcPr>
          <w:p w14:paraId="47DB1657">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lang w:val="en-US" w:eastAsia="zh-CN"/>
              </w:rPr>
            </w:pPr>
            <w:r>
              <w:rPr>
                <w:rFonts w:hint="eastAsia" w:ascii="华文仿宋" w:hAnsi="华文仿宋" w:eastAsia="华文仿宋" w:cs="华文仿宋"/>
                <w:color w:val="auto"/>
                <w:sz w:val="21"/>
                <w:highlight w:val="none"/>
                <w:lang w:val="en-US" w:eastAsia="zh-CN"/>
              </w:rPr>
              <w:t>采购代理机构</w:t>
            </w:r>
          </w:p>
        </w:tc>
        <w:tc>
          <w:tcPr>
            <w:tcW w:w="6429" w:type="dxa"/>
            <w:vAlign w:val="center"/>
          </w:tcPr>
          <w:p w14:paraId="711EF0D3">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lang w:val="en-US" w:eastAsia="zh-CN"/>
              </w:rPr>
            </w:pPr>
            <w:r>
              <w:rPr>
                <w:rFonts w:hint="eastAsia" w:ascii="华文仿宋" w:hAnsi="华文仿宋" w:eastAsia="华文仿宋" w:cs="华文仿宋"/>
                <w:color w:val="auto"/>
                <w:sz w:val="21"/>
                <w:highlight w:val="none"/>
                <w:lang w:val="en-US" w:eastAsia="zh-CN"/>
              </w:rPr>
              <w:t>采购代理机构：河南旭泽企业管理咨询有限公司</w:t>
            </w:r>
          </w:p>
          <w:p w14:paraId="427A4F86">
            <w:pPr>
              <w:keepNext w:val="0"/>
              <w:keepLines w:val="0"/>
              <w:pageBreakBefore w:val="0"/>
              <w:kinsoku/>
              <w:wordWrap/>
              <w:overflowPunct/>
              <w:topLinePunct w:val="0"/>
              <w:bidi w:val="0"/>
              <w:adjustRightInd/>
              <w:snapToGrid/>
              <w:spacing w:line="360" w:lineRule="auto"/>
              <w:textAlignment w:val="auto"/>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highlight w:val="none"/>
                <w:lang w:val="en-US" w:eastAsia="zh-CN"/>
              </w:rPr>
              <w:t>地址：</w:t>
            </w:r>
            <w:r>
              <w:rPr>
                <w:rFonts w:hint="eastAsia" w:ascii="华文仿宋" w:hAnsi="华文仿宋" w:eastAsia="华文仿宋" w:cs="华文仿宋"/>
                <w:color w:val="auto"/>
                <w:sz w:val="21"/>
                <w:szCs w:val="21"/>
              </w:rPr>
              <w:t>信阳市新七大道中乐百花大厦10楼</w:t>
            </w:r>
          </w:p>
          <w:p w14:paraId="130776AE">
            <w:pPr>
              <w:keepNext w:val="0"/>
              <w:keepLines w:val="0"/>
              <w:pageBreakBefore w:val="0"/>
              <w:kinsoku/>
              <w:wordWrap/>
              <w:overflowPunct/>
              <w:topLinePunct w:val="0"/>
              <w:bidi w:val="0"/>
              <w:adjustRightInd/>
              <w:snapToGrid/>
              <w:spacing w:line="360" w:lineRule="auto"/>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联系人：杨希玲</w:t>
            </w:r>
          </w:p>
          <w:p w14:paraId="086AEAA8">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华文仿宋" w:hAnsi="华文仿宋" w:eastAsia="华文仿宋" w:cs="华文仿宋"/>
                <w:color w:val="auto"/>
                <w:sz w:val="21"/>
                <w:highlight w:val="none"/>
                <w:lang w:val="en-US" w:eastAsia="zh-CN"/>
              </w:rPr>
            </w:pPr>
            <w:r>
              <w:rPr>
                <w:rFonts w:hint="eastAsia" w:ascii="华文仿宋" w:hAnsi="华文仿宋" w:eastAsia="华文仿宋" w:cs="华文仿宋"/>
                <w:color w:val="auto"/>
                <w:sz w:val="21"/>
                <w:szCs w:val="21"/>
                <w:highlight w:val="none"/>
                <w:lang w:val="en-US" w:eastAsia="zh-CN"/>
              </w:rPr>
              <w:t>电  话：</w:t>
            </w:r>
            <w:r>
              <w:rPr>
                <w:rFonts w:hint="eastAsia" w:ascii="华文仿宋" w:hAnsi="华文仿宋" w:eastAsia="华文仿宋" w:cs="华文仿宋"/>
                <w:color w:val="auto"/>
                <w:sz w:val="21"/>
                <w:szCs w:val="21"/>
                <w:lang w:val="en-US" w:eastAsia="zh-CN"/>
              </w:rPr>
              <w:t>17337612777</w:t>
            </w:r>
          </w:p>
        </w:tc>
      </w:tr>
      <w:tr w14:paraId="72FFA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90" w:type="dxa"/>
            <w:vAlign w:val="center"/>
          </w:tcPr>
          <w:p w14:paraId="716394C6">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szCs w:val="21"/>
                <w:highlight w:val="none"/>
              </w:rPr>
              <w:t>1.2.</w:t>
            </w:r>
            <w:r>
              <w:rPr>
                <w:rFonts w:hint="eastAsia" w:ascii="华文仿宋" w:hAnsi="华文仿宋" w:eastAsia="华文仿宋" w:cs="华文仿宋"/>
                <w:color w:val="auto"/>
                <w:w w:val="99"/>
                <w:sz w:val="21"/>
                <w:szCs w:val="21"/>
                <w:highlight w:val="none"/>
              </w:rPr>
              <w:t>3</w:t>
            </w:r>
          </w:p>
        </w:tc>
        <w:tc>
          <w:tcPr>
            <w:tcW w:w="2804" w:type="dxa"/>
            <w:vAlign w:val="center"/>
          </w:tcPr>
          <w:p w14:paraId="551A57D1">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项目名称</w:t>
            </w:r>
          </w:p>
        </w:tc>
        <w:tc>
          <w:tcPr>
            <w:tcW w:w="6429" w:type="dxa"/>
            <w:vAlign w:val="center"/>
          </w:tcPr>
          <w:p w14:paraId="0EA3A530">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0"/>
                <w:highlight w:val="none"/>
                <w:lang w:eastAsia="zh-CN"/>
              </w:rPr>
            </w:pPr>
            <w:r>
              <w:rPr>
                <w:rFonts w:hint="eastAsia" w:ascii="华文仿宋" w:hAnsi="华文仿宋" w:eastAsia="华文仿宋" w:cs="华文仿宋"/>
                <w:color w:val="auto"/>
                <w:sz w:val="21"/>
                <w:szCs w:val="21"/>
                <w:highlight w:val="none"/>
                <w:lang w:eastAsia="zh-CN"/>
              </w:rPr>
              <w:t>淮滨县2025年度杨树食叶害虫飞机喷药防治项目</w:t>
            </w:r>
          </w:p>
        </w:tc>
      </w:tr>
      <w:tr w14:paraId="298B6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0" w:type="dxa"/>
            <w:vAlign w:val="center"/>
          </w:tcPr>
          <w:p w14:paraId="3011D768">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lang w:val="en-US" w:eastAsia="zh-CN"/>
              </w:rPr>
            </w:pPr>
            <w:r>
              <w:rPr>
                <w:rFonts w:hint="eastAsia" w:ascii="华文仿宋" w:hAnsi="华文仿宋" w:eastAsia="华文仿宋" w:cs="华文仿宋"/>
                <w:color w:val="auto"/>
                <w:sz w:val="21"/>
                <w:highlight w:val="none"/>
              </w:rPr>
              <w:t>1.2.</w:t>
            </w:r>
            <w:r>
              <w:rPr>
                <w:rFonts w:hint="eastAsia" w:ascii="华文仿宋" w:hAnsi="华文仿宋" w:eastAsia="华文仿宋" w:cs="华文仿宋"/>
                <w:color w:val="auto"/>
                <w:sz w:val="21"/>
                <w:highlight w:val="none"/>
                <w:lang w:val="en-US" w:eastAsia="zh-CN"/>
              </w:rPr>
              <w:t>4</w:t>
            </w:r>
          </w:p>
        </w:tc>
        <w:tc>
          <w:tcPr>
            <w:tcW w:w="2804" w:type="dxa"/>
            <w:vAlign w:val="center"/>
          </w:tcPr>
          <w:p w14:paraId="11F7EDE1">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采购方式</w:t>
            </w:r>
          </w:p>
        </w:tc>
        <w:tc>
          <w:tcPr>
            <w:tcW w:w="6429" w:type="dxa"/>
            <w:vAlign w:val="center"/>
          </w:tcPr>
          <w:p w14:paraId="0F826FE9">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0"/>
                <w:highlight w:val="none"/>
              </w:rPr>
            </w:pPr>
            <w:r>
              <w:rPr>
                <w:rFonts w:hint="eastAsia" w:ascii="华文仿宋" w:hAnsi="华文仿宋" w:eastAsia="华文仿宋" w:cs="华文仿宋"/>
                <w:color w:val="auto"/>
                <w:sz w:val="21"/>
                <w:highlight w:val="none"/>
              </w:rPr>
              <w:t>竞争性磋商</w:t>
            </w:r>
          </w:p>
        </w:tc>
      </w:tr>
      <w:tr w14:paraId="7A544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0B12F57B">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1.2.5</w:t>
            </w:r>
          </w:p>
        </w:tc>
        <w:tc>
          <w:tcPr>
            <w:tcW w:w="2804" w:type="dxa"/>
            <w:tcBorders>
              <w:top w:val="single" w:color="000000" w:sz="4" w:space="0"/>
              <w:left w:val="single" w:color="000000" w:sz="4" w:space="0"/>
              <w:bottom w:val="single" w:color="000000" w:sz="4" w:space="0"/>
              <w:right w:val="single" w:color="000000" w:sz="4" w:space="0"/>
            </w:tcBorders>
            <w:vAlign w:val="center"/>
          </w:tcPr>
          <w:p w14:paraId="68923F09">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预算价（最高限价）</w:t>
            </w:r>
          </w:p>
        </w:tc>
        <w:tc>
          <w:tcPr>
            <w:tcW w:w="6429" w:type="dxa"/>
            <w:tcBorders>
              <w:top w:val="single" w:color="000000" w:sz="4" w:space="0"/>
              <w:left w:val="single" w:color="000000" w:sz="4" w:space="0"/>
              <w:bottom w:val="single" w:color="000000" w:sz="4" w:space="0"/>
              <w:right w:val="single" w:color="000000" w:sz="4" w:space="0"/>
            </w:tcBorders>
            <w:vAlign w:val="center"/>
          </w:tcPr>
          <w:p w14:paraId="3C107C98">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szCs w:val="21"/>
                <w:highlight w:val="none"/>
                <w:lang w:val="en-US" w:eastAsia="zh-CN"/>
              </w:rPr>
              <w:t>1380000.00</w:t>
            </w:r>
            <w:r>
              <w:rPr>
                <w:rFonts w:hint="eastAsia" w:ascii="华文仿宋" w:hAnsi="华文仿宋" w:eastAsia="华文仿宋" w:cs="华文仿宋"/>
                <w:color w:val="auto"/>
                <w:sz w:val="21"/>
                <w:szCs w:val="21"/>
                <w:highlight w:val="none"/>
              </w:rPr>
              <w:t>元</w:t>
            </w:r>
          </w:p>
        </w:tc>
      </w:tr>
      <w:tr w14:paraId="5A040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672BAEE3">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1.4.1</w:t>
            </w:r>
          </w:p>
        </w:tc>
        <w:tc>
          <w:tcPr>
            <w:tcW w:w="2804" w:type="dxa"/>
            <w:tcBorders>
              <w:top w:val="single" w:color="000000" w:sz="4" w:space="0"/>
              <w:left w:val="single" w:color="000000" w:sz="4" w:space="0"/>
              <w:bottom w:val="single" w:color="000000" w:sz="4" w:space="0"/>
              <w:right w:val="single" w:color="000000" w:sz="4" w:space="0"/>
            </w:tcBorders>
            <w:vAlign w:val="center"/>
          </w:tcPr>
          <w:p w14:paraId="6EB393A0">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lang w:val="en-US" w:eastAsia="zh-CN"/>
              </w:rPr>
              <w:t>磋商</w:t>
            </w:r>
            <w:r>
              <w:rPr>
                <w:rFonts w:hint="eastAsia" w:ascii="华文仿宋" w:hAnsi="华文仿宋" w:eastAsia="华文仿宋" w:cs="华文仿宋"/>
                <w:color w:val="auto"/>
                <w:sz w:val="21"/>
                <w:highlight w:val="none"/>
              </w:rPr>
              <w:t>内容</w:t>
            </w:r>
          </w:p>
        </w:tc>
        <w:tc>
          <w:tcPr>
            <w:tcW w:w="6429" w:type="dxa"/>
            <w:tcBorders>
              <w:top w:val="single" w:color="000000" w:sz="4" w:space="0"/>
              <w:left w:val="single" w:color="000000" w:sz="4" w:space="0"/>
              <w:bottom w:val="single" w:color="000000" w:sz="4" w:space="0"/>
              <w:right w:val="single" w:color="000000" w:sz="4" w:space="0"/>
            </w:tcBorders>
            <w:vAlign w:val="center"/>
          </w:tcPr>
          <w:p w14:paraId="1C3A4080">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lang w:val="en-US" w:eastAsia="zh-CN"/>
              </w:rPr>
            </w:pPr>
            <w:r>
              <w:rPr>
                <w:rFonts w:hint="eastAsia" w:ascii="华文仿宋" w:hAnsi="华文仿宋" w:eastAsia="华文仿宋" w:cs="华文仿宋"/>
                <w:color w:val="auto"/>
                <w:sz w:val="21"/>
                <w:highlight w:val="none"/>
                <w:lang w:val="en-US" w:eastAsia="zh-CN"/>
              </w:rPr>
              <w:t>淮滨县2025年度杨树食叶害虫飞机喷药防治项目。计划全年飞防20万亩（采购人根据虫情变化可以适当调整、增减作业面积）。全部采取R44小型直升机超低容量喷雾。</w:t>
            </w:r>
          </w:p>
          <w:p w14:paraId="2F721080">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lang w:val="en-US" w:eastAsia="zh-CN"/>
              </w:rPr>
            </w:pPr>
            <w:r>
              <w:rPr>
                <w:rFonts w:hint="eastAsia" w:ascii="华文仿宋" w:hAnsi="华文仿宋" w:eastAsia="华文仿宋" w:cs="华文仿宋"/>
                <w:color w:val="auto"/>
                <w:sz w:val="21"/>
                <w:highlight w:val="none"/>
                <w:lang w:val="en-US" w:eastAsia="zh-CN"/>
              </w:rPr>
              <w:t>采购人根据虫情变化可以适当调整具体飞防区域和飞防面积数量，但会及时通知成交供应商。</w:t>
            </w:r>
          </w:p>
          <w:p w14:paraId="653EF502">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lang w:val="en-US" w:eastAsia="zh-CN"/>
              </w:rPr>
              <w:t>根据河南省林业有害生物飞防工作座谈会会议纪要（〔2018〕1号），R44直升机每架次载药量200千克、亩喷药量（330ml）计算，每架次喷洒亩数600亩。（具体数量和技术规格见采购需求）</w:t>
            </w:r>
          </w:p>
        </w:tc>
      </w:tr>
      <w:tr w14:paraId="756A7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78457E68">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1.4.2</w:t>
            </w:r>
          </w:p>
        </w:tc>
        <w:tc>
          <w:tcPr>
            <w:tcW w:w="2804" w:type="dxa"/>
            <w:tcBorders>
              <w:top w:val="single" w:color="000000" w:sz="4" w:space="0"/>
              <w:left w:val="single" w:color="000000" w:sz="4" w:space="0"/>
              <w:bottom w:val="single" w:color="000000" w:sz="4" w:space="0"/>
              <w:right w:val="single" w:color="000000" w:sz="4" w:space="0"/>
            </w:tcBorders>
            <w:vAlign w:val="center"/>
          </w:tcPr>
          <w:p w14:paraId="2186C112">
            <w:pPr>
              <w:keepNext w:val="0"/>
              <w:keepLines w:val="0"/>
              <w:pageBreakBefore w:val="0"/>
              <w:widowControl w:val="0"/>
              <w:kinsoku/>
              <w:wordWrap w:val="0"/>
              <w:overflowPunct/>
              <w:topLinePunct/>
              <w:autoSpaceDE/>
              <w:autoSpaceDN/>
              <w:bidi w:val="0"/>
              <w:adjustRightInd/>
              <w:snapToGrid/>
              <w:spacing w:line="288" w:lineRule="auto"/>
              <w:ind w:left="0" w:leftChars="0" w:right="0" w:rightChars="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Cs w:val="21"/>
                <w:highlight w:val="none"/>
                <w:lang w:eastAsia="zh-CN"/>
              </w:rPr>
              <w:t>合同履行期限</w:t>
            </w:r>
          </w:p>
        </w:tc>
        <w:tc>
          <w:tcPr>
            <w:tcW w:w="6429" w:type="dxa"/>
            <w:tcBorders>
              <w:top w:val="single" w:color="000000" w:sz="4" w:space="0"/>
              <w:left w:val="single" w:color="000000" w:sz="4" w:space="0"/>
              <w:bottom w:val="single" w:color="000000" w:sz="4" w:space="0"/>
              <w:right w:val="single" w:color="000000" w:sz="4" w:space="0"/>
            </w:tcBorders>
            <w:vAlign w:val="center"/>
          </w:tcPr>
          <w:p w14:paraId="1D3210FF">
            <w:pPr>
              <w:keepNext w:val="0"/>
              <w:keepLines w:val="0"/>
              <w:pageBreakBefore w:val="0"/>
              <w:widowControl w:val="0"/>
              <w:kinsoku/>
              <w:wordWrap w:val="0"/>
              <w:overflowPunct/>
              <w:topLinePunct/>
              <w:autoSpaceDE/>
              <w:autoSpaceDN/>
              <w:bidi w:val="0"/>
              <w:adjustRightInd/>
              <w:snapToGrid/>
              <w:spacing w:line="288" w:lineRule="auto"/>
              <w:ind w:left="63" w:leftChars="30" w:right="0" w:rightChars="0" w:firstLine="0" w:firstLineChars="0"/>
              <w:jc w:val="left"/>
              <w:textAlignment w:val="auto"/>
              <w:rPr>
                <w:rFonts w:hint="eastAsia" w:ascii="华文仿宋" w:hAnsi="华文仿宋" w:eastAsia="华文仿宋" w:cs="华文仿宋"/>
                <w:color w:val="auto"/>
                <w:sz w:val="21"/>
                <w:highlight w:val="none"/>
                <w:lang w:val="en-US" w:eastAsia="zh-CN"/>
              </w:rPr>
            </w:pPr>
            <w:r>
              <w:rPr>
                <w:rFonts w:hint="eastAsia" w:ascii="华文仿宋" w:hAnsi="华文仿宋" w:eastAsia="华文仿宋" w:cs="华文仿宋"/>
                <w:color w:val="auto"/>
                <w:spacing w:val="8"/>
                <w:sz w:val="20"/>
                <w:szCs w:val="20"/>
              </w:rPr>
              <w:t>具体时间由需方根据虫情最终确定。</w:t>
            </w:r>
          </w:p>
        </w:tc>
      </w:tr>
      <w:tr w14:paraId="304C6C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65CE411A">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lang w:eastAsia="zh-CN"/>
              </w:rPr>
            </w:pPr>
            <w:r>
              <w:rPr>
                <w:rFonts w:hint="eastAsia" w:ascii="华文仿宋" w:hAnsi="华文仿宋" w:eastAsia="华文仿宋" w:cs="华文仿宋"/>
                <w:color w:val="auto"/>
                <w:sz w:val="21"/>
                <w:highlight w:val="none"/>
              </w:rPr>
              <w:t>1.4.</w:t>
            </w:r>
            <w:r>
              <w:rPr>
                <w:rFonts w:hint="eastAsia" w:ascii="华文仿宋" w:hAnsi="华文仿宋" w:eastAsia="华文仿宋" w:cs="华文仿宋"/>
                <w:color w:val="auto"/>
                <w:sz w:val="21"/>
                <w:highlight w:val="none"/>
                <w:lang w:val="en-US" w:eastAsia="zh-CN"/>
              </w:rPr>
              <w:t>3</w:t>
            </w:r>
          </w:p>
        </w:tc>
        <w:tc>
          <w:tcPr>
            <w:tcW w:w="2804" w:type="dxa"/>
            <w:tcBorders>
              <w:top w:val="single" w:color="000000" w:sz="4" w:space="0"/>
              <w:left w:val="single" w:color="000000" w:sz="4" w:space="0"/>
              <w:bottom w:val="single" w:color="000000" w:sz="4" w:space="0"/>
              <w:right w:val="single" w:color="000000" w:sz="4" w:space="0"/>
            </w:tcBorders>
            <w:vAlign w:val="center"/>
          </w:tcPr>
          <w:p w14:paraId="17619D13">
            <w:pPr>
              <w:keepNext w:val="0"/>
              <w:keepLines w:val="0"/>
              <w:pageBreakBefore w:val="0"/>
              <w:widowControl w:val="0"/>
              <w:kinsoku/>
              <w:wordWrap w:val="0"/>
              <w:overflowPunct/>
              <w:topLinePunct/>
              <w:autoSpaceDE/>
              <w:autoSpaceDN/>
              <w:bidi w:val="0"/>
              <w:adjustRightInd/>
              <w:snapToGrid/>
              <w:spacing w:line="288" w:lineRule="auto"/>
              <w:ind w:left="0" w:leftChars="0" w:right="0" w:rightChars="0"/>
              <w:jc w:val="center"/>
              <w:textAlignment w:val="auto"/>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质量要求</w:t>
            </w:r>
          </w:p>
        </w:tc>
        <w:tc>
          <w:tcPr>
            <w:tcW w:w="6429" w:type="dxa"/>
            <w:tcBorders>
              <w:top w:val="single" w:color="000000" w:sz="4" w:space="0"/>
              <w:left w:val="single" w:color="000000" w:sz="4" w:space="0"/>
              <w:bottom w:val="single" w:color="000000" w:sz="4" w:space="0"/>
              <w:right w:val="single" w:color="000000" w:sz="4" w:space="0"/>
            </w:tcBorders>
            <w:vAlign w:val="center"/>
          </w:tcPr>
          <w:p w14:paraId="55899FDA">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lang w:val="en-US" w:eastAsia="zh-CN"/>
              </w:rPr>
            </w:pPr>
            <w:r>
              <w:rPr>
                <w:rFonts w:hint="eastAsia" w:ascii="华文仿宋" w:hAnsi="华文仿宋" w:eastAsia="华文仿宋" w:cs="华文仿宋"/>
                <w:color w:val="auto"/>
                <w:sz w:val="21"/>
                <w:highlight w:val="none"/>
                <w:lang w:val="en-US" w:eastAsia="zh-CN"/>
              </w:rPr>
              <w:t>（1）飞防作业完成后15日内，由县级森防机构、供应商和第三方机构（单位）对杀虫效果进行联合检查验收，叶片保存率（杀虫效果）达到85%及以上。</w:t>
            </w:r>
          </w:p>
          <w:p w14:paraId="38E1951A">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lang w:val="en-US" w:eastAsia="zh-CN"/>
              </w:rPr>
            </w:pPr>
            <w:r>
              <w:rPr>
                <w:rFonts w:hint="eastAsia" w:ascii="华文仿宋" w:hAnsi="华文仿宋" w:eastAsia="华文仿宋" w:cs="华文仿宋"/>
                <w:color w:val="auto"/>
                <w:sz w:val="21"/>
                <w:highlight w:val="none"/>
                <w:lang w:val="en-US" w:eastAsia="zh-CN"/>
              </w:rPr>
              <w:t>（2）飞防后，防治区域内不出现连片1亩以上的成灾现象（杨树食叶害虫造成失叶率60%以上为成灾）。</w:t>
            </w:r>
          </w:p>
          <w:p w14:paraId="723B09EF">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lang w:val="en-US" w:eastAsia="zh-CN"/>
              </w:rPr>
              <w:t>如果叶片保存率（杀虫效果）达不到85%及以上，或飞防后，防治区域内有连片1亩以上成灾现象的，供应商要按照采购人要求重新补防，直到防治效果合格。</w:t>
            </w:r>
          </w:p>
        </w:tc>
      </w:tr>
      <w:tr w14:paraId="0EA74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3D733675">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lang w:val="en-US" w:eastAsia="zh-CN"/>
              </w:rPr>
            </w:pPr>
            <w:r>
              <w:rPr>
                <w:rFonts w:hint="eastAsia" w:ascii="华文仿宋" w:hAnsi="华文仿宋" w:eastAsia="华文仿宋" w:cs="华文仿宋"/>
                <w:color w:val="auto"/>
                <w:sz w:val="21"/>
                <w:highlight w:val="none"/>
                <w:lang w:val="en-US" w:eastAsia="zh-CN"/>
              </w:rPr>
              <w:t>1.4.4</w:t>
            </w:r>
          </w:p>
        </w:tc>
        <w:tc>
          <w:tcPr>
            <w:tcW w:w="2804" w:type="dxa"/>
            <w:tcBorders>
              <w:top w:val="single" w:color="000000" w:sz="4" w:space="0"/>
              <w:left w:val="single" w:color="000000" w:sz="4" w:space="0"/>
              <w:bottom w:val="single" w:color="000000" w:sz="4" w:space="0"/>
              <w:right w:val="single" w:color="000000" w:sz="4" w:space="0"/>
            </w:tcBorders>
            <w:vAlign w:val="center"/>
          </w:tcPr>
          <w:p w14:paraId="5F5BBA1C">
            <w:pPr>
              <w:keepNext w:val="0"/>
              <w:keepLines w:val="0"/>
              <w:pageBreakBefore w:val="0"/>
              <w:widowControl w:val="0"/>
              <w:kinsoku/>
              <w:wordWrap w:val="0"/>
              <w:overflowPunct/>
              <w:topLinePunct/>
              <w:autoSpaceDE/>
              <w:autoSpaceDN/>
              <w:bidi w:val="0"/>
              <w:adjustRightInd/>
              <w:snapToGrid/>
              <w:spacing w:line="288" w:lineRule="auto"/>
              <w:ind w:left="0" w:leftChars="0" w:right="0" w:rightChars="0"/>
              <w:jc w:val="center"/>
              <w:textAlignment w:val="auto"/>
              <w:rPr>
                <w:rFonts w:hint="eastAsia" w:ascii="华文仿宋" w:hAnsi="华文仿宋" w:eastAsia="华文仿宋" w:cs="华文仿宋"/>
                <w:color w:val="auto"/>
                <w:szCs w:val="21"/>
                <w:highlight w:val="none"/>
                <w:lang w:val="en-US" w:eastAsia="zh-CN"/>
              </w:rPr>
            </w:pPr>
            <w:r>
              <w:rPr>
                <w:rFonts w:hint="eastAsia" w:ascii="华文仿宋" w:hAnsi="华文仿宋" w:eastAsia="华文仿宋" w:cs="华文仿宋"/>
                <w:color w:val="auto"/>
                <w:szCs w:val="21"/>
                <w:highlight w:val="none"/>
                <w:lang w:val="en-US" w:eastAsia="zh-CN"/>
              </w:rPr>
              <w:t>付款方式</w:t>
            </w:r>
          </w:p>
        </w:tc>
        <w:tc>
          <w:tcPr>
            <w:tcW w:w="6429" w:type="dxa"/>
            <w:tcBorders>
              <w:top w:val="single" w:color="000000" w:sz="4" w:space="0"/>
              <w:left w:val="single" w:color="000000" w:sz="4" w:space="0"/>
              <w:bottom w:val="single" w:color="000000" w:sz="4" w:space="0"/>
              <w:right w:val="single" w:color="000000" w:sz="4" w:space="0"/>
            </w:tcBorders>
            <w:vAlign w:val="center"/>
          </w:tcPr>
          <w:p w14:paraId="1E350E06">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lang w:eastAsia="zh-CN"/>
              </w:rPr>
            </w:pPr>
            <w:r>
              <w:rPr>
                <w:rFonts w:hint="eastAsia" w:ascii="华文仿宋" w:hAnsi="华文仿宋" w:eastAsia="华文仿宋" w:cs="华文仿宋"/>
                <w:color w:val="auto"/>
                <w:spacing w:val="7"/>
                <w:sz w:val="21"/>
                <w:highlight w:val="none"/>
                <w:lang w:val="en-US" w:eastAsia="zh-CN"/>
              </w:rPr>
              <w:t>以最终</w:t>
            </w:r>
            <w:r>
              <w:rPr>
                <w:rFonts w:hint="eastAsia" w:ascii="华文仿宋" w:hAnsi="华文仿宋" w:eastAsia="华文仿宋" w:cs="华文仿宋"/>
                <w:color w:val="auto"/>
                <w:spacing w:val="7"/>
                <w:sz w:val="21"/>
                <w:highlight w:val="none"/>
              </w:rPr>
              <w:t>签订</w:t>
            </w:r>
            <w:r>
              <w:rPr>
                <w:rFonts w:hint="eastAsia" w:ascii="华文仿宋" w:hAnsi="华文仿宋" w:eastAsia="华文仿宋" w:cs="华文仿宋"/>
                <w:color w:val="auto"/>
                <w:spacing w:val="7"/>
                <w:sz w:val="21"/>
                <w:highlight w:val="none"/>
                <w:lang w:val="en-US" w:eastAsia="zh-CN"/>
              </w:rPr>
              <w:t>的合同约定为准</w:t>
            </w:r>
          </w:p>
        </w:tc>
      </w:tr>
      <w:tr w14:paraId="7ABF10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244B2589">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0"/>
                <w:highlight w:val="none"/>
              </w:rPr>
            </w:pPr>
          </w:p>
          <w:p w14:paraId="37BB70ED">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0"/>
                <w:highlight w:val="none"/>
              </w:rPr>
            </w:pPr>
          </w:p>
          <w:p w14:paraId="312BDBD9">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0"/>
                <w:highlight w:val="none"/>
              </w:rPr>
            </w:pPr>
          </w:p>
          <w:p w14:paraId="66A1A281">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17"/>
                <w:highlight w:val="none"/>
              </w:rPr>
            </w:pPr>
          </w:p>
          <w:p w14:paraId="335B9732">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p>
          <w:p w14:paraId="742759FA">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p>
          <w:p w14:paraId="055368A7">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p>
          <w:p w14:paraId="748C0C6B">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p>
          <w:p w14:paraId="7F486C5B">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p>
          <w:p w14:paraId="1A722E55">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p>
          <w:p w14:paraId="63533FAF">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1.5.</w:t>
            </w:r>
            <w:r>
              <w:rPr>
                <w:rFonts w:hint="eastAsia" w:ascii="华文仿宋" w:hAnsi="华文仿宋" w:eastAsia="华文仿宋" w:cs="华文仿宋"/>
                <w:color w:val="auto"/>
                <w:w w:val="99"/>
                <w:sz w:val="21"/>
                <w:highlight w:val="none"/>
              </w:rPr>
              <w:t>1</w:t>
            </w:r>
          </w:p>
        </w:tc>
        <w:tc>
          <w:tcPr>
            <w:tcW w:w="2804" w:type="dxa"/>
            <w:tcBorders>
              <w:top w:val="single" w:color="000000" w:sz="4" w:space="0"/>
              <w:left w:val="single" w:color="000000" w:sz="4" w:space="0"/>
              <w:right w:val="single" w:color="000000" w:sz="4" w:space="0"/>
            </w:tcBorders>
            <w:vAlign w:val="center"/>
          </w:tcPr>
          <w:p w14:paraId="17594C36">
            <w:pPr>
              <w:pStyle w:val="58"/>
              <w:keepNext w:val="0"/>
              <w:keepLines w:val="0"/>
              <w:pageBreakBefore w:val="0"/>
              <w:widowControl w:val="0"/>
              <w:kinsoku/>
              <w:wordWrap w:val="0"/>
              <w:overflowPunct/>
              <w:topLinePunct/>
              <w:autoSpaceDE/>
              <w:autoSpaceDN/>
              <w:bidi w:val="0"/>
              <w:adjustRightInd/>
              <w:snapToGrid/>
              <w:spacing w:line="288" w:lineRule="auto"/>
              <w:ind w:left="210" w:leftChars="0" w:right="0" w:hanging="210" w:hangingChars="100"/>
              <w:textAlignment w:val="auto"/>
              <w:rPr>
                <w:rFonts w:hint="eastAsia" w:ascii="华文仿宋" w:hAnsi="华文仿宋" w:eastAsia="华文仿宋" w:cs="华文仿宋"/>
                <w:color w:val="auto"/>
                <w:sz w:val="21"/>
                <w:highlight w:val="none"/>
              </w:rPr>
            </w:pPr>
          </w:p>
          <w:p w14:paraId="22CA354D">
            <w:pPr>
              <w:pStyle w:val="58"/>
              <w:keepNext w:val="0"/>
              <w:keepLines w:val="0"/>
              <w:pageBreakBefore w:val="0"/>
              <w:widowControl w:val="0"/>
              <w:kinsoku/>
              <w:wordWrap w:val="0"/>
              <w:overflowPunct/>
              <w:topLinePunct/>
              <w:autoSpaceDE/>
              <w:autoSpaceDN/>
              <w:bidi w:val="0"/>
              <w:adjustRightInd/>
              <w:snapToGrid/>
              <w:spacing w:line="288" w:lineRule="auto"/>
              <w:ind w:left="210" w:leftChars="0" w:right="0" w:hanging="210" w:hangingChars="100"/>
              <w:textAlignment w:val="auto"/>
              <w:rPr>
                <w:rFonts w:hint="eastAsia" w:ascii="华文仿宋" w:hAnsi="华文仿宋" w:eastAsia="华文仿宋" w:cs="华文仿宋"/>
                <w:color w:val="auto"/>
                <w:sz w:val="21"/>
                <w:highlight w:val="none"/>
              </w:rPr>
            </w:pPr>
          </w:p>
          <w:p w14:paraId="7CA88649">
            <w:pPr>
              <w:pStyle w:val="58"/>
              <w:keepNext w:val="0"/>
              <w:keepLines w:val="0"/>
              <w:pageBreakBefore w:val="0"/>
              <w:widowControl w:val="0"/>
              <w:kinsoku/>
              <w:wordWrap w:val="0"/>
              <w:overflowPunct/>
              <w:topLinePunct/>
              <w:autoSpaceDE/>
              <w:autoSpaceDN/>
              <w:bidi w:val="0"/>
              <w:adjustRightInd/>
              <w:snapToGrid/>
              <w:spacing w:line="288" w:lineRule="auto"/>
              <w:ind w:left="210" w:leftChars="0" w:right="0" w:hanging="210" w:hangingChars="100"/>
              <w:textAlignment w:val="auto"/>
              <w:rPr>
                <w:rFonts w:hint="eastAsia" w:ascii="华文仿宋" w:hAnsi="华文仿宋" w:eastAsia="华文仿宋" w:cs="华文仿宋"/>
                <w:color w:val="auto"/>
                <w:sz w:val="21"/>
                <w:highlight w:val="none"/>
              </w:rPr>
            </w:pPr>
          </w:p>
          <w:p w14:paraId="31917EF7">
            <w:pPr>
              <w:pStyle w:val="58"/>
              <w:keepNext w:val="0"/>
              <w:keepLines w:val="0"/>
              <w:pageBreakBefore w:val="0"/>
              <w:widowControl w:val="0"/>
              <w:kinsoku/>
              <w:wordWrap w:val="0"/>
              <w:overflowPunct/>
              <w:topLinePunct/>
              <w:autoSpaceDE/>
              <w:autoSpaceDN/>
              <w:bidi w:val="0"/>
              <w:adjustRightInd/>
              <w:snapToGrid/>
              <w:spacing w:line="288" w:lineRule="auto"/>
              <w:ind w:left="210" w:leftChars="0" w:right="0" w:hanging="210" w:hangingChars="100"/>
              <w:textAlignment w:val="auto"/>
              <w:rPr>
                <w:rFonts w:hint="eastAsia" w:ascii="华文仿宋" w:hAnsi="华文仿宋" w:eastAsia="华文仿宋" w:cs="华文仿宋"/>
                <w:color w:val="auto"/>
                <w:sz w:val="21"/>
                <w:highlight w:val="none"/>
              </w:rPr>
            </w:pPr>
          </w:p>
          <w:p w14:paraId="736ECAF1">
            <w:pPr>
              <w:pStyle w:val="58"/>
              <w:keepNext w:val="0"/>
              <w:keepLines w:val="0"/>
              <w:pageBreakBefore w:val="0"/>
              <w:widowControl w:val="0"/>
              <w:kinsoku/>
              <w:wordWrap w:val="0"/>
              <w:overflowPunct/>
              <w:topLinePunct/>
              <w:autoSpaceDE/>
              <w:autoSpaceDN/>
              <w:bidi w:val="0"/>
              <w:adjustRightInd/>
              <w:snapToGrid/>
              <w:spacing w:line="288" w:lineRule="auto"/>
              <w:ind w:left="210" w:leftChars="0" w:right="0" w:hanging="210" w:hangingChars="100"/>
              <w:textAlignment w:val="auto"/>
              <w:rPr>
                <w:rFonts w:hint="eastAsia" w:ascii="华文仿宋" w:hAnsi="华文仿宋" w:eastAsia="华文仿宋" w:cs="华文仿宋"/>
                <w:color w:val="auto"/>
                <w:sz w:val="21"/>
                <w:highlight w:val="none"/>
              </w:rPr>
            </w:pPr>
          </w:p>
          <w:p w14:paraId="094B01DD">
            <w:pPr>
              <w:pStyle w:val="58"/>
              <w:keepNext w:val="0"/>
              <w:keepLines w:val="0"/>
              <w:pageBreakBefore w:val="0"/>
              <w:widowControl w:val="0"/>
              <w:kinsoku/>
              <w:wordWrap w:val="0"/>
              <w:overflowPunct/>
              <w:topLinePunct/>
              <w:autoSpaceDE/>
              <w:autoSpaceDN/>
              <w:bidi w:val="0"/>
              <w:adjustRightInd/>
              <w:snapToGrid/>
              <w:spacing w:line="288" w:lineRule="auto"/>
              <w:ind w:left="210" w:leftChars="0" w:right="0" w:hanging="210" w:hangingChars="100"/>
              <w:textAlignment w:val="auto"/>
              <w:rPr>
                <w:rFonts w:hint="eastAsia" w:ascii="华文仿宋" w:hAnsi="华文仿宋" w:eastAsia="华文仿宋" w:cs="华文仿宋"/>
                <w:color w:val="auto"/>
                <w:sz w:val="21"/>
                <w:highlight w:val="none"/>
              </w:rPr>
            </w:pPr>
          </w:p>
          <w:p w14:paraId="3083C320">
            <w:pPr>
              <w:pStyle w:val="58"/>
              <w:keepNext w:val="0"/>
              <w:keepLines w:val="0"/>
              <w:pageBreakBefore w:val="0"/>
              <w:widowControl w:val="0"/>
              <w:kinsoku/>
              <w:wordWrap w:val="0"/>
              <w:overflowPunct/>
              <w:topLinePunct/>
              <w:autoSpaceDE/>
              <w:autoSpaceDN/>
              <w:bidi w:val="0"/>
              <w:adjustRightInd/>
              <w:snapToGrid/>
              <w:spacing w:line="288" w:lineRule="auto"/>
              <w:ind w:left="210" w:leftChars="0" w:right="0" w:hanging="210" w:hangingChars="100"/>
              <w:textAlignment w:val="auto"/>
              <w:rPr>
                <w:rFonts w:hint="eastAsia" w:ascii="华文仿宋" w:hAnsi="华文仿宋" w:eastAsia="华文仿宋" w:cs="华文仿宋"/>
                <w:color w:val="auto"/>
                <w:sz w:val="21"/>
                <w:highlight w:val="none"/>
              </w:rPr>
            </w:pPr>
          </w:p>
          <w:p w14:paraId="363A112D">
            <w:pPr>
              <w:pStyle w:val="58"/>
              <w:keepNext w:val="0"/>
              <w:keepLines w:val="0"/>
              <w:pageBreakBefore w:val="0"/>
              <w:widowControl w:val="0"/>
              <w:kinsoku/>
              <w:wordWrap w:val="0"/>
              <w:overflowPunct/>
              <w:topLinePunct/>
              <w:autoSpaceDE/>
              <w:autoSpaceDN/>
              <w:bidi w:val="0"/>
              <w:adjustRightInd/>
              <w:snapToGrid/>
              <w:spacing w:line="288" w:lineRule="auto"/>
              <w:ind w:left="210" w:leftChars="0" w:right="0" w:hanging="210" w:hangingChars="100"/>
              <w:textAlignment w:val="auto"/>
              <w:rPr>
                <w:rFonts w:hint="eastAsia" w:ascii="华文仿宋" w:hAnsi="华文仿宋" w:eastAsia="华文仿宋" w:cs="华文仿宋"/>
                <w:color w:val="auto"/>
                <w:sz w:val="21"/>
                <w:highlight w:val="none"/>
              </w:rPr>
            </w:pPr>
          </w:p>
          <w:p w14:paraId="36A78F68">
            <w:pPr>
              <w:pStyle w:val="58"/>
              <w:keepNext w:val="0"/>
              <w:keepLines w:val="0"/>
              <w:pageBreakBefore w:val="0"/>
              <w:widowControl w:val="0"/>
              <w:kinsoku/>
              <w:wordWrap w:val="0"/>
              <w:overflowPunct/>
              <w:topLinePunct/>
              <w:autoSpaceDE/>
              <w:autoSpaceDN/>
              <w:bidi w:val="0"/>
              <w:adjustRightInd/>
              <w:snapToGrid/>
              <w:spacing w:line="288" w:lineRule="auto"/>
              <w:ind w:left="210" w:leftChars="0" w:right="0" w:hanging="210" w:hangingChars="100"/>
              <w:textAlignment w:val="auto"/>
              <w:rPr>
                <w:rFonts w:hint="eastAsia" w:ascii="华文仿宋" w:hAnsi="华文仿宋" w:eastAsia="华文仿宋" w:cs="华文仿宋"/>
                <w:color w:val="auto"/>
                <w:sz w:val="21"/>
                <w:highlight w:val="none"/>
              </w:rPr>
            </w:pPr>
          </w:p>
          <w:p w14:paraId="7F5C970F">
            <w:pPr>
              <w:pStyle w:val="58"/>
              <w:keepNext w:val="0"/>
              <w:keepLines w:val="0"/>
              <w:pageBreakBefore w:val="0"/>
              <w:widowControl w:val="0"/>
              <w:kinsoku/>
              <w:wordWrap w:val="0"/>
              <w:overflowPunct/>
              <w:topLinePunct/>
              <w:autoSpaceDE/>
              <w:autoSpaceDN/>
              <w:bidi w:val="0"/>
              <w:adjustRightInd/>
              <w:snapToGrid/>
              <w:spacing w:line="288" w:lineRule="auto"/>
              <w:ind w:left="210" w:leftChars="0" w:right="0" w:hanging="210" w:hangingChars="100"/>
              <w:textAlignment w:val="auto"/>
              <w:rPr>
                <w:rFonts w:hint="eastAsia" w:ascii="华文仿宋" w:hAnsi="华文仿宋" w:eastAsia="华文仿宋" w:cs="华文仿宋"/>
                <w:color w:val="auto"/>
                <w:sz w:val="21"/>
                <w:highlight w:val="none"/>
              </w:rPr>
            </w:pPr>
          </w:p>
          <w:p w14:paraId="1FCF26AC">
            <w:pPr>
              <w:pStyle w:val="58"/>
              <w:keepNext w:val="0"/>
              <w:keepLines w:val="0"/>
              <w:pageBreakBefore w:val="0"/>
              <w:widowControl w:val="0"/>
              <w:kinsoku/>
              <w:wordWrap w:val="0"/>
              <w:overflowPunct/>
              <w:topLinePunct/>
              <w:autoSpaceDE/>
              <w:autoSpaceDN/>
              <w:bidi w:val="0"/>
              <w:adjustRightInd/>
              <w:snapToGrid/>
              <w:spacing w:line="288" w:lineRule="auto"/>
              <w:ind w:right="0"/>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供应商资质条件及能力要求</w:t>
            </w:r>
          </w:p>
        </w:tc>
        <w:tc>
          <w:tcPr>
            <w:tcW w:w="6429" w:type="dxa"/>
            <w:tcBorders>
              <w:top w:val="single" w:color="000000" w:sz="4" w:space="0"/>
              <w:left w:val="single" w:color="000000" w:sz="4" w:space="0"/>
              <w:right w:val="single" w:color="000000" w:sz="4" w:space="0"/>
            </w:tcBorders>
            <w:vAlign w:val="center"/>
          </w:tcPr>
          <w:p w14:paraId="6793501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2"/>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1、满足《中华人民共和国政府采购法》第二十二条规定。</w:t>
            </w:r>
          </w:p>
          <w:p w14:paraId="17E9CD8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b/>
                <w:bCs/>
                <w:color w:val="auto"/>
                <w:spacing w:val="8"/>
                <w:sz w:val="21"/>
                <w:szCs w:val="21"/>
                <w:highlight w:val="none"/>
                <w:lang w:eastAsia="zh-CN"/>
              </w:rPr>
            </w:pPr>
            <w:r>
              <w:rPr>
                <w:rFonts w:hint="eastAsia" w:ascii="华文仿宋" w:hAnsi="华文仿宋" w:eastAsia="华文仿宋" w:cs="华文仿宋"/>
                <w:color w:val="auto"/>
                <w:sz w:val="21"/>
                <w:szCs w:val="21"/>
                <w:highlight w:val="none"/>
              </w:rPr>
              <w:t>2、落实政府采购政策满足的资格要求：</w:t>
            </w:r>
            <w:r>
              <w:rPr>
                <w:rFonts w:hint="eastAsia" w:ascii="华文仿宋" w:hAnsi="华文仿宋" w:eastAsia="华文仿宋" w:cs="华文仿宋"/>
                <w:b w:val="0"/>
                <w:bCs w:val="0"/>
                <w:color w:val="auto"/>
                <w:sz w:val="21"/>
                <w:szCs w:val="21"/>
                <w:highlight w:val="none"/>
                <w:lang w:eastAsia="zh-CN"/>
              </w:rPr>
              <w:t>本项目专门面向中小企业采购。</w:t>
            </w:r>
            <w:r>
              <w:rPr>
                <w:rFonts w:hint="eastAsia" w:ascii="华文仿宋" w:hAnsi="华文仿宋" w:eastAsia="华文仿宋" w:cs="华文仿宋"/>
                <w:color w:val="auto"/>
                <w:sz w:val="21"/>
                <w:szCs w:val="21"/>
              </w:rPr>
              <w:t>参加本项目的中小企业须提供《中小企业声明函》 （格式详见</w:t>
            </w:r>
            <w:r>
              <w:rPr>
                <w:rFonts w:hint="eastAsia" w:ascii="华文仿宋" w:hAnsi="华文仿宋" w:eastAsia="华文仿宋" w:cs="华文仿宋"/>
                <w:color w:val="auto"/>
                <w:sz w:val="21"/>
                <w:szCs w:val="21"/>
                <w:lang w:val="en-US" w:eastAsia="zh-CN"/>
              </w:rPr>
              <w:t>竞争性磋商</w:t>
            </w:r>
            <w:r>
              <w:rPr>
                <w:rFonts w:hint="eastAsia" w:ascii="华文仿宋" w:hAnsi="华文仿宋" w:eastAsia="华文仿宋" w:cs="华文仿宋"/>
                <w:color w:val="auto"/>
                <w:sz w:val="21"/>
                <w:szCs w:val="21"/>
              </w:rPr>
              <w:t>文件内《中小企业声明函》样本），不符合要求的声明函或未提供的将视为不符合资格要求。</w:t>
            </w:r>
          </w:p>
          <w:p w14:paraId="5703235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2"/>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3、本项目的特定资格要求：</w:t>
            </w:r>
          </w:p>
          <w:p w14:paraId="5B5136F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lang w:val="en-US" w:eastAsia="zh-CN"/>
              </w:rPr>
            </w:pPr>
            <w:r>
              <w:rPr>
                <w:rFonts w:hint="eastAsia" w:ascii="华文仿宋" w:hAnsi="华文仿宋" w:eastAsia="华文仿宋" w:cs="华文仿宋"/>
                <w:color w:val="auto"/>
                <w:sz w:val="21"/>
                <w:szCs w:val="21"/>
              </w:rPr>
              <w:t>3.</w:t>
            </w:r>
            <w:r>
              <w:rPr>
                <w:rFonts w:hint="eastAsia" w:ascii="华文仿宋" w:hAnsi="华文仿宋" w:eastAsia="华文仿宋" w:cs="华文仿宋"/>
                <w:color w:val="auto"/>
                <w:sz w:val="21"/>
                <w:szCs w:val="21"/>
                <w:lang w:val="en-US" w:eastAsia="zh-CN"/>
              </w:rPr>
              <w:t>1供应商</w:t>
            </w:r>
            <w:r>
              <w:rPr>
                <w:rFonts w:hint="eastAsia" w:ascii="华文仿宋" w:hAnsi="华文仿宋" w:eastAsia="华文仿宋" w:cs="华文仿宋"/>
                <w:color w:val="auto"/>
                <w:sz w:val="21"/>
                <w:szCs w:val="21"/>
              </w:rPr>
              <w:t>近三年（20</w:t>
            </w:r>
            <w:r>
              <w:rPr>
                <w:rFonts w:hint="eastAsia" w:ascii="华文仿宋" w:hAnsi="华文仿宋" w:eastAsia="华文仿宋" w:cs="华文仿宋"/>
                <w:color w:val="auto"/>
                <w:sz w:val="21"/>
                <w:szCs w:val="21"/>
                <w:lang w:val="en-US" w:eastAsia="zh-CN"/>
              </w:rPr>
              <w:t>22</w:t>
            </w:r>
            <w:r>
              <w:rPr>
                <w:rFonts w:hint="eastAsia" w:ascii="华文仿宋" w:hAnsi="华文仿宋" w:eastAsia="华文仿宋" w:cs="华文仿宋"/>
                <w:color w:val="auto"/>
                <w:sz w:val="21"/>
                <w:szCs w:val="21"/>
              </w:rPr>
              <w:t>年1月1日至20</w:t>
            </w:r>
            <w:r>
              <w:rPr>
                <w:rFonts w:hint="eastAsia" w:ascii="华文仿宋" w:hAnsi="华文仿宋" w:eastAsia="华文仿宋" w:cs="华文仿宋"/>
                <w:color w:val="auto"/>
                <w:sz w:val="21"/>
                <w:szCs w:val="21"/>
                <w:lang w:val="en-US" w:eastAsia="zh-CN"/>
              </w:rPr>
              <w:t>24</w:t>
            </w:r>
            <w:r>
              <w:rPr>
                <w:rFonts w:hint="eastAsia" w:ascii="华文仿宋" w:hAnsi="华文仿宋" w:eastAsia="华文仿宋" w:cs="华文仿宋"/>
                <w:color w:val="auto"/>
                <w:sz w:val="21"/>
                <w:szCs w:val="21"/>
              </w:rPr>
              <w:t>年12月31日）没有发生安全事故</w:t>
            </w:r>
            <w:r>
              <w:rPr>
                <w:rFonts w:hint="eastAsia" w:ascii="华文仿宋" w:hAnsi="华文仿宋" w:eastAsia="华文仿宋" w:cs="华文仿宋"/>
                <w:color w:val="auto"/>
                <w:sz w:val="21"/>
                <w:szCs w:val="21"/>
                <w:lang w:eastAsia="zh-CN"/>
              </w:rPr>
              <w:t>，</w:t>
            </w:r>
            <w:r>
              <w:rPr>
                <w:rFonts w:hint="eastAsia" w:ascii="华文仿宋" w:hAnsi="华文仿宋" w:eastAsia="华文仿宋" w:cs="华文仿宋"/>
                <w:color w:val="auto"/>
                <w:sz w:val="21"/>
                <w:szCs w:val="21"/>
                <w:lang w:val="en-US" w:eastAsia="zh-CN"/>
              </w:rPr>
              <w:t>未发生过因飞防原因产生的次生灾害，无因违规飞行被通报的情况</w:t>
            </w:r>
            <w:r>
              <w:rPr>
                <w:rFonts w:hint="eastAsia" w:ascii="华文仿宋" w:hAnsi="华文仿宋" w:eastAsia="华文仿宋" w:cs="华文仿宋"/>
                <w:color w:val="auto"/>
                <w:sz w:val="21"/>
                <w:szCs w:val="21"/>
              </w:rPr>
              <w:t>（须出具书面承诺）</w:t>
            </w:r>
            <w:r>
              <w:rPr>
                <w:rFonts w:hint="eastAsia" w:ascii="华文仿宋" w:hAnsi="华文仿宋" w:eastAsia="华文仿宋" w:cs="华文仿宋"/>
                <w:color w:val="auto"/>
                <w:sz w:val="21"/>
                <w:szCs w:val="21"/>
                <w:lang w:val="en-US" w:eastAsia="zh-CN"/>
              </w:rPr>
              <w:t>；</w:t>
            </w:r>
          </w:p>
          <w:p w14:paraId="25A3BBA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lang w:val="en-US" w:eastAsia="zh-CN"/>
              </w:rPr>
              <w:t>3.2 供应商提供2025年1月1日以来任意一月依法缴纳税收和社会保障资金的相关材料（指供应商依法缴纳税收和社会保障资金的证明）。</w:t>
            </w:r>
            <w:r>
              <w:rPr>
                <w:rFonts w:hint="eastAsia" w:ascii="华文仿宋" w:hAnsi="华文仿宋" w:eastAsia="华文仿宋" w:cs="华文仿宋"/>
                <w:color w:val="auto"/>
                <w:sz w:val="21"/>
                <w:szCs w:val="21"/>
                <w:highlight w:val="none"/>
                <w:lang w:val="en-US" w:eastAsia="zh-CN"/>
              </w:rPr>
              <w:t>；</w:t>
            </w:r>
          </w:p>
          <w:p w14:paraId="504464E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3.3 具有履行合同所必需的设备和专业技术能力，投标人必须取得不低于乙级或二级的林业有害生物防治资质；</w:t>
            </w:r>
          </w:p>
          <w:p w14:paraId="355E2AB2">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3.4供应商需提供有效的营业执照、运行合格证、通用航空企业经营许可证；</w:t>
            </w:r>
          </w:p>
          <w:p w14:paraId="2DA16FB9">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华文仿宋" w:hAnsi="华文仿宋" w:eastAsia="华文仿宋" w:cs="华文仿宋"/>
                <w:color w:val="auto"/>
                <w:kern w:val="0"/>
                <w:sz w:val="21"/>
                <w:szCs w:val="21"/>
                <w:shd w:val="clear" w:color="auto" w:fill="FFFFFF"/>
                <w:lang w:val="en-US" w:eastAsia="zh-CN" w:bidi="ar-SA"/>
              </w:rPr>
            </w:pPr>
            <w:r>
              <w:rPr>
                <w:rFonts w:hint="eastAsia" w:ascii="华文仿宋" w:hAnsi="华文仿宋" w:eastAsia="华文仿宋" w:cs="华文仿宋"/>
                <w:color w:val="auto"/>
                <w:kern w:val="0"/>
                <w:sz w:val="21"/>
                <w:szCs w:val="21"/>
                <w:shd w:val="clear" w:color="auto" w:fill="FFFFFF"/>
                <w:lang w:val="en-US" w:eastAsia="zh-CN" w:bidi="ar-SA"/>
              </w:rPr>
              <w:t>3.5未被列入失信被执行人、重大税收违法失信主体、政府采购严重违法失信行为记录名单的证明材料。(投标人应通过“信用中国”网站（www.creditchina.gov.cn） 查询“失信被执行人”(跳转至中国执行信息公开网)、“重大税收违法失信主体”，中国政府采购网（www.ccgp.gov.cn）查询“政府采购严重违法失信行为记录名单”渠道查询自身信用记录，提供查询网页截图)</w:t>
            </w:r>
          </w:p>
          <w:p w14:paraId="5E2C6C5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w:t>
            </w:r>
            <w:r>
              <w:rPr>
                <w:rFonts w:hint="eastAsia" w:ascii="华文仿宋" w:hAnsi="华文仿宋" w:eastAsia="华文仿宋" w:cs="华文仿宋"/>
                <w:color w:val="auto"/>
                <w:sz w:val="21"/>
                <w:szCs w:val="21"/>
                <w:highlight w:val="none"/>
                <w:lang w:val="en-US" w:eastAsia="zh-CN"/>
              </w:rPr>
              <w:t>6</w:t>
            </w:r>
            <w:r>
              <w:rPr>
                <w:rFonts w:hint="eastAsia" w:ascii="华文仿宋" w:hAnsi="华文仿宋" w:eastAsia="华文仿宋" w:cs="华文仿宋"/>
                <w:color w:val="auto"/>
                <w:sz w:val="21"/>
                <w:szCs w:val="21"/>
                <w:highlight w:val="none"/>
              </w:rPr>
              <w:t>单位负责人为同一人或者存在直接控股、管理关系的不同单位，不得同时参加同一合同项下的政府采购活动。</w:t>
            </w:r>
          </w:p>
          <w:p w14:paraId="6D005BCB">
            <w:pPr>
              <w:spacing w:before="162" w:line="303" w:lineRule="auto"/>
              <w:ind w:left="9" w:right="68" w:firstLine="422"/>
              <w:rPr>
                <w:rFonts w:hint="eastAsia" w:ascii="华文仿宋" w:hAnsi="华文仿宋" w:eastAsia="华文仿宋" w:cs="华文仿宋"/>
                <w:color w:val="auto"/>
              </w:rPr>
            </w:pPr>
            <w:r>
              <w:rPr>
                <w:rFonts w:hint="eastAsia" w:ascii="华文仿宋" w:hAnsi="华文仿宋" w:eastAsia="华文仿宋" w:cs="华文仿宋"/>
                <w:color w:val="auto"/>
                <w:spacing w:val="9"/>
                <w:sz w:val="20"/>
                <w:szCs w:val="20"/>
              </w:rPr>
              <w:t>3.</w:t>
            </w:r>
            <w:r>
              <w:rPr>
                <w:rFonts w:hint="eastAsia" w:ascii="华文仿宋" w:hAnsi="华文仿宋" w:eastAsia="华文仿宋" w:cs="华文仿宋"/>
                <w:color w:val="auto"/>
                <w:spacing w:val="9"/>
                <w:sz w:val="20"/>
                <w:szCs w:val="20"/>
                <w:lang w:val="en-US" w:eastAsia="zh-CN"/>
              </w:rPr>
              <w:t>7</w:t>
            </w:r>
            <w:r>
              <w:rPr>
                <w:rFonts w:hint="eastAsia" w:ascii="华文仿宋" w:hAnsi="华文仿宋" w:eastAsia="华文仿宋" w:cs="华文仿宋"/>
                <w:color w:val="auto"/>
                <w:spacing w:val="-40"/>
                <w:sz w:val="20"/>
                <w:szCs w:val="20"/>
              </w:rPr>
              <w:t xml:space="preserve"> </w:t>
            </w:r>
            <w:r>
              <w:rPr>
                <w:rFonts w:hint="eastAsia" w:ascii="华文仿宋" w:hAnsi="华文仿宋" w:eastAsia="华文仿宋" w:cs="华文仿宋"/>
                <w:color w:val="auto"/>
                <w:spacing w:val="9"/>
                <w:sz w:val="20"/>
                <w:szCs w:val="20"/>
              </w:rPr>
              <w:t>供应商所使用药品须为无公害生物制剂三证齐全（须提供农药</w:t>
            </w:r>
            <w:r>
              <w:rPr>
                <w:rFonts w:hint="eastAsia" w:ascii="华文仿宋" w:hAnsi="华文仿宋" w:eastAsia="华文仿宋" w:cs="华文仿宋"/>
                <w:color w:val="auto"/>
                <w:spacing w:val="8"/>
                <w:sz w:val="20"/>
                <w:szCs w:val="20"/>
              </w:rPr>
              <w:t>登记证、农药生产许</w:t>
            </w:r>
            <w:r>
              <w:rPr>
                <w:rFonts w:hint="eastAsia" w:ascii="华文仿宋" w:hAnsi="华文仿宋" w:eastAsia="华文仿宋" w:cs="华文仿宋"/>
                <w:color w:val="auto"/>
                <w:spacing w:val="7"/>
                <w:sz w:val="20"/>
                <w:szCs w:val="20"/>
              </w:rPr>
              <w:t>可证或批准文件、农药生产标准）。</w:t>
            </w:r>
          </w:p>
          <w:p w14:paraId="3A632810">
            <w:pPr>
              <w:spacing w:before="200" w:line="228" w:lineRule="auto"/>
              <w:ind w:left="428"/>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pacing w:val="10"/>
                <w:sz w:val="20"/>
                <w:szCs w:val="20"/>
              </w:rPr>
              <w:t>3.</w:t>
            </w:r>
            <w:r>
              <w:rPr>
                <w:rFonts w:hint="eastAsia" w:ascii="华文仿宋" w:hAnsi="华文仿宋" w:eastAsia="华文仿宋" w:cs="华文仿宋"/>
                <w:color w:val="auto"/>
                <w:spacing w:val="10"/>
                <w:sz w:val="20"/>
                <w:szCs w:val="20"/>
                <w:lang w:val="en-US" w:eastAsia="zh-CN"/>
              </w:rPr>
              <w:t>8</w:t>
            </w:r>
            <w:r>
              <w:rPr>
                <w:rFonts w:hint="eastAsia" w:ascii="华文仿宋" w:hAnsi="华文仿宋" w:eastAsia="华文仿宋" w:cs="华文仿宋"/>
                <w:color w:val="auto"/>
                <w:spacing w:val="16"/>
                <w:sz w:val="20"/>
                <w:szCs w:val="20"/>
              </w:rPr>
              <w:t xml:space="preserve"> </w:t>
            </w:r>
            <w:r>
              <w:rPr>
                <w:rFonts w:hint="eastAsia" w:ascii="华文仿宋" w:hAnsi="华文仿宋" w:eastAsia="华文仿宋" w:cs="华文仿宋"/>
                <w:color w:val="auto"/>
                <w:spacing w:val="8"/>
                <w:sz w:val="20"/>
                <w:szCs w:val="20"/>
              </w:rPr>
              <w:t>本项目不接受联合体投标，不允许转包分包。</w:t>
            </w:r>
          </w:p>
        </w:tc>
      </w:tr>
      <w:tr w14:paraId="2317C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left w:val="single" w:color="000000" w:sz="4" w:space="0"/>
              <w:bottom w:val="single" w:color="000000" w:sz="4" w:space="0"/>
              <w:right w:val="single" w:color="000000" w:sz="4" w:space="0"/>
            </w:tcBorders>
            <w:vAlign w:val="center"/>
          </w:tcPr>
          <w:p w14:paraId="26236F10">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1.5.2</w:t>
            </w:r>
          </w:p>
        </w:tc>
        <w:tc>
          <w:tcPr>
            <w:tcW w:w="2804" w:type="dxa"/>
            <w:tcBorders>
              <w:left w:val="single" w:color="000000" w:sz="4" w:space="0"/>
              <w:bottom w:val="single" w:color="000000" w:sz="4" w:space="0"/>
              <w:right w:val="single" w:color="000000" w:sz="4" w:space="0"/>
            </w:tcBorders>
            <w:vAlign w:val="center"/>
          </w:tcPr>
          <w:p w14:paraId="49C7BF54">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是否接受联合体</w:t>
            </w:r>
          </w:p>
        </w:tc>
        <w:tc>
          <w:tcPr>
            <w:tcW w:w="6429" w:type="dxa"/>
            <w:tcBorders>
              <w:left w:val="single" w:color="000000" w:sz="4" w:space="0"/>
              <w:bottom w:val="single" w:color="000000" w:sz="4" w:space="0"/>
              <w:right w:val="single" w:color="000000" w:sz="4" w:space="0"/>
            </w:tcBorders>
            <w:vAlign w:val="center"/>
          </w:tcPr>
          <w:p w14:paraId="7873A0F7">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不接受</w:t>
            </w:r>
          </w:p>
        </w:tc>
      </w:tr>
      <w:tr w14:paraId="7F146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0359AF2D">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1.10</w:t>
            </w:r>
          </w:p>
        </w:tc>
        <w:tc>
          <w:tcPr>
            <w:tcW w:w="2804" w:type="dxa"/>
            <w:tcBorders>
              <w:top w:val="single" w:color="000000" w:sz="4" w:space="0"/>
              <w:left w:val="single" w:color="000000" w:sz="4" w:space="0"/>
              <w:bottom w:val="single" w:color="000000" w:sz="4" w:space="0"/>
              <w:right w:val="single" w:color="000000" w:sz="4" w:space="0"/>
            </w:tcBorders>
            <w:vAlign w:val="center"/>
          </w:tcPr>
          <w:p w14:paraId="049814B5">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现场踏勘</w:t>
            </w:r>
          </w:p>
        </w:tc>
        <w:tc>
          <w:tcPr>
            <w:tcW w:w="6429" w:type="dxa"/>
            <w:tcBorders>
              <w:top w:val="single" w:color="000000" w:sz="4" w:space="0"/>
              <w:left w:val="single" w:color="000000" w:sz="4" w:space="0"/>
              <w:bottom w:val="single" w:color="000000" w:sz="4" w:space="0"/>
              <w:right w:val="single" w:color="000000" w:sz="4" w:space="0"/>
            </w:tcBorders>
            <w:vAlign w:val="center"/>
          </w:tcPr>
          <w:p w14:paraId="68963B50">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自行踏勘</w:t>
            </w:r>
          </w:p>
        </w:tc>
      </w:tr>
      <w:tr w14:paraId="540DE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38E03021">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1.11</w:t>
            </w:r>
          </w:p>
        </w:tc>
        <w:tc>
          <w:tcPr>
            <w:tcW w:w="2804" w:type="dxa"/>
            <w:tcBorders>
              <w:top w:val="single" w:color="000000" w:sz="4" w:space="0"/>
              <w:left w:val="single" w:color="000000" w:sz="4" w:space="0"/>
              <w:bottom w:val="single" w:color="000000" w:sz="4" w:space="0"/>
              <w:right w:val="single" w:color="000000" w:sz="4" w:space="0"/>
            </w:tcBorders>
            <w:vAlign w:val="center"/>
          </w:tcPr>
          <w:p w14:paraId="09FA38BB">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分包</w:t>
            </w:r>
          </w:p>
        </w:tc>
        <w:tc>
          <w:tcPr>
            <w:tcW w:w="6429" w:type="dxa"/>
            <w:tcBorders>
              <w:top w:val="single" w:color="000000" w:sz="4" w:space="0"/>
              <w:left w:val="single" w:color="000000" w:sz="4" w:space="0"/>
              <w:bottom w:val="single" w:color="000000" w:sz="4" w:space="0"/>
              <w:right w:val="single" w:color="000000" w:sz="4" w:space="0"/>
            </w:tcBorders>
            <w:vAlign w:val="center"/>
          </w:tcPr>
          <w:p w14:paraId="623D4AF4">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不允许</w:t>
            </w:r>
          </w:p>
        </w:tc>
      </w:tr>
      <w:tr w14:paraId="78AC2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29758CF0">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2.1</w:t>
            </w:r>
          </w:p>
        </w:tc>
        <w:tc>
          <w:tcPr>
            <w:tcW w:w="2804" w:type="dxa"/>
            <w:tcBorders>
              <w:top w:val="single" w:color="000000" w:sz="4" w:space="0"/>
              <w:left w:val="single" w:color="000000" w:sz="4" w:space="0"/>
              <w:bottom w:val="single" w:color="000000" w:sz="4" w:space="0"/>
              <w:right w:val="single" w:color="000000" w:sz="4" w:space="0"/>
            </w:tcBorders>
            <w:vAlign w:val="center"/>
          </w:tcPr>
          <w:p w14:paraId="58CF99A6">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构成磋商文件的其他材料</w:t>
            </w:r>
          </w:p>
        </w:tc>
        <w:tc>
          <w:tcPr>
            <w:tcW w:w="6429" w:type="dxa"/>
            <w:tcBorders>
              <w:top w:val="single" w:color="000000" w:sz="4" w:space="0"/>
              <w:left w:val="single" w:color="000000" w:sz="4" w:space="0"/>
              <w:bottom w:val="single" w:color="000000" w:sz="4" w:space="0"/>
              <w:right w:val="single" w:color="000000" w:sz="4" w:space="0"/>
            </w:tcBorders>
            <w:vAlign w:val="center"/>
          </w:tcPr>
          <w:p w14:paraId="58F6FD19">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除磋商文件外，采购人在磋商期间发出的澄清、修改、补充、补遗和其它有效正式函件等内容均是磋商文件的组成部分</w:t>
            </w:r>
          </w:p>
        </w:tc>
      </w:tr>
      <w:tr w14:paraId="50555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24A01504">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2.2.1</w:t>
            </w:r>
          </w:p>
        </w:tc>
        <w:tc>
          <w:tcPr>
            <w:tcW w:w="2804" w:type="dxa"/>
            <w:tcBorders>
              <w:top w:val="single" w:color="000000" w:sz="4" w:space="0"/>
              <w:left w:val="single" w:color="000000" w:sz="4" w:space="0"/>
              <w:bottom w:val="single" w:color="000000" w:sz="4" w:space="0"/>
              <w:right w:val="single" w:color="000000" w:sz="4" w:space="0"/>
            </w:tcBorders>
            <w:vAlign w:val="center"/>
          </w:tcPr>
          <w:p w14:paraId="058DC0E9">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供应商提出问题的截止时间</w:t>
            </w:r>
          </w:p>
        </w:tc>
        <w:tc>
          <w:tcPr>
            <w:tcW w:w="6429" w:type="dxa"/>
            <w:tcBorders>
              <w:top w:val="single" w:color="000000" w:sz="4" w:space="0"/>
              <w:left w:val="single" w:color="000000" w:sz="4" w:space="0"/>
              <w:bottom w:val="single" w:color="000000" w:sz="4" w:space="0"/>
              <w:right w:val="single" w:color="000000" w:sz="4" w:space="0"/>
            </w:tcBorders>
            <w:vAlign w:val="center"/>
          </w:tcPr>
          <w:p w14:paraId="07C017DA">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公告发布之日起7个工作日内</w:t>
            </w:r>
          </w:p>
        </w:tc>
      </w:tr>
      <w:tr w14:paraId="10E6D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218CA8B0">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2.2.2</w:t>
            </w:r>
          </w:p>
        </w:tc>
        <w:tc>
          <w:tcPr>
            <w:tcW w:w="2804" w:type="dxa"/>
            <w:tcBorders>
              <w:top w:val="single" w:color="000000" w:sz="4" w:space="0"/>
              <w:left w:val="single" w:color="000000" w:sz="4" w:space="0"/>
              <w:bottom w:val="single" w:color="000000" w:sz="4" w:space="0"/>
              <w:right w:val="single" w:color="000000" w:sz="4" w:space="0"/>
            </w:tcBorders>
            <w:vAlign w:val="center"/>
          </w:tcPr>
          <w:p w14:paraId="21F600FB">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采购人澄清磋商件的截止时间</w:t>
            </w:r>
          </w:p>
        </w:tc>
        <w:tc>
          <w:tcPr>
            <w:tcW w:w="6429" w:type="dxa"/>
            <w:tcBorders>
              <w:top w:val="single" w:color="000000" w:sz="4" w:space="0"/>
              <w:left w:val="single" w:color="000000" w:sz="4" w:space="0"/>
              <w:bottom w:val="single" w:color="000000" w:sz="4" w:space="0"/>
              <w:right w:val="single" w:color="000000" w:sz="4" w:space="0"/>
            </w:tcBorders>
            <w:vAlign w:val="center"/>
          </w:tcPr>
          <w:p w14:paraId="744F0379">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递交响应文件截止之日5天前</w:t>
            </w:r>
          </w:p>
        </w:tc>
      </w:tr>
      <w:tr w14:paraId="3DF77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24BCBD5B">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2.2.3</w:t>
            </w:r>
          </w:p>
        </w:tc>
        <w:tc>
          <w:tcPr>
            <w:tcW w:w="2804" w:type="dxa"/>
            <w:tcBorders>
              <w:top w:val="single" w:color="000000" w:sz="4" w:space="0"/>
              <w:left w:val="single" w:color="000000" w:sz="4" w:space="0"/>
              <w:bottom w:val="single" w:color="000000" w:sz="4" w:space="0"/>
              <w:right w:val="single" w:color="000000" w:sz="4" w:space="0"/>
            </w:tcBorders>
            <w:vAlign w:val="center"/>
          </w:tcPr>
          <w:p w14:paraId="44653E77">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供应商确认收到磋商文件澄清的时间</w:t>
            </w:r>
          </w:p>
        </w:tc>
        <w:tc>
          <w:tcPr>
            <w:tcW w:w="6429" w:type="dxa"/>
            <w:tcBorders>
              <w:top w:val="single" w:color="000000" w:sz="4" w:space="0"/>
              <w:left w:val="single" w:color="000000" w:sz="4" w:space="0"/>
              <w:bottom w:val="single" w:color="000000" w:sz="4" w:space="0"/>
              <w:right w:val="single" w:color="000000" w:sz="4" w:space="0"/>
            </w:tcBorders>
            <w:vAlign w:val="center"/>
          </w:tcPr>
          <w:p w14:paraId="726D1757">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在收到相应澄清文件后24小时内</w:t>
            </w:r>
          </w:p>
        </w:tc>
      </w:tr>
      <w:tr w14:paraId="04941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35702581">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2.3.2</w:t>
            </w:r>
          </w:p>
        </w:tc>
        <w:tc>
          <w:tcPr>
            <w:tcW w:w="2804" w:type="dxa"/>
            <w:tcBorders>
              <w:top w:val="single" w:color="000000" w:sz="4" w:space="0"/>
              <w:left w:val="single" w:color="000000" w:sz="4" w:space="0"/>
              <w:bottom w:val="single" w:color="000000" w:sz="4" w:space="0"/>
              <w:right w:val="single" w:color="000000" w:sz="4" w:space="0"/>
            </w:tcBorders>
            <w:vAlign w:val="center"/>
          </w:tcPr>
          <w:p w14:paraId="757528C9">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供应商确认收到磋商文件修改的时间</w:t>
            </w:r>
          </w:p>
        </w:tc>
        <w:tc>
          <w:tcPr>
            <w:tcW w:w="6429" w:type="dxa"/>
            <w:tcBorders>
              <w:top w:val="single" w:color="000000" w:sz="4" w:space="0"/>
              <w:left w:val="single" w:color="000000" w:sz="4" w:space="0"/>
              <w:bottom w:val="single" w:color="000000" w:sz="4" w:space="0"/>
              <w:right w:val="single" w:color="000000" w:sz="4" w:space="0"/>
            </w:tcBorders>
            <w:vAlign w:val="center"/>
          </w:tcPr>
          <w:p w14:paraId="340ABDFD">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在收到相应修改文件后24小时内</w:t>
            </w:r>
          </w:p>
        </w:tc>
      </w:tr>
      <w:tr w14:paraId="3055A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2D596E96">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3.1</w:t>
            </w:r>
          </w:p>
        </w:tc>
        <w:tc>
          <w:tcPr>
            <w:tcW w:w="2804" w:type="dxa"/>
            <w:tcBorders>
              <w:top w:val="single" w:color="000000" w:sz="4" w:space="0"/>
              <w:left w:val="single" w:color="000000" w:sz="4" w:space="0"/>
              <w:bottom w:val="single" w:color="000000" w:sz="4" w:space="0"/>
              <w:right w:val="single" w:color="000000" w:sz="4" w:space="0"/>
            </w:tcBorders>
            <w:vAlign w:val="center"/>
          </w:tcPr>
          <w:p w14:paraId="0CE07475">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构成响应文件的其他材料</w:t>
            </w:r>
          </w:p>
        </w:tc>
        <w:tc>
          <w:tcPr>
            <w:tcW w:w="6429" w:type="dxa"/>
            <w:tcBorders>
              <w:top w:val="single" w:color="000000" w:sz="4" w:space="0"/>
              <w:left w:val="single" w:color="000000" w:sz="4" w:space="0"/>
              <w:bottom w:val="single" w:color="000000" w:sz="4" w:space="0"/>
              <w:right w:val="single" w:color="000000" w:sz="4" w:space="0"/>
            </w:tcBorders>
            <w:vAlign w:val="center"/>
          </w:tcPr>
          <w:p w14:paraId="2918ADA1">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供应商认为需要提交的其他证明材料</w:t>
            </w:r>
          </w:p>
        </w:tc>
      </w:tr>
      <w:tr w14:paraId="6CCED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6952419B">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3.2</w:t>
            </w:r>
          </w:p>
        </w:tc>
        <w:tc>
          <w:tcPr>
            <w:tcW w:w="2804" w:type="dxa"/>
            <w:tcBorders>
              <w:top w:val="single" w:color="000000" w:sz="4" w:space="0"/>
              <w:left w:val="single" w:color="000000" w:sz="4" w:space="0"/>
              <w:bottom w:val="single" w:color="000000" w:sz="4" w:space="0"/>
              <w:right w:val="single" w:color="000000" w:sz="4" w:space="0"/>
            </w:tcBorders>
            <w:vAlign w:val="center"/>
          </w:tcPr>
          <w:p w14:paraId="0F7FE305">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报价方式</w:t>
            </w:r>
          </w:p>
        </w:tc>
        <w:tc>
          <w:tcPr>
            <w:tcW w:w="6429" w:type="dxa"/>
            <w:tcBorders>
              <w:top w:val="single" w:color="000000" w:sz="4" w:space="0"/>
              <w:left w:val="single" w:color="000000" w:sz="4" w:space="0"/>
              <w:bottom w:val="single" w:color="000000" w:sz="4" w:space="0"/>
              <w:right w:val="single" w:color="000000" w:sz="4" w:space="0"/>
            </w:tcBorders>
            <w:vAlign w:val="center"/>
          </w:tcPr>
          <w:p w14:paraId="44CB4CCE">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自主报价</w:t>
            </w:r>
          </w:p>
        </w:tc>
      </w:tr>
      <w:tr w14:paraId="7C585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43D10FF0">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3.3.1</w:t>
            </w:r>
          </w:p>
        </w:tc>
        <w:tc>
          <w:tcPr>
            <w:tcW w:w="2804" w:type="dxa"/>
            <w:tcBorders>
              <w:top w:val="single" w:color="000000" w:sz="4" w:space="0"/>
              <w:left w:val="single" w:color="000000" w:sz="4" w:space="0"/>
              <w:bottom w:val="single" w:color="000000" w:sz="4" w:space="0"/>
              <w:right w:val="single" w:color="000000" w:sz="4" w:space="0"/>
            </w:tcBorders>
            <w:vAlign w:val="center"/>
          </w:tcPr>
          <w:p w14:paraId="03AA9B3B">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rightChars="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磋商有效期</w:t>
            </w:r>
          </w:p>
        </w:tc>
        <w:tc>
          <w:tcPr>
            <w:tcW w:w="6429" w:type="dxa"/>
            <w:tcBorders>
              <w:top w:val="single" w:color="000000" w:sz="4" w:space="0"/>
              <w:left w:val="single" w:color="000000" w:sz="4" w:space="0"/>
              <w:bottom w:val="single" w:color="000000" w:sz="4" w:space="0"/>
              <w:right w:val="single" w:color="000000" w:sz="4" w:space="0"/>
            </w:tcBorders>
            <w:vAlign w:val="center"/>
          </w:tcPr>
          <w:p w14:paraId="3CAA9D68">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rightChars="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60日历天（响应文件截止之日起）</w:t>
            </w:r>
          </w:p>
        </w:tc>
      </w:tr>
      <w:tr w14:paraId="50621E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18BEF05C">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3.6</w:t>
            </w:r>
          </w:p>
        </w:tc>
        <w:tc>
          <w:tcPr>
            <w:tcW w:w="2804" w:type="dxa"/>
            <w:tcBorders>
              <w:top w:val="single" w:color="000000" w:sz="4" w:space="0"/>
              <w:left w:val="single" w:color="000000" w:sz="4" w:space="0"/>
              <w:bottom w:val="single" w:color="000000" w:sz="4" w:space="0"/>
              <w:right w:val="single" w:color="000000" w:sz="4" w:space="0"/>
            </w:tcBorders>
            <w:vAlign w:val="center"/>
          </w:tcPr>
          <w:p w14:paraId="58D8C67B">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是否允许递交备选磋商方案</w:t>
            </w:r>
          </w:p>
        </w:tc>
        <w:tc>
          <w:tcPr>
            <w:tcW w:w="6429" w:type="dxa"/>
            <w:tcBorders>
              <w:top w:val="single" w:color="000000" w:sz="4" w:space="0"/>
              <w:left w:val="single" w:color="000000" w:sz="4" w:space="0"/>
              <w:bottom w:val="single" w:color="000000" w:sz="4" w:space="0"/>
              <w:right w:val="single" w:color="000000" w:sz="4" w:space="0"/>
            </w:tcBorders>
            <w:vAlign w:val="center"/>
          </w:tcPr>
          <w:p w14:paraId="216DF4AC">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不允许</w:t>
            </w:r>
          </w:p>
        </w:tc>
      </w:tr>
      <w:tr w14:paraId="63CA0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left w:val="single" w:color="000000" w:sz="4" w:space="0"/>
              <w:bottom w:val="single" w:color="000000" w:sz="4" w:space="0"/>
              <w:right w:val="single" w:color="000000" w:sz="4" w:space="0"/>
            </w:tcBorders>
            <w:vAlign w:val="center"/>
          </w:tcPr>
          <w:p w14:paraId="106506E3">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3.7.3</w:t>
            </w:r>
          </w:p>
        </w:tc>
        <w:tc>
          <w:tcPr>
            <w:tcW w:w="2804" w:type="dxa"/>
            <w:tcBorders>
              <w:left w:val="single" w:color="000000" w:sz="4" w:space="0"/>
              <w:bottom w:val="single" w:color="000000" w:sz="4" w:space="0"/>
              <w:right w:val="single" w:color="000000" w:sz="4" w:space="0"/>
            </w:tcBorders>
            <w:vAlign w:val="center"/>
          </w:tcPr>
          <w:p w14:paraId="4FFC0DA5">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firstLine="0" w:firstLineChars="0"/>
              <w:jc w:val="both"/>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电子响应文件签字盖章要求</w:t>
            </w:r>
          </w:p>
        </w:tc>
        <w:tc>
          <w:tcPr>
            <w:tcW w:w="6429" w:type="dxa"/>
            <w:tcBorders>
              <w:left w:val="single" w:color="000000" w:sz="4" w:space="0"/>
              <w:bottom w:val="single" w:color="000000" w:sz="4" w:space="0"/>
              <w:right w:val="single" w:color="000000" w:sz="4" w:space="0"/>
            </w:tcBorders>
            <w:vAlign w:val="center"/>
          </w:tcPr>
          <w:p w14:paraId="1C4FE30D">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bCs/>
                <w:color w:val="auto"/>
                <w:szCs w:val="21"/>
                <w:highlight w:val="none"/>
              </w:rPr>
              <w:t>签字和盖章的要求应符合第</w:t>
            </w:r>
            <w:r>
              <w:rPr>
                <w:rFonts w:hint="eastAsia" w:ascii="华文仿宋" w:hAnsi="华文仿宋" w:eastAsia="华文仿宋" w:cs="华文仿宋"/>
                <w:bCs/>
                <w:color w:val="auto"/>
                <w:szCs w:val="21"/>
                <w:highlight w:val="none"/>
                <w:lang w:val="en-US" w:eastAsia="zh-CN"/>
              </w:rPr>
              <w:t>六</w:t>
            </w:r>
            <w:r>
              <w:rPr>
                <w:rFonts w:hint="eastAsia" w:ascii="华文仿宋" w:hAnsi="华文仿宋" w:eastAsia="华文仿宋" w:cs="华文仿宋"/>
                <w:bCs/>
                <w:color w:val="auto"/>
                <w:szCs w:val="21"/>
                <w:highlight w:val="none"/>
              </w:rPr>
              <w:t>章</w:t>
            </w:r>
            <w:r>
              <w:rPr>
                <w:rFonts w:hint="eastAsia" w:ascii="华文仿宋" w:hAnsi="华文仿宋" w:eastAsia="华文仿宋" w:cs="华文仿宋"/>
                <w:bCs/>
                <w:color w:val="auto"/>
                <w:szCs w:val="21"/>
                <w:highlight w:val="none"/>
                <w:lang w:val="en-US" w:eastAsia="zh-CN"/>
              </w:rPr>
              <w:t>响应</w:t>
            </w:r>
            <w:r>
              <w:rPr>
                <w:rFonts w:hint="eastAsia" w:ascii="华文仿宋" w:hAnsi="华文仿宋" w:eastAsia="华文仿宋" w:cs="华文仿宋"/>
                <w:bCs/>
                <w:color w:val="auto"/>
                <w:szCs w:val="21"/>
                <w:highlight w:val="none"/>
              </w:rPr>
              <w:t>文件格式相应要求；</w:t>
            </w:r>
          </w:p>
        </w:tc>
      </w:tr>
      <w:tr w14:paraId="6B8FA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3B4E0ED3">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3.7.4</w:t>
            </w:r>
          </w:p>
        </w:tc>
        <w:tc>
          <w:tcPr>
            <w:tcW w:w="2804" w:type="dxa"/>
            <w:tcBorders>
              <w:top w:val="single" w:color="000000" w:sz="4" w:space="0"/>
              <w:left w:val="single" w:color="000000" w:sz="4" w:space="0"/>
              <w:bottom w:val="single" w:color="000000" w:sz="4" w:space="0"/>
              <w:right w:val="single" w:color="000000" w:sz="4" w:space="0"/>
            </w:tcBorders>
            <w:vAlign w:val="center"/>
          </w:tcPr>
          <w:p w14:paraId="4E468D7A">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响应文件份数</w:t>
            </w:r>
          </w:p>
        </w:tc>
        <w:tc>
          <w:tcPr>
            <w:tcW w:w="6429" w:type="dxa"/>
            <w:tcBorders>
              <w:top w:val="single" w:color="000000" w:sz="4" w:space="0"/>
              <w:left w:val="single" w:color="000000" w:sz="4" w:space="0"/>
              <w:bottom w:val="single" w:color="000000" w:sz="4" w:space="0"/>
              <w:right w:val="single" w:color="000000" w:sz="4" w:space="0"/>
            </w:tcBorders>
            <w:vAlign w:val="center"/>
          </w:tcPr>
          <w:p w14:paraId="7B91CBBF">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加密的电子响应文件壹份（*.XYTF 格式，在会员系统指定位置上传）</w:t>
            </w:r>
          </w:p>
        </w:tc>
      </w:tr>
      <w:tr w14:paraId="050B7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1B79A5D5">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4.2</w:t>
            </w:r>
          </w:p>
        </w:tc>
        <w:tc>
          <w:tcPr>
            <w:tcW w:w="2804" w:type="dxa"/>
            <w:tcBorders>
              <w:top w:val="single" w:color="000000" w:sz="4" w:space="0"/>
              <w:left w:val="single" w:color="000000" w:sz="4" w:space="0"/>
              <w:bottom w:val="single" w:color="000000" w:sz="4" w:space="0"/>
              <w:right w:val="single" w:color="000000" w:sz="4" w:space="0"/>
            </w:tcBorders>
            <w:vAlign w:val="center"/>
          </w:tcPr>
          <w:p w14:paraId="4366BF01">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firstLine="420" w:firstLineChars="200"/>
              <w:jc w:val="both"/>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响应文件的递交</w:t>
            </w:r>
          </w:p>
        </w:tc>
        <w:tc>
          <w:tcPr>
            <w:tcW w:w="6429" w:type="dxa"/>
            <w:tcBorders>
              <w:top w:val="single" w:color="000000" w:sz="4" w:space="0"/>
              <w:left w:val="single" w:color="000000" w:sz="4" w:space="0"/>
              <w:bottom w:val="single" w:color="000000" w:sz="4" w:space="0"/>
              <w:right w:val="single" w:color="000000" w:sz="4" w:space="0"/>
            </w:tcBorders>
            <w:vAlign w:val="center"/>
          </w:tcPr>
          <w:p w14:paraId="5B0CA6F9">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lang w:val="en-US" w:eastAsia="zh-CN"/>
              </w:rPr>
            </w:pPr>
            <w:r>
              <w:rPr>
                <w:rFonts w:hint="eastAsia" w:ascii="华文仿宋" w:hAnsi="华文仿宋" w:eastAsia="华文仿宋" w:cs="华文仿宋"/>
                <w:color w:val="auto"/>
                <w:sz w:val="21"/>
                <w:szCs w:val="21"/>
                <w:highlight w:val="none"/>
                <w:lang w:val="en-US" w:eastAsia="zh-CN"/>
              </w:rPr>
              <w:t>1</w:t>
            </w:r>
            <w:r>
              <w:rPr>
                <w:rFonts w:hint="eastAsia" w:ascii="华文仿宋" w:hAnsi="华文仿宋" w:eastAsia="华文仿宋" w:cs="华文仿宋"/>
                <w:color w:val="auto"/>
                <w:sz w:val="21"/>
                <w:highlight w:val="none"/>
                <w:lang w:val="en-US" w:eastAsia="zh-CN"/>
              </w:rPr>
              <w:t>、电子响应文件的递交</w:t>
            </w:r>
          </w:p>
          <w:p w14:paraId="2F598036">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lang w:val="en-US" w:eastAsia="zh-CN"/>
              </w:rPr>
            </w:pPr>
            <w:r>
              <w:rPr>
                <w:rFonts w:hint="eastAsia" w:ascii="华文仿宋" w:hAnsi="华文仿宋" w:eastAsia="华文仿宋" w:cs="华文仿宋"/>
                <w:color w:val="auto"/>
                <w:sz w:val="21"/>
                <w:highlight w:val="none"/>
                <w:lang w:val="en-US" w:eastAsia="zh-CN"/>
              </w:rPr>
              <w:t>各供应商应在响应文件提交时间前上传加密的电子响应文件（*.XYTF）到会员系统的指定位置。上传时必须得到交易系统“上传成功”的确认回复后方为上传成功。请供应商在上传前务必认真检查上传响应文件是否完整、正确。</w:t>
            </w:r>
          </w:p>
          <w:p w14:paraId="4292CF60">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u w:val="none"/>
                <w:lang w:val="en-US" w:eastAsia="zh-CN"/>
              </w:rPr>
            </w:pPr>
            <w:r>
              <w:rPr>
                <w:rFonts w:hint="eastAsia" w:ascii="华文仿宋" w:hAnsi="华文仿宋" w:eastAsia="华文仿宋" w:cs="华文仿宋"/>
                <w:color w:val="auto"/>
                <w:sz w:val="21"/>
                <w:highlight w:val="none"/>
                <w:lang w:val="en-US" w:eastAsia="zh-CN"/>
              </w:rPr>
              <w:t xml:space="preserve">2、本项目采用“不见面开标”交易方式，不见面开标大厅网址为 </w:t>
            </w:r>
            <w:r>
              <w:rPr>
                <w:rFonts w:hint="eastAsia" w:ascii="华文仿宋" w:hAnsi="华文仿宋" w:eastAsia="华文仿宋" w:cs="华文仿宋"/>
                <w:color w:val="auto"/>
                <w:sz w:val="21"/>
                <w:highlight w:val="none"/>
                <w:u w:val="none"/>
                <w:lang w:eastAsia="zh-CN"/>
              </w:rPr>
              <w:t>https://ggzyjy.xinyang.gov.cn/BidOpening/bidhall/xinyang/login.html</w:t>
            </w:r>
            <w:r>
              <w:rPr>
                <w:rFonts w:hint="eastAsia" w:ascii="华文仿宋" w:hAnsi="华文仿宋" w:eastAsia="华文仿宋" w:cs="华文仿宋"/>
                <w:color w:val="auto"/>
                <w:sz w:val="21"/>
                <w:highlight w:val="none"/>
                <w:u w:val="none"/>
                <w:lang w:val="en-US" w:eastAsia="zh-CN"/>
              </w:rPr>
              <w:t>，供应商无需寄送和递交非加密的电子响应文件，无需到现场参加开标会议，无需到达现场提交原件资料。</w:t>
            </w:r>
          </w:p>
          <w:p w14:paraId="07BC75FF">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b/>
                <w:bCs/>
                <w:color w:val="auto"/>
                <w:sz w:val="21"/>
                <w:highlight w:val="none"/>
              </w:rPr>
            </w:pPr>
            <w:r>
              <w:rPr>
                <w:rFonts w:hint="eastAsia" w:ascii="华文仿宋" w:hAnsi="华文仿宋" w:eastAsia="华文仿宋" w:cs="华文仿宋"/>
                <w:b/>
                <w:bCs/>
                <w:color w:val="auto"/>
                <w:sz w:val="21"/>
                <w:highlight w:val="none"/>
                <w:lang w:val="en-US" w:eastAsia="zh-CN"/>
              </w:rPr>
              <w:t>特别提示：</w:t>
            </w:r>
          </w:p>
          <w:p w14:paraId="53DFA624">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b/>
                <w:bCs/>
                <w:color w:val="auto"/>
                <w:sz w:val="21"/>
                <w:highlight w:val="none"/>
              </w:rPr>
            </w:pPr>
            <w:r>
              <w:rPr>
                <w:rFonts w:hint="eastAsia" w:ascii="华文仿宋" w:hAnsi="华文仿宋" w:eastAsia="华文仿宋" w:cs="华文仿宋"/>
                <w:b/>
                <w:bCs/>
                <w:color w:val="auto"/>
                <w:sz w:val="21"/>
                <w:highlight w:val="none"/>
                <w:lang w:val="en-US" w:eastAsia="zh-CN"/>
              </w:rPr>
              <w:t>1、投标人在线签</w:t>
            </w:r>
            <w:r>
              <w:rPr>
                <w:rFonts w:hint="eastAsia" w:ascii="华文仿宋" w:hAnsi="华文仿宋" w:eastAsia="华文仿宋" w:cs="华文仿宋"/>
                <w:b/>
                <w:bCs/>
                <w:color w:val="auto"/>
                <w:sz w:val="21"/>
                <w:highlight w:val="none"/>
              </w:rPr>
              <w:t>到时，应如实准确的填写授权委托人的联系电话，开标当天请务必保证电话保持畅通。</w:t>
            </w:r>
          </w:p>
          <w:p w14:paraId="51B3033A">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b/>
                <w:bCs/>
                <w:color w:val="auto"/>
                <w:sz w:val="21"/>
                <w:szCs w:val="21"/>
                <w:highlight w:val="none"/>
                <w:shd w:val="clear" w:color="auto" w:fill="FFFFFF"/>
              </w:rPr>
            </w:pPr>
            <w:r>
              <w:rPr>
                <w:rFonts w:hint="eastAsia" w:ascii="华文仿宋" w:hAnsi="华文仿宋" w:eastAsia="华文仿宋" w:cs="华文仿宋"/>
                <w:b/>
                <w:bCs/>
                <w:color w:val="auto"/>
                <w:sz w:val="21"/>
                <w:highlight w:val="none"/>
                <w:lang w:val="en-US" w:eastAsia="zh-CN"/>
              </w:rPr>
              <w:t>2、本次项目采用信阳市公共资源交易新系统进行招投标，所有意向投标单位需要重新注册诚信库并完善信息，办理标证通或绑定CA锁，投标所需材料上传到新系统。</w:t>
            </w:r>
          </w:p>
        </w:tc>
      </w:tr>
      <w:tr w14:paraId="38D3E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4FC180E1">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5.1</w:t>
            </w:r>
          </w:p>
        </w:tc>
        <w:tc>
          <w:tcPr>
            <w:tcW w:w="2804" w:type="dxa"/>
            <w:tcBorders>
              <w:top w:val="single" w:color="000000" w:sz="4" w:space="0"/>
              <w:left w:val="single" w:color="000000" w:sz="4" w:space="0"/>
              <w:bottom w:val="single" w:color="000000" w:sz="4" w:space="0"/>
              <w:right w:val="single" w:color="000000" w:sz="4" w:space="0"/>
            </w:tcBorders>
            <w:vAlign w:val="center"/>
          </w:tcPr>
          <w:p w14:paraId="451D828B">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提交响应文件截止时间</w:t>
            </w:r>
          </w:p>
        </w:tc>
        <w:tc>
          <w:tcPr>
            <w:tcW w:w="6429" w:type="dxa"/>
            <w:tcBorders>
              <w:top w:val="single" w:color="000000" w:sz="4" w:space="0"/>
              <w:left w:val="single" w:color="000000" w:sz="4" w:space="0"/>
              <w:bottom w:val="single" w:color="000000" w:sz="4" w:space="0"/>
              <w:right w:val="single" w:color="000000" w:sz="4" w:space="0"/>
            </w:tcBorders>
            <w:vAlign w:val="center"/>
          </w:tcPr>
          <w:p w14:paraId="51A64BC6">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lang w:val="en-US" w:eastAsia="zh-CN"/>
              </w:rPr>
            </w:pPr>
            <w:r>
              <w:rPr>
                <w:rFonts w:hint="eastAsia" w:ascii="华文仿宋" w:hAnsi="华文仿宋" w:eastAsia="华文仿宋" w:cs="华文仿宋"/>
                <w:color w:val="auto"/>
                <w:sz w:val="21"/>
                <w:highlight w:val="none"/>
                <w:u w:val="none"/>
                <w:lang w:val="en-US" w:eastAsia="zh-CN"/>
              </w:rPr>
              <w:t>2025年08月15日9时00分（北京时间）</w:t>
            </w:r>
          </w:p>
        </w:tc>
      </w:tr>
      <w:tr w14:paraId="36B90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5E76F1E7">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firstLine="630" w:firstLineChars="300"/>
              <w:jc w:val="center"/>
              <w:textAlignment w:val="auto"/>
              <w:rPr>
                <w:rFonts w:hint="eastAsia" w:ascii="华文仿宋" w:hAnsi="华文仿宋" w:eastAsia="华文仿宋" w:cs="华文仿宋"/>
                <w:color w:val="auto"/>
                <w:sz w:val="21"/>
                <w:highlight w:val="none"/>
              </w:rPr>
            </w:pPr>
          </w:p>
          <w:p w14:paraId="6A9FFEFA">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5.1.1</w:t>
            </w:r>
          </w:p>
        </w:tc>
        <w:tc>
          <w:tcPr>
            <w:tcW w:w="2804" w:type="dxa"/>
            <w:tcBorders>
              <w:top w:val="single" w:color="000000" w:sz="4" w:space="0"/>
              <w:left w:val="single" w:color="000000" w:sz="4" w:space="0"/>
              <w:bottom w:val="single" w:color="000000" w:sz="4" w:space="0"/>
              <w:right w:val="single" w:color="000000" w:sz="4" w:space="0"/>
            </w:tcBorders>
            <w:vAlign w:val="center"/>
          </w:tcPr>
          <w:p w14:paraId="5EA2367B">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磋商时间和地点</w:t>
            </w:r>
          </w:p>
        </w:tc>
        <w:tc>
          <w:tcPr>
            <w:tcW w:w="6429" w:type="dxa"/>
            <w:tcBorders>
              <w:top w:val="single" w:color="000000" w:sz="4" w:space="0"/>
              <w:left w:val="single" w:color="000000" w:sz="4" w:space="0"/>
              <w:bottom w:val="single" w:color="000000" w:sz="4" w:space="0"/>
              <w:right w:val="single" w:color="000000" w:sz="4" w:space="0"/>
            </w:tcBorders>
            <w:vAlign w:val="center"/>
          </w:tcPr>
          <w:p w14:paraId="0CE50318">
            <w:pPr>
              <w:keepNext w:val="0"/>
              <w:keepLines w:val="0"/>
              <w:pageBreakBefore w:val="0"/>
              <w:widowControl w:val="0"/>
              <w:kinsoku/>
              <w:wordWrap w:val="0"/>
              <w:overflowPunct/>
              <w:topLinePunct/>
              <w:autoSpaceDE/>
              <w:autoSpaceDN/>
              <w:bidi w:val="0"/>
              <w:adjustRightInd w:val="0"/>
              <w:snapToGrid/>
              <w:spacing w:line="288" w:lineRule="auto"/>
              <w:jc w:val="left"/>
              <w:textAlignment w:val="auto"/>
              <w:rPr>
                <w:rFonts w:hint="eastAsia" w:ascii="华文仿宋" w:hAnsi="华文仿宋" w:eastAsia="华文仿宋" w:cs="华文仿宋"/>
                <w:color w:val="auto"/>
                <w:kern w:val="0"/>
                <w:szCs w:val="21"/>
                <w:highlight w:val="none"/>
              </w:rPr>
            </w:pPr>
            <w:r>
              <w:rPr>
                <w:rFonts w:hint="eastAsia" w:ascii="华文仿宋" w:hAnsi="华文仿宋" w:eastAsia="华文仿宋" w:cs="华文仿宋"/>
                <w:color w:val="auto"/>
                <w:szCs w:val="21"/>
                <w:highlight w:val="none"/>
              </w:rPr>
              <w:t>磋商</w:t>
            </w:r>
            <w:r>
              <w:rPr>
                <w:rFonts w:hint="eastAsia" w:ascii="华文仿宋" w:hAnsi="华文仿宋" w:eastAsia="华文仿宋" w:cs="华文仿宋"/>
                <w:color w:val="auto"/>
                <w:kern w:val="0"/>
                <w:szCs w:val="21"/>
                <w:highlight w:val="none"/>
              </w:rPr>
              <w:t>时间：同</w:t>
            </w:r>
            <w:r>
              <w:rPr>
                <w:rFonts w:hint="eastAsia" w:ascii="华文仿宋" w:hAnsi="华文仿宋" w:eastAsia="华文仿宋" w:cs="华文仿宋"/>
                <w:color w:val="auto"/>
                <w:szCs w:val="21"/>
                <w:highlight w:val="none"/>
              </w:rPr>
              <w:t>响应文件提交</w:t>
            </w:r>
            <w:r>
              <w:rPr>
                <w:rFonts w:hint="eastAsia" w:ascii="华文仿宋" w:hAnsi="华文仿宋" w:eastAsia="华文仿宋" w:cs="华文仿宋"/>
                <w:color w:val="auto"/>
                <w:kern w:val="0"/>
                <w:szCs w:val="21"/>
                <w:highlight w:val="none"/>
              </w:rPr>
              <w:t>截止时间</w:t>
            </w:r>
          </w:p>
          <w:p w14:paraId="74970388">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Cs w:val="21"/>
                <w:highlight w:val="none"/>
              </w:rPr>
              <w:t>磋商</w:t>
            </w:r>
            <w:r>
              <w:rPr>
                <w:rFonts w:hint="eastAsia" w:ascii="华文仿宋" w:hAnsi="华文仿宋" w:eastAsia="华文仿宋" w:cs="华文仿宋"/>
                <w:color w:val="auto"/>
                <w:sz w:val="21"/>
                <w:highlight w:val="none"/>
              </w:rPr>
              <w:t>地点：淮滨县为民服务中心四楼第</w:t>
            </w:r>
            <w:r>
              <w:rPr>
                <w:rFonts w:hint="eastAsia" w:ascii="华文仿宋" w:hAnsi="华文仿宋" w:eastAsia="华文仿宋" w:cs="华文仿宋"/>
                <w:color w:val="auto"/>
                <w:sz w:val="21"/>
                <w:highlight w:val="none"/>
                <w:lang w:val="en-US" w:eastAsia="zh-CN"/>
              </w:rPr>
              <w:t>一</w:t>
            </w:r>
            <w:r>
              <w:rPr>
                <w:rFonts w:hint="eastAsia" w:ascii="华文仿宋" w:hAnsi="华文仿宋" w:eastAsia="华文仿宋" w:cs="华文仿宋"/>
                <w:color w:val="auto"/>
                <w:sz w:val="21"/>
                <w:highlight w:val="none"/>
              </w:rPr>
              <w:t xml:space="preserve">开标厅 </w:t>
            </w:r>
          </w:p>
        </w:tc>
      </w:tr>
      <w:tr w14:paraId="70333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1C0D8E18">
            <w:pPr>
              <w:pStyle w:val="58"/>
              <w:keepNext w:val="0"/>
              <w:keepLines w:val="0"/>
              <w:pageBreakBefore w:val="0"/>
              <w:widowControl w:val="0"/>
              <w:kinsoku/>
              <w:wordWrap w:val="0"/>
              <w:overflowPunct/>
              <w:topLinePunct/>
              <w:autoSpaceDE/>
              <w:autoSpaceDN/>
              <w:bidi w:val="0"/>
              <w:adjustRightInd/>
              <w:snapToGrid/>
              <w:spacing w:line="360" w:lineRule="auto"/>
              <w:ind w:right="0" w:firstLine="420" w:firstLineChars="200"/>
              <w:jc w:val="both"/>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6.1</w:t>
            </w:r>
          </w:p>
        </w:tc>
        <w:tc>
          <w:tcPr>
            <w:tcW w:w="2804" w:type="dxa"/>
            <w:tcBorders>
              <w:top w:val="single" w:color="000000" w:sz="4" w:space="0"/>
              <w:left w:val="single" w:color="000000" w:sz="4" w:space="0"/>
              <w:bottom w:val="single" w:color="000000" w:sz="4" w:space="0"/>
              <w:right w:val="single" w:color="000000" w:sz="4" w:space="0"/>
            </w:tcBorders>
            <w:vAlign w:val="center"/>
          </w:tcPr>
          <w:p w14:paraId="23AD08A3">
            <w:pPr>
              <w:pStyle w:val="58"/>
              <w:keepNext w:val="0"/>
              <w:keepLines w:val="0"/>
              <w:pageBreakBefore w:val="0"/>
              <w:widowControl w:val="0"/>
              <w:kinsoku/>
              <w:wordWrap w:val="0"/>
              <w:overflowPunct/>
              <w:topLinePunct/>
              <w:autoSpaceDE/>
              <w:autoSpaceDN/>
              <w:bidi w:val="0"/>
              <w:adjustRightInd/>
              <w:snapToGrid/>
              <w:spacing w:line="288" w:lineRule="auto"/>
              <w:ind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磋商小组的组建</w:t>
            </w:r>
          </w:p>
        </w:tc>
        <w:tc>
          <w:tcPr>
            <w:tcW w:w="6429" w:type="dxa"/>
            <w:tcBorders>
              <w:top w:val="single" w:color="000000" w:sz="4" w:space="0"/>
              <w:left w:val="single" w:color="000000" w:sz="4" w:space="0"/>
              <w:bottom w:val="single" w:color="000000" w:sz="4" w:space="0"/>
              <w:right w:val="single" w:color="000000" w:sz="4" w:space="0"/>
            </w:tcBorders>
            <w:vAlign w:val="center"/>
          </w:tcPr>
          <w:p w14:paraId="0426E297">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磋商小组构成：</w:t>
            </w:r>
            <w:r>
              <w:rPr>
                <w:rFonts w:hint="eastAsia" w:ascii="华文仿宋" w:hAnsi="华文仿宋" w:eastAsia="华文仿宋" w:cs="华文仿宋"/>
                <w:color w:val="auto"/>
                <w:sz w:val="21"/>
                <w:highlight w:val="none"/>
                <w:lang w:val="en-US" w:eastAsia="zh-CN"/>
              </w:rPr>
              <w:t>共</w:t>
            </w:r>
            <w:r>
              <w:rPr>
                <w:rFonts w:hint="eastAsia" w:ascii="华文仿宋" w:hAnsi="华文仿宋" w:eastAsia="华文仿宋" w:cs="华文仿宋"/>
                <w:color w:val="auto"/>
                <w:sz w:val="21"/>
                <w:highlight w:val="none"/>
                <w:u w:val="single"/>
                <w:lang w:val="en-US" w:eastAsia="zh-CN"/>
              </w:rPr>
              <w:t>3</w:t>
            </w:r>
            <w:r>
              <w:rPr>
                <w:rFonts w:hint="eastAsia" w:ascii="华文仿宋" w:hAnsi="华文仿宋" w:eastAsia="华文仿宋" w:cs="华文仿宋"/>
                <w:color w:val="auto"/>
                <w:sz w:val="21"/>
                <w:highlight w:val="none"/>
              </w:rPr>
              <w:t>人</w:t>
            </w:r>
            <w:r>
              <w:rPr>
                <w:rFonts w:hint="eastAsia" w:ascii="华文仿宋" w:hAnsi="华文仿宋" w:eastAsia="华文仿宋" w:cs="华文仿宋"/>
                <w:color w:val="auto"/>
                <w:sz w:val="21"/>
                <w:highlight w:val="none"/>
                <w:lang w:val="en-US" w:eastAsia="zh-CN"/>
              </w:rPr>
              <w:t>组成</w:t>
            </w:r>
            <w:r>
              <w:rPr>
                <w:rFonts w:hint="eastAsia" w:ascii="华文仿宋" w:hAnsi="华文仿宋" w:eastAsia="华文仿宋" w:cs="华文仿宋"/>
                <w:color w:val="auto"/>
                <w:sz w:val="21"/>
                <w:highlight w:val="none"/>
              </w:rPr>
              <w:t>，其中业主评委</w:t>
            </w:r>
            <w:r>
              <w:rPr>
                <w:rFonts w:hint="eastAsia" w:ascii="华文仿宋" w:hAnsi="华文仿宋" w:eastAsia="华文仿宋" w:cs="华文仿宋"/>
                <w:color w:val="auto"/>
                <w:sz w:val="21"/>
                <w:highlight w:val="none"/>
                <w:u w:val="single"/>
                <w:lang w:val="en-US" w:eastAsia="zh-CN"/>
              </w:rPr>
              <w:t>1</w:t>
            </w:r>
            <w:r>
              <w:rPr>
                <w:rFonts w:hint="eastAsia" w:ascii="华文仿宋" w:hAnsi="华文仿宋" w:eastAsia="华文仿宋" w:cs="华文仿宋"/>
                <w:color w:val="auto"/>
                <w:sz w:val="21"/>
                <w:highlight w:val="none"/>
              </w:rPr>
              <w:t>人，技术、经济类专家</w:t>
            </w:r>
            <w:r>
              <w:rPr>
                <w:rFonts w:hint="eastAsia" w:ascii="华文仿宋" w:hAnsi="华文仿宋" w:eastAsia="华文仿宋" w:cs="华文仿宋"/>
                <w:color w:val="auto"/>
                <w:sz w:val="21"/>
                <w:highlight w:val="none"/>
                <w:u w:val="single"/>
                <w:lang w:val="en-US" w:eastAsia="zh-CN"/>
              </w:rPr>
              <w:t>2</w:t>
            </w:r>
            <w:r>
              <w:rPr>
                <w:rFonts w:hint="eastAsia" w:ascii="华文仿宋" w:hAnsi="华文仿宋" w:eastAsia="华文仿宋" w:cs="华文仿宋"/>
                <w:color w:val="auto"/>
                <w:sz w:val="21"/>
                <w:highlight w:val="none"/>
              </w:rPr>
              <w:t>人；专家确定方式：磋商前从政府采购专家库中随机抽取。</w:t>
            </w:r>
          </w:p>
        </w:tc>
      </w:tr>
      <w:tr w14:paraId="093D1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57755E65">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7.1</w:t>
            </w:r>
          </w:p>
        </w:tc>
        <w:tc>
          <w:tcPr>
            <w:tcW w:w="2804" w:type="dxa"/>
            <w:tcBorders>
              <w:top w:val="single" w:color="000000" w:sz="4" w:space="0"/>
              <w:left w:val="single" w:color="000000" w:sz="4" w:space="0"/>
              <w:bottom w:val="single" w:color="000000" w:sz="4" w:space="0"/>
              <w:right w:val="single" w:color="000000" w:sz="4" w:space="0"/>
            </w:tcBorders>
            <w:vAlign w:val="center"/>
          </w:tcPr>
          <w:p w14:paraId="031F0E7E">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是否授权磋商小组确定成交人</w:t>
            </w:r>
          </w:p>
        </w:tc>
        <w:tc>
          <w:tcPr>
            <w:tcW w:w="6429" w:type="dxa"/>
            <w:tcBorders>
              <w:top w:val="single" w:color="000000" w:sz="4" w:space="0"/>
              <w:left w:val="single" w:color="000000" w:sz="4" w:space="0"/>
              <w:bottom w:val="single" w:color="000000" w:sz="4" w:space="0"/>
              <w:right w:val="single" w:color="000000" w:sz="4" w:space="0"/>
            </w:tcBorders>
            <w:vAlign w:val="center"/>
          </w:tcPr>
          <w:p w14:paraId="4A37E63A">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否；推荐的成交候选人数：3 名</w:t>
            </w:r>
          </w:p>
        </w:tc>
      </w:tr>
      <w:tr w14:paraId="410567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1090" w:type="dxa"/>
            <w:tcBorders>
              <w:top w:val="single" w:color="000000" w:sz="4" w:space="0"/>
              <w:left w:val="single" w:color="000000" w:sz="4" w:space="0"/>
              <w:bottom w:val="single" w:color="000000" w:sz="4" w:space="0"/>
              <w:right w:val="single" w:color="000000" w:sz="4" w:space="0"/>
            </w:tcBorders>
            <w:vAlign w:val="center"/>
          </w:tcPr>
          <w:p w14:paraId="12C2D6A2">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7.3</w:t>
            </w:r>
          </w:p>
        </w:tc>
        <w:tc>
          <w:tcPr>
            <w:tcW w:w="2804" w:type="dxa"/>
            <w:tcBorders>
              <w:top w:val="single" w:color="000000" w:sz="4" w:space="0"/>
              <w:left w:val="single" w:color="000000" w:sz="4" w:space="0"/>
              <w:bottom w:val="single" w:color="000000" w:sz="4" w:space="0"/>
              <w:right w:val="single" w:color="000000" w:sz="4" w:space="0"/>
            </w:tcBorders>
            <w:vAlign w:val="center"/>
          </w:tcPr>
          <w:p w14:paraId="2EF086C7">
            <w:pPr>
              <w:pStyle w:val="58"/>
              <w:keepNext w:val="0"/>
              <w:keepLines w:val="0"/>
              <w:pageBreakBefore w:val="0"/>
              <w:widowControl w:val="0"/>
              <w:kinsoku/>
              <w:wordWrap w:val="0"/>
              <w:overflowPunct/>
              <w:topLinePunct/>
              <w:autoSpaceDE/>
              <w:autoSpaceDN/>
              <w:bidi w:val="0"/>
              <w:adjustRightInd/>
              <w:snapToGrid/>
              <w:spacing w:line="288" w:lineRule="auto"/>
              <w:ind w:left="0" w:leftChars="0" w:right="0" w:firstLine="1050" w:firstLineChars="500"/>
              <w:jc w:val="both"/>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履约保证金</w:t>
            </w:r>
          </w:p>
        </w:tc>
        <w:tc>
          <w:tcPr>
            <w:tcW w:w="6429" w:type="dxa"/>
            <w:tcBorders>
              <w:top w:val="single" w:color="000000" w:sz="4" w:space="0"/>
              <w:left w:val="single" w:color="000000" w:sz="4" w:space="0"/>
              <w:bottom w:val="single" w:color="000000" w:sz="4" w:space="0"/>
              <w:right w:val="single" w:color="000000" w:sz="4" w:space="0"/>
            </w:tcBorders>
            <w:vAlign w:val="center"/>
          </w:tcPr>
          <w:p w14:paraId="2B2EB920">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无</w:t>
            </w:r>
          </w:p>
        </w:tc>
      </w:tr>
      <w:tr w14:paraId="60C18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323" w:type="dxa"/>
            <w:gridSpan w:val="3"/>
            <w:vAlign w:val="center"/>
          </w:tcPr>
          <w:p w14:paraId="4B9857A5">
            <w:pPr>
              <w:keepNext w:val="0"/>
              <w:keepLines w:val="0"/>
              <w:pageBreakBefore w:val="0"/>
              <w:widowControl w:val="0"/>
              <w:kinsoku/>
              <w:wordWrap w:val="0"/>
              <w:overflowPunct/>
              <w:topLinePunct/>
              <w:autoSpaceDE/>
              <w:autoSpaceDN/>
              <w:bidi w:val="0"/>
              <w:adjustRightInd/>
              <w:snapToGrid/>
              <w:spacing w:after="0" w:line="288" w:lineRule="auto"/>
              <w:ind w:left="63" w:leftChars="30" w:right="0" w:firstLine="0" w:firstLine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需要补充的其他内容</w:t>
            </w:r>
          </w:p>
        </w:tc>
      </w:tr>
      <w:tr w14:paraId="3F03C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0" w:type="dxa"/>
            <w:vAlign w:val="center"/>
          </w:tcPr>
          <w:p w14:paraId="2CEAA70F">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解释权</w:t>
            </w:r>
          </w:p>
        </w:tc>
        <w:tc>
          <w:tcPr>
            <w:tcW w:w="9233" w:type="dxa"/>
            <w:gridSpan w:val="2"/>
            <w:vAlign w:val="center"/>
          </w:tcPr>
          <w:p w14:paraId="3645F267">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highlight w:val="none"/>
              </w:rPr>
              <w:t>构成本磋商文件的各个组成文件应互为解释，互为说明；如有不明确或不一致， 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09CC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0" w:type="dxa"/>
            <w:vAlign w:val="center"/>
          </w:tcPr>
          <w:p w14:paraId="2C444E91">
            <w:pPr>
              <w:keepNext w:val="0"/>
              <w:keepLines w:val="0"/>
              <w:pageBreakBefore w:val="0"/>
              <w:widowControl w:val="0"/>
              <w:kinsoku/>
              <w:overflowPunct/>
              <w:autoSpaceDE w:val="0"/>
              <w:autoSpaceDN w:val="0"/>
              <w:bidi w:val="0"/>
              <w:adjustRightInd w:val="0"/>
              <w:snapToGrid/>
              <w:spacing w:line="360" w:lineRule="auto"/>
              <w:jc w:val="center"/>
              <w:textAlignment w:val="auto"/>
              <w:rPr>
                <w:rFonts w:hint="eastAsia" w:ascii="华文仿宋" w:hAnsi="华文仿宋" w:eastAsia="华文仿宋" w:cs="华文仿宋"/>
                <w:b/>
                <w:bCs/>
                <w:color w:val="auto"/>
                <w:kern w:val="2"/>
                <w:sz w:val="21"/>
                <w:szCs w:val="21"/>
                <w:highlight w:val="none"/>
                <w:lang w:val="en-US" w:eastAsia="zh-CN" w:bidi="ar-SA"/>
              </w:rPr>
            </w:pPr>
            <w:r>
              <w:rPr>
                <w:rFonts w:hint="eastAsia" w:ascii="华文仿宋" w:hAnsi="华文仿宋" w:eastAsia="华文仿宋" w:cs="华文仿宋"/>
                <w:color w:val="auto"/>
                <w:kern w:val="0"/>
                <w:sz w:val="21"/>
                <w:szCs w:val="21"/>
              </w:rPr>
              <w:t>标书雷同性分析</w:t>
            </w:r>
          </w:p>
        </w:tc>
        <w:tc>
          <w:tcPr>
            <w:tcW w:w="9233" w:type="dxa"/>
            <w:gridSpan w:val="2"/>
            <w:vAlign w:val="center"/>
          </w:tcPr>
          <w:p w14:paraId="5AACC0D0">
            <w:pPr>
              <w:keepNext w:val="0"/>
              <w:keepLines w:val="0"/>
              <w:pageBreakBefore w:val="0"/>
              <w:widowControl w:val="0"/>
              <w:kinsoku/>
              <w:overflowPunct/>
              <w:autoSpaceDE w:val="0"/>
              <w:autoSpaceDN w:val="0"/>
              <w:bidi w:val="0"/>
              <w:adjustRightInd w:val="0"/>
              <w:snapToGrid/>
              <w:spacing w:line="288" w:lineRule="auto"/>
              <w:textAlignment w:val="auto"/>
              <w:rPr>
                <w:rFonts w:hint="eastAsia" w:ascii="华文仿宋" w:hAnsi="华文仿宋" w:eastAsia="华文仿宋" w:cs="华文仿宋"/>
                <w:b/>
                <w:bCs/>
                <w:color w:val="auto"/>
                <w:kern w:val="2"/>
                <w:sz w:val="21"/>
                <w:szCs w:val="21"/>
                <w:highlight w:val="none"/>
                <w:lang w:val="en-US" w:eastAsia="zh-CN" w:bidi="ar-SA"/>
              </w:rPr>
            </w:pPr>
            <w:r>
              <w:rPr>
                <w:rFonts w:hint="eastAsia" w:ascii="华文仿宋" w:hAnsi="华文仿宋" w:eastAsia="华文仿宋" w:cs="华文仿宋"/>
                <w:color w:val="auto"/>
                <w:kern w:val="0"/>
                <w:sz w:val="21"/>
                <w:szCs w:val="21"/>
              </w:rPr>
              <w:t>文件制作机器码、文件创建标识码有相同的按废标处理。</w:t>
            </w:r>
          </w:p>
        </w:tc>
      </w:tr>
      <w:tr w14:paraId="01024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90" w:type="dxa"/>
            <w:vAlign w:val="center"/>
          </w:tcPr>
          <w:p w14:paraId="06C7984B">
            <w:pPr>
              <w:pStyle w:val="58"/>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招标费用</w:t>
            </w:r>
          </w:p>
        </w:tc>
        <w:tc>
          <w:tcPr>
            <w:tcW w:w="9233" w:type="dxa"/>
            <w:gridSpan w:val="2"/>
            <w:vAlign w:val="center"/>
          </w:tcPr>
          <w:p w14:paraId="41780A19">
            <w:pPr>
              <w:pStyle w:val="58"/>
              <w:keepNext w:val="0"/>
              <w:keepLines w:val="0"/>
              <w:pageBreakBefore w:val="0"/>
              <w:widowControl w:val="0"/>
              <w:numPr>
                <w:ilvl w:val="0"/>
                <w:numId w:val="0"/>
              </w:numPr>
              <w:kinsoku/>
              <w:wordWrap w:val="0"/>
              <w:overflowPunct/>
              <w:topLinePunct/>
              <w:autoSpaceDE/>
              <w:autoSpaceDN/>
              <w:bidi w:val="0"/>
              <w:adjustRightInd/>
              <w:snapToGrid/>
              <w:spacing w:line="288" w:lineRule="auto"/>
              <w:ind w:leftChars="0" w:right="0" w:rightChars="0"/>
              <w:jc w:val="left"/>
              <w:textAlignment w:val="auto"/>
              <w:rPr>
                <w:rFonts w:hint="eastAsia" w:ascii="华文仿宋" w:hAnsi="华文仿宋" w:eastAsia="华文仿宋" w:cs="华文仿宋"/>
                <w:color w:val="auto"/>
                <w:sz w:val="21"/>
                <w:highlight w:val="none"/>
              </w:rPr>
            </w:pPr>
            <w:r>
              <w:rPr>
                <w:rFonts w:hint="eastAsia" w:ascii="华文仿宋" w:hAnsi="华文仿宋" w:eastAsia="华文仿宋" w:cs="华文仿宋"/>
                <w:color w:val="auto"/>
                <w:sz w:val="21"/>
                <w:highlight w:val="none"/>
              </w:rPr>
              <w:t>参照《河南省招标代理服务收费指导意见》豫招协【2023】002号文件的规定收取代理费用。</w:t>
            </w:r>
          </w:p>
        </w:tc>
      </w:tr>
      <w:tr w14:paraId="29C94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0" w:type="dxa"/>
            <w:vAlign w:val="center"/>
          </w:tcPr>
          <w:p w14:paraId="79A5AF02">
            <w:pPr>
              <w:pStyle w:val="58"/>
              <w:keepNext w:val="0"/>
              <w:keepLines w:val="0"/>
              <w:pageBreakBefore w:val="0"/>
              <w:widowControl w:val="0"/>
              <w:kinsoku/>
              <w:wordWrap w:val="0"/>
              <w:overflowPunct/>
              <w:topLinePunct/>
              <w:autoSpaceDE/>
              <w:autoSpaceDN/>
              <w:bidi w:val="0"/>
              <w:adjustRightInd/>
              <w:snapToGrid/>
              <w:spacing w:line="360" w:lineRule="auto"/>
              <w:ind w:left="63" w:leftChars="30" w:right="0" w:firstLine="0" w:firstLineChars="0"/>
              <w:jc w:val="center"/>
              <w:textAlignment w:val="auto"/>
              <w:rPr>
                <w:rFonts w:hint="eastAsia" w:ascii="华文仿宋" w:hAnsi="华文仿宋" w:eastAsia="华文仿宋" w:cs="华文仿宋"/>
                <w:b w:val="0"/>
                <w:bCs w:val="0"/>
                <w:color w:val="auto"/>
                <w:szCs w:val="21"/>
                <w:highlight w:val="none"/>
                <w:lang w:val="en-US" w:eastAsia="zh-CN"/>
              </w:rPr>
            </w:pPr>
            <w:r>
              <w:rPr>
                <w:rFonts w:hint="eastAsia" w:ascii="华文仿宋" w:hAnsi="华文仿宋" w:eastAsia="华文仿宋" w:cs="华文仿宋"/>
                <w:b w:val="0"/>
                <w:bCs w:val="0"/>
                <w:color w:val="auto"/>
                <w:szCs w:val="21"/>
                <w:highlight w:val="none"/>
                <w:lang w:val="en-US" w:eastAsia="zh-CN"/>
              </w:rPr>
              <w:t>所属行业</w:t>
            </w:r>
          </w:p>
        </w:tc>
        <w:tc>
          <w:tcPr>
            <w:tcW w:w="9233" w:type="dxa"/>
            <w:gridSpan w:val="2"/>
            <w:vAlign w:val="center"/>
          </w:tcPr>
          <w:p w14:paraId="3617AD4E">
            <w:pPr>
              <w:pStyle w:val="58"/>
              <w:keepNext w:val="0"/>
              <w:keepLines w:val="0"/>
              <w:pageBreakBefore w:val="0"/>
              <w:widowControl w:val="0"/>
              <w:kinsoku/>
              <w:wordWrap w:val="0"/>
              <w:overflowPunct/>
              <w:topLinePunct/>
              <w:autoSpaceDE/>
              <w:autoSpaceDN/>
              <w:bidi w:val="0"/>
              <w:adjustRightInd/>
              <w:snapToGrid/>
              <w:spacing w:line="288" w:lineRule="auto"/>
              <w:ind w:left="63" w:leftChars="30" w:right="0" w:firstLine="0" w:firstLineChars="0"/>
              <w:jc w:val="left"/>
              <w:textAlignment w:val="auto"/>
              <w:rPr>
                <w:rFonts w:hint="eastAsia" w:ascii="华文仿宋" w:hAnsi="华文仿宋" w:eastAsia="华文仿宋" w:cs="华文仿宋"/>
                <w:b w:val="0"/>
                <w:bCs w:val="0"/>
                <w:color w:val="auto"/>
                <w:szCs w:val="21"/>
                <w:highlight w:val="none"/>
                <w:lang w:val="en-US" w:eastAsia="zh-CN"/>
              </w:rPr>
            </w:pPr>
            <w:r>
              <w:rPr>
                <w:rFonts w:hint="eastAsia" w:ascii="华文仿宋" w:hAnsi="华文仿宋" w:eastAsia="华文仿宋" w:cs="华文仿宋"/>
                <w:b w:val="0"/>
                <w:bCs w:val="0"/>
                <w:color w:val="auto"/>
                <w:szCs w:val="21"/>
                <w:highlight w:val="none"/>
                <w:lang w:val="en-US" w:eastAsia="zh-CN"/>
              </w:rPr>
              <w:t>其他未列明行业</w:t>
            </w:r>
          </w:p>
        </w:tc>
      </w:tr>
    </w:tbl>
    <w:p w14:paraId="5DC82553">
      <w:pPr>
        <w:pageBreakBefore w:val="0"/>
        <w:kinsoku/>
        <w:wordWrap w:val="0"/>
        <w:overflowPunct/>
        <w:topLinePunct/>
        <w:bidi w:val="0"/>
        <w:spacing w:line="360" w:lineRule="auto"/>
        <w:rPr>
          <w:rFonts w:hint="eastAsia" w:ascii="华文仿宋" w:hAnsi="华文仿宋" w:eastAsia="华文仿宋" w:cs="华文仿宋"/>
          <w:color w:val="auto"/>
          <w:sz w:val="24"/>
          <w:szCs w:val="24"/>
          <w:highlight w:val="none"/>
        </w:rPr>
      </w:pPr>
    </w:p>
    <w:p w14:paraId="5E2BE64E">
      <w:pPr>
        <w:pStyle w:val="69"/>
        <w:pageBreakBefore w:val="0"/>
        <w:widowControl w:val="0"/>
        <w:kinsoku/>
        <w:wordWrap w:val="0"/>
        <w:overflowPunct/>
        <w:topLinePunct/>
        <w:autoSpaceDE/>
        <w:autoSpaceDN/>
        <w:bidi w:val="0"/>
        <w:snapToGrid/>
        <w:spacing w:before="0" w:beforeLines="0" w:line="288" w:lineRule="auto"/>
        <w:outlineLvl w:val="1"/>
        <w:rPr>
          <w:rFonts w:hint="eastAsia" w:ascii="华文仿宋" w:hAnsi="华文仿宋" w:eastAsia="华文仿宋" w:cs="华文仿宋"/>
          <w:color w:val="auto"/>
          <w:sz w:val="21"/>
          <w:szCs w:val="21"/>
          <w:highlight w:val="none"/>
        </w:rPr>
      </w:pPr>
      <w:bookmarkStart w:id="2" w:name="_Toc152045529"/>
      <w:bookmarkStart w:id="3" w:name="_Toc455080108"/>
      <w:bookmarkStart w:id="4" w:name="_Toc144974497"/>
      <w:bookmarkStart w:id="5" w:name="_Toc152042305"/>
      <w:bookmarkStart w:id="6" w:name="_Toc10694"/>
      <w:bookmarkStart w:id="7" w:name="_Toc27685"/>
      <w:bookmarkStart w:id="8" w:name="_Toc466298091"/>
      <w:r>
        <w:rPr>
          <w:rFonts w:hint="eastAsia" w:ascii="华文仿宋" w:hAnsi="华文仿宋" w:eastAsia="华文仿宋" w:cs="华文仿宋"/>
          <w:b/>
          <w:bCs/>
          <w:color w:val="auto"/>
          <w:sz w:val="24"/>
          <w:szCs w:val="24"/>
          <w:highlight w:val="none"/>
        </w:rPr>
        <w:t>1</w:t>
      </w:r>
      <w:r>
        <w:rPr>
          <w:rFonts w:hint="eastAsia" w:ascii="华文仿宋" w:hAnsi="华文仿宋" w:eastAsia="华文仿宋" w:cs="华文仿宋"/>
          <w:b/>
          <w:bCs/>
          <w:color w:val="auto"/>
          <w:sz w:val="21"/>
          <w:szCs w:val="21"/>
          <w:highlight w:val="none"/>
        </w:rPr>
        <w:t>. 总则</w:t>
      </w:r>
      <w:bookmarkEnd w:id="2"/>
      <w:bookmarkEnd w:id="3"/>
      <w:bookmarkEnd w:id="4"/>
      <w:bookmarkEnd w:id="5"/>
      <w:bookmarkEnd w:id="6"/>
      <w:bookmarkEnd w:id="7"/>
      <w:bookmarkEnd w:id="8"/>
    </w:p>
    <w:p w14:paraId="49AA6E0B">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9" w:name="_Toc490667828"/>
      <w:bookmarkStart w:id="10" w:name="_Toc455080109"/>
      <w:bookmarkStart w:id="11" w:name="_Toc1172"/>
      <w:bookmarkStart w:id="12" w:name="_Toc6747"/>
      <w:bookmarkStart w:id="13" w:name="_Toc10273"/>
      <w:bookmarkStart w:id="14" w:name="_Toc466298092"/>
      <w:bookmarkStart w:id="15" w:name="_Toc29023"/>
      <w:bookmarkStart w:id="16" w:name="_Toc274409866"/>
      <w:bookmarkStart w:id="17" w:name="_Toc2810"/>
      <w:bookmarkStart w:id="18" w:name="_Toc318450675"/>
      <w:bookmarkStart w:id="19" w:name="_Toc658"/>
      <w:bookmarkStart w:id="20" w:name="_Toc20827"/>
      <w:bookmarkStart w:id="21" w:name="_Toc455867769"/>
      <w:bookmarkStart w:id="22" w:name="_Toc281380952"/>
      <w:bookmarkStart w:id="23" w:name="_Toc21458"/>
      <w:bookmarkStart w:id="24" w:name="_Toc15709"/>
      <w:bookmarkStart w:id="25" w:name="_Toc21266"/>
      <w:bookmarkStart w:id="26" w:name="_Toc31404"/>
      <w:bookmarkStart w:id="27" w:name="_Toc144974499"/>
      <w:bookmarkStart w:id="28" w:name="_Toc152042307"/>
      <w:bookmarkStart w:id="29" w:name="_Toc152045531"/>
      <w:r>
        <w:rPr>
          <w:rFonts w:hint="eastAsia" w:ascii="华文仿宋" w:hAnsi="华文仿宋" w:eastAsia="华文仿宋" w:cs="华文仿宋"/>
          <w:b/>
          <w:bCs/>
          <w:color w:val="auto"/>
          <w:sz w:val="21"/>
          <w:szCs w:val="21"/>
          <w:highlight w:val="none"/>
        </w:rPr>
        <w:t>1.1 适用范围</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5FA7FEE">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1.1.1根据《中华人民共和国政府采购法》等有关法律、法规和规章的规定，编制本项目磋商文件。</w:t>
      </w:r>
    </w:p>
    <w:p w14:paraId="59031A46">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30" w:name="_Toc318450676"/>
      <w:bookmarkStart w:id="31" w:name="_Toc7237"/>
      <w:bookmarkStart w:id="32" w:name="_Toc24852"/>
      <w:bookmarkStart w:id="33" w:name="_Toc710"/>
      <w:bookmarkStart w:id="34" w:name="_Toc32619"/>
      <w:bookmarkStart w:id="35" w:name="_Toc16847"/>
      <w:bookmarkStart w:id="36" w:name="_Toc3336"/>
      <w:bookmarkStart w:id="37" w:name="_Toc281405468"/>
      <w:bookmarkStart w:id="38" w:name="_Toc30891"/>
      <w:bookmarkStart w:id="39" w:name="_Toc10556"/>
      <w:bookmarkStart w:id="40" w:name="_Toc10269"/>
      <w:bookmarkStart w:id="41" w:name="_Toc466298093"/>
      <w:bookmarkStart w:id="42" w:name="_Toc455867770"/>
      <w:bookmarkStart w:id="43" w:name="_Toc25773"/>
      <w:bookmarkStart w:id="44" w:name="_Toc455080110"/>
      <w:bookmarkStart w:id="45" w:name="_Toc274409867"/>
      <w:bookmarkStart w:id="46" w:name="_Toc2929"/>
      <w:bookmarkStart w:id="47" w:name="_Toc490667829"/>
      <w:r>
        <w:rPr>
          <w:rFonts w:hint="eastAsia" w:ascii="华文仿宋" w:hAnsi="华文仿宋" w:eastAsia="华文仿宋" w:cs="华文仿宋"/>
          <w:b/>
          <w:bCs/>
          <w:color w:val="auto"/>
          <w:sz w:val="21"/>
          <w:szCs w:val="21"/>
          <w:highlight w:val="none"/>
        </w:rPr>
        <w:t>1.2 招标项目说明</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063F7F6">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1.2.1 本项目采购人：见供应商须知前附表。</w:t>
      </w:r>
    </w:p>
    <w:p w14:paraId="4EB28251">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1.2.2 本项目采购代理机构：见供应商须知前附表。</w:t>
      </w:r>
    </w:p>
    <w:p w14:paraId="75CACD8F">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1.2.3 本项目名称：见供应商须知前附表。</w:t>
      </w:r>
    </w:p>
    <w:p w14:paraId="499188E4">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lang w:val="en-US" w:eastAsia="zh-CN"/>
        </w:rPr>
      </w:pPr>
      <w:r>
        <w:rPr>
          <w:rFonts w:hint="eastAsia" w:ascii="华文仿宋" w:hAnsi="华文仿宋" w:eastAsia="华文仿宋" w:cs="华文仿宋"/>
          <w:color w:val="auto"/>
          <w:szCs w:val="21"/>
          <w:highlight w:val="none"/>
          <w:lang w:val="en-US" w:eastAsia="zh-CN"/>
        </w:rPr>
        <w:t>1.2.4本项目采购方式</w:t>
      </w:r>
      <w:r>
        <w:rPr>
          <w:rFonts w:hint="eastAsia" w:ascii="华文仿宋" w:hAnsi="华文仿宋" w:eastAsia="华文仿宋" w:cs="华文仿宋"/>
          <w:color w:val="auto"/>
          <w:szCs w:val="21"/>
          <w:highlight w:val="none"/>
        </w:rPr>
        <w:t>：见供应商须知前附表。</w:t>
      </w:r>
    </w:p>
    <w:p w14:paraId="47D5C92A">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lang w:val="en-US" w:eastAsia="zh-CN"/>
        </w:rPr>
      </w:pPr>
      <w:r>
        <w:rPr>
          <w:rFonts w:hint="eastAsia" w:ascii="华文仿宋" w:hAnsi="华文仿宋" w:eastAsia="华文仿宋" w:cs="华文仿宋"/>
          <w:color w:val="auto"/>
          <w:szCs w:val="21"/>
          <w:highlight w:val="none"/>
          <w:lang w:val="en-US" w:eastAsia="zh-CN"/>
        </w:rPr>
        <w:t>1.2.5本项目预算价（最高限价）</w:t>
      </w:r>
      <w:r>
        <w:rPr>
          <w:rFonts w:hint="eastAsia" w:ascii="华文仿宋" w:hAnsi="华文仿宋" w:eastAsia="华文仿宋" w:cs="华文仿宋"/>
          <w:color w:val="auto"/>
          <w:szCs w:val="21"/>
          <w:highlight w:val="none"/>
        </w:rPr>
        <w:t>：见供应商须知前附表。</w:t>
      </w:r>
    </w:p>
    <w:p w14:paraId="1371A05B">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48" w:name="_Toc17016"/>
      <w:bookmarkStart w:id="49" w:name="_Toc17146"/>
      <w:bookmarkStart w:id="50" w:name="_Toc1373"/>
      <w:bookmarkStart w:id="51" w:name="_Toc490667830"/>
      <w:bookmarkStart w:id="52" w:name="_Toc16931"/>
      <w:bookmarkStart w:id="53" w:name="_Toc466298094"/>
      <w:bookmarkStart w:id="54" w:name="_Toc281405469"/>
      <w:bookmarkStart w:id="55" w:name="_Toc4952"/>
      <w:bookmarkStart w:id="56" w:name="_Toc4563"/>
      <w:bookmarkStart w:id="57" w:name="_Toc3477"/>
      <w:bookmarkStart w:id="58" w:name="_Toc17856"/>
      <w:bookmarkStart w:id="59" w:name="_Toc18960"/>
      <w:bookmarkStart w:id="60" w:name="_Toc455867771"/>
      <w:bookmarkStart w:id="61" w:name="_Toc4122"/>
      <w:bookmarkStart w:id="62" w:name="_Toc22979"/>
      <w:bookmarkStart w:id="63" w:name="_Toc318450677"/>
      <w:bookmarkStart w:id="64" w:name="_Toc274409868"/>
      <w:bookmarkStart w:id="65" w:name="_Toc455080111"/>
      <w:r>
        <w:rPr>
          <w:rFonts w:hint="eastAsia" w:ascii="华文仿宋" w:hAnsi="华文仿宋" w:eastAsia="华文仿宋" w:cs="华文仿宋"/>
          <w:b/>
          <w:bCs/>
          <w:color w:val="auto"/>
          <w:sz w:val="21"/>
          <w:szCs w:val="21"/>
          <w:highlight w:val="none"/>
        </w:rPr>
        <w:t>1.3 定义及解释</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C3E32BA">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1.3.1采购人：依法进行政府采购的国家机关、事业单位、团体组织。</w:t>
      </w:r>
    </w:p>
    <w:p w14:paraId="09091481">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1.3.2采购代理机构：取得政府采购招标代理资质，受采购人委托组织招标活动的社会中介组织。</w:t>
      </w:r>
    </w:p>
    <w:p w14:paraId="6A6AB0EB">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1.3.3服务：系指根据本磋商文件规定供应商须承担的服务以及其他类似的义务等。</w:t>
      </w:r>
    </w:p>
    <w:p w14:paraId="4E228C1E">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1.3.4供应商：供应商是响应磋商文件、参加磋商竞争的中华人民共和国境内的法人、其它组织。</w:t>
      </w:r>
    </w:p>
    <w:p w14:paraId="4984DE0F">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1.3.5响应文件：指供应商根据</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提交的所有文件。</w:t>
      </w:r>
    </w:p>
    <w:p w14:paraId="0ED55BBB">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1.3.6磋商小组：依据</w:t>
      </w:r>
      <w:r>
        <w:rPr>
          <w:rFonts w:hint="eastAsia" w:ascii="华文仿宋" w:hAnsi="华文仿宋" w:eastAsia="华文仿宋" w:cs="华文仿宋"/>
          <w:color w:val="auto"/>
          <w:szCs w:val="21"/>
          <w:highlight w:val="none"/>
          <w:lang w:bidi="en-US"/>
        </w:rPr>
        <w:t>《中华人民共和国政府采购法》及有关法律、法规的规定依法组建的专门负责本次评标工作的临时机构</w:t>
      </w:r>
      <w:r>
        <w:rPr>
          <w:rFonts w:hint="eastAsia" w:ascii="华文仿宋" w:hAnsi="华文仿宋" w:eastAsia="华文仿宋" w:cs="华文仿宋"/>
          <w:color w:val="auto"/>
          <w:szCs w:val="21"/>
          <w:highlight w:val="none"/>
        </w:rPr>
        <w:t>。</w:t>
      </w:r>
    </w:p>
    <w:p w14:paraId="6D18E75F">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1.3.7偏离：响应文件的响应相对于</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要求的偏差，该偏差优于</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要求的为正偏离；劣于的，为负偏离。</w:t>
      </w:r>
    </w:p>
    <w:p w14:paraId="214B6198">
      <w:pPr>
        <w:pageBreakBefore w:val="0"/>
        <w:widowControl w:val="0"/>
        <w:kinsoku/>
        <w:wordWrap w:val="0"/>
        <w:overflowPunct/>
        <w:topLinePunct/>
        <w:autoSpaceDE/>
        <w:autoSpaceDN/>
        <w:bidi w:val="0"/>
        <w:snapToGrid/>
        <w:spacing w:line="288" w:lineRule="auto"/>
        <w:ind w:firstLine="420" w:firstLineChars="200"/>
        <w:outlineLvl w:val="3"/>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1.3.8“日期”或“天”：指日历天。</w:t>
      </w:r>
    </w:p>
    <w:p w14:paraId="2BD7A6EC">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1.3.9合同：指依据本次服务采购招标结果签订的协议或合约文件。</w:t>
      </w:r>
    </w:p>
    <w:p w14:paraId="4718C157">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1.3.10</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中的标题或题名仅起引导作用，而不应视为对</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内容的理解和解释。</w:t>
      </w:r>
    </w:p>
    <w:bookmarkEnd w:id="27"/>
    <w:bookmarkEnd w:id="28"/>
    <w:bookmarkEnd w:id="29"/>
    <w:p w14:paraId="2E0E4D61">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66" w:name="_Toc152042308"/>
      <w:bookmarkStart w:id="67" w:name="_Toc455867772"/>
      <w:bookmarkStart w:id="68" w:name="_Toc10894"/>
      <w:bookmarkStart w:id="69" w:name="_Toc17808"/>
      <w:bookmarkStart w:id="70" w:name="_Toc17908"/>
      <w:bookmarkStart w:id="71" w:name="_Toc455080112"/>
      <w:bookmarkStart w:id="72" w:name="_Toc22866"/>
      <w:bookmarkStart w:id="73" w:name="_Toc490667831"/>
      <w:bookmarkStart w:id="74" w:name="_Toc32236"/>
      <w:bookmarkStart w:id="75" w:name="_Toc19363"/>
      <w:bookmarkStart w:id="76" w:name="_Toc318450678"/>
      <w:bookmarkStart w:id="77" w:name="_Toc14043"/>
      <w:bookmarkStart w:id="78" w:name="_Toc27407"/>
      <w:bookmarkStart w:id="79" w:name="_Toc152045532"/>
      <w:bookmarkStart w:id="80" w:name="_Toc21766"/>
      <w:bookmarkStart w:id="81" w:name="_Toc12752"/>
      <w:bookmarkStart w:id="82" w:name="_Toc16470"/>
      <w:bookmarkStart w:id="83" w:name="_Toc144974500"/>
      <w:bookmarkStart w:id="84" w:name="_Toc466298095"/>
      <w:r>
        <w:rPr>
          <w:rFonts w:hint="eastAsia" w:ascii="华文仿宋" w:hAnsi="华文仿宋" w:eastAsia="华文仿宋" w:cs="华文仿宋"/>
          <w:b/>
          <w:bCs/>
          <w:color w:val="auto"/>
          <w:sz w:val="21"/>
          <w:szCs w:val="21"/>
          <w:highlight w:val="none"/>
        </w:rPr>
        <w:t xml:space="preserve">1.4 </w:t>
      </w:r>
      <w:r>
        <w:rPr>
          <w:rFonts w:hint="eastAsia" w:ascii="华文仿宋" w:hAnsi="华文仿宋" w:eastAsia="华文仿宋" w:cs="华文仿宋"/>
          <w:b/>
          <w:bCs/>
          <w:color w:val="auto"/>
          <w:sz w:val="21"/>
          <w:szCs w:val="21"/>
          <w:highlight w:val="none"/>
          <w:lang w:eastAsia="zh-CN"/>
        </w:rPr>
        <w:t>磋商内容、合同履行期限</w:t>
      </w:r>
      <w:r>
        <w:rPr>
          <w:rFonts w:hint="eastAsia" w:ascii="华文仿宋" w:hAnsi="华文仿宋" w:eastAsia="华文仿宋" w:cs="华文仿宋"/>
          <w:b/>
          <w:bCs/>
          <w:color w:val="auto"/>
          <w:sz w:val="21"/>
          <w:szCs w:val="21"/>
          <w:highlight w:val="none"/>
        </w:rPr>
        <w:t>和质量要求</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88785B0">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1.4.1 本次</w:t>
      </w:r>
      <w:r>
        <w:rPr>
          <w:rFonts w:hint="eastAsia" w:ascii="华文仿宋" w:hAnsi="华文仿宋" w:eastAsia="华文仿宋" w:cs="华文仿宋"/>
          <w:color w:val="auto"/>
          <w:szCs w:val="21"/>
          <w:highlight w:val="none"/>
          <w:lang w:eastAsia="zh-CN"/>
        </w:rPr>
        <w:t>磋商内容</w:t>
      </w:r>
      <w:r>
        <w:rPr>
          <w:rFonts w:hint="eastAsia" w:ascii="华文仿宋" w:hAnsi="华文仿宋" w:eastAsia="华文仿宋" w:cs="华文仿宋"/>
          <w:color w:val="auto"/>
          <w:szCs w:val="21"/>
          <w:highlight w:val="none"/>
        </w:rPr>
        <w:t>：见供应商须知前附表。</w:t>
      </w:r>
    </w:p>
    <w:p w14:paraId="55378A02">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1.4.2 本项目的</w:t>
      </w:r>
      <w:r>
        <w:rPr>
          <w:rFonts w:hint="eastAsia" w:ascii="华文仿宋" w:hAnsi="华文仿宋" w:eastAsia="华文仿宋" w:cs="华文仿宋"/>
          <w:color w:val="auto"/>
          <w:szCs w:val="21"/>
          <w:highlight w:val="none"/>
          <w:lang w:eastAsia="zh-CN"/>
        </w:rPr>
        <w:t>合同履行期限</w:t>
      </w:r>
      <w:r>
        <w:rPr>
          <w:rFonts w:hint="eastAsia" w:ascii="华文仿宋" w:hAnsi="华文仿宋" w:eastAsia="华文仿宋" w:cs="华文仿宋"/>
          <w:color w:val="auto"/>
          <w:szCs w:val="21"/>
          <w:highlight w:val="none"/>
        </w:rPr>
        <w:t>：见供应商须知前附表。</w:t>
      </w:r>
    </w:p>
    <w:p w14:paraId="41CEB5BC">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1.4.</w:t>
      </w:r>
      <w:r>
        <w:rPr>
          <w:rFonts w:hint="eastAsia" w:ascii="华文仿宋" w:hAnsi="华文仿宋" w:eastAsia="华文仿宋" w:cs="华文仿宋"/>
          <w:color w:val="auto"/>
          <w:szCs w:val="21"/>
          <w:highlight w:val="none"/>
          <w:lang w:val="en-US" w:eastAsia="zh-CN"/>
        </w:rPr>
        <w:t>3</w:t>
      </w:r>
      <w:r>
        <w:rPr>
          <w:rFonts w:hint="eastAsia" w:ascii="华文仿宋" w:hAnsi="华文仿宋" w:eastAsia="华文仿宋" w:cs="华文仿宋"/>
          <w:color w:val="auto"/>
          <w:szCs w:val="21"/>
          <w:highlight w:val="none"/>
        </w:rPr>
        <w:t>本项目的质量要求：见供应商须知前附表。</w:t>
      </w:r>
    </w:p>
    <w:p w14:paraId="27E18BA9">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lang w:val="en-US" w:eastAsia="zh-CN"/>
        </w:rPr>
        <w:t>1.4.4付款方式：</w:t>
      </w:r>
      <w:r>
        <w:rPr>
          <w:rFonts w:hint="eastAsia" w:ascii="华文仿宋" w:hAnsi="华文仿宋" w:eastAsia="华文仿宋" w:cs="华文仿宋"/>
          <w:color w:val="auto"/>
          <w:szCs w:val="21"/>
          <w:highlight w:val="none"/>
        </w:rPr>
        <w:t>见供应商须知前附表。</w:t>
      </w:r>
    </w:p>
    <w:p w14:paraId="41486571">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85" w:name="_Toc152045534"/>
      <w:bookmarkStart w:id="86" w:name="_Toc152042310"/>
      <w:bookmarkStart w:id="87" w:name="_Toc318450679"/>
      <w:bookmarkStart w:id="88" w:name="_Toc144974502"/>
      <w:bookmarkStart w:id="89" w:name="_Toc11063"/>
      <w:bookmarkStart w:id="90" w:name="_Toc466298096"/>
      <w:bookmarkStart w:id="91" w:name="_Toc7209"/>
      <w:bookmarkStart w:id="92" w:name="_Toc18004"/>
      <w:bookmarkStart w:id="93" w:name="_Toc5019"/>
      <w:bookmarkStart w:id="94" w:name="_Toc490667832"/>
      <w:bookmarkStart w:id="95" w:name="_Toc455080113"/>
      <w:bookmarkStart w:id="96" w:name="_Toc1602"/>
      <w:bookmarkStart w:id="97" w:name="_Toc4711"/>
      <w:bookmarkStart w:id="98" w:name="_Toc455867773"/>
      <w:bookmarkStart w:id="99" w:name="_Toc22643"/>
      <w:bookmarkStart w:id="100" w:name="_Toc32156"/>
      <w:bookmarkStart w:id="101" w:name="_Toc13916"/>
      <w:bookmarkStart w:id="102" w:name="_Toc4301"/>
      <w:bookmarkStart w:id="103" w:name="_Toc18689"/>
      <w:r>
        <w:rPr>
          <w:rFonts w:hint="eastAsia" w:ascii="华文仿宋" w:hAnsi="华文仿宋" w:eastAsia="华文仿宋" w:cs="华文仿宋"/>
          <w:b/>
          <w:bCs/>
          <w:color w:val="auto"/>
          <w:sz w:val="21"/>
          <w:szCs w:val="21"/>
          <w:highlight w:val="none"/>
        </w:rPr>
        <w:t xml:space="preserve">1.5 </w:t>
      </w:r>
      <w:bookmarkEnd w:id="85"/>
      <w:bookmarkEnd w:id="86"/>
      <w:bookmarkEnd w:id="87"/>
      <w:bookmarkEnd w:id="88"/>
      <w:r>
        <w:rPr>
          <w:rFonts w:hint="eastAsia" w:ascii="华文仿宋" w:hAnsi="华文仿宋" w:eastAsia="华文仿宋" w:cs="华文仿宋"/>
          <w:b/>
          <w:bCs/>
          <w:color w:val="auto"/>
          <w:sz w:val="21"/>
          <w:szCs w:val="21"/>
          <w:highlight w:val="none"/>
        </w:rPr>
        <w:t>供应商资质条件和能力</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6AA4962A">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1.5.1供应商资质及能力要求：见供应商须知前附表。</w:t>
      </w:r>
    </w:p>
    <w:p w14:paraId="0772F58A">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1.5.2是否接受联合体：见供应商须知前附表。</w:t>
      </w:r>
    </w:p>
    <w:p w14:paraId="5DD54409">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104" w:name="_Toc9505"/>
      <w:bookmarkStart w:id="105" w:name="_Toc490667833"/>
      <w:bookmarkStart w:id="106" w:name="_Toc651"/>
      <w:bookmarkStart w:id="107" w:name="_Toc28135"/>
      <w:bookmarkStart w:id="108" w:name="_Toc466298097"/>
      <w:bookmarkStart w:id="109" w:name="_Toc455867774"/>
      <w:bookmarkStart w:id="110" w:name="_Toc5162"/>
      <w:bookmarkStart w:id="111" w:name="_Toc31854"/>
      <w:bookmarkStart w:id="112" w:name="_Toc13865"/>
      <w:bookmarkStart w:id="113" w:name="_Toc152045535"/>
      <w:bookmarkStart w:id="114" w:name="_Toc11905"/>
      <w:bookmarkStart w:id="115" w:name="_Toc318450680"/>
      <w:bookmarkStart w:id="116" w:name="_Toc16889"/>
      <w:bookmarkStart w:id="117" w:name="_Toc12403"/>
      <w:bookmarkStart w:id="118" w:name="_Toc981"/>
      <w:bookmarkStart w:id="119" w:name="_Toc32446"/>
      <w:bookmarkStart w:id="120" w:name="_Toc144974503"/>
      <w:bookmarkStart w:id="121" w:name="_Toc455080114"/>
      <w:bookmarkStart w:id="122" w:name="_Toc152042311"/>
      <w:r>
        <w:rPr>
          <w:rFonts w:hint="eastAsia" w:ascii="华文仿宋" w:hAnsi="华文仿宋" w:eastAsia="华文仿宋" w:cs="华文仿宋"/>
          <w:b/>
          <w:bCs/>
          <w:color w:val="auto"/>
          <w:sz w:val="21"/>
          <w:szCs w:val="21"/>
          <w:highlight w:val="none"/>
        </w:rPr>
        <w:t>1.6 费用承担</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945C944">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供应商准备和参加磋商活动发生的费用自理，不论磋商的结果如何，采购人和采购代理机构在任何情况下均无义务和责任承担这些费用。</w:t>
      </w:r>
    </w:p>
    <w:p w14:paraId="3D6972D5">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123" w:name="_Toc144974504"/>
      <w:bookmarkStart w:id="124" w:name="_Toc152045536"/>
      <w:bookmarkStart w:id="125" w:name="_Toc6004"/>
      <w:bookmarkStart w:id="126" w:name="_Toc466298098"/>
      <w:bookmarkStart w:id="127" w:name="_Toc455080115"/>
      <w:bookmarkStart w:id="128" w:name="_Toc32053"/>
      <w:bookmarkStart w:id="129" w:name="_Toc152042312"/>
      <w:bookmarkStart w:id="130" w:name="_Toc2622"/>
      <w:bookmarkStart w:id="131" w:name="_Toc22136"/>
      <w:bookmarkStart w:id="132" w:name="_Toc6014"/>
      <w:bookmarkStart w:id="133" w:name="_Toc1879"/>
      <w:bookmarkStart w:id="134" w:name="_Toc8055"/>
      <w:bookmarkStart w:id="135" w:name="_Toc318450681"/>
      <w:bookmarkStart w:id="136" w:name="_Toc24601"/>
      <w:bookmarkStart w:id="137" w:name="_Toc22800"/>
      <w:bookmarkStart w:id="138" w:name="_Toc490667834"/>
      <w:bookmarkStart w:id="139" w:name="_Toc455867775"/>
      <w:bookmarkStart w:id="140" w:name="_Toc20145"/>
      <w:bookmarkStart w:id="141" w:name="_Toc5402"/>
      <w:r>
        <w:rPr>
          <w:rFonts w:hint="eastAsia" w:ascii="华文仿宋" w:hAnsi="华文仿宋" w:eastAsia="华文仿宋" w:cs="华文仿宋"/>
          <w:b/>
          <w:bCs/>
          <w:color w:val="auto"/>
          <w:sz w:val="21"/>
          <w:szCs w:val="21"/>
          <w:highlight w:val="none"/>
        </w:rPr>
        <w:t>1.7 保密</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30FFDB85">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参与磋商活动的各方应对</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 xml:space="preserve">和响应文件中的商业和技术等秘密保密，违者应对由此造成的后果承担法律责任。 </w:t>
      </w:r>
    </w:p>
    <w:p w14:paraId="1A4DB10F">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142" w:name="_Toc144974505"/>
      <w:bookmarkStart w:id="143" w:name="_Toc30747"/>
      <w:bookmarkStart w:id="144" w:name="_Toc8497"/>
      <w:bookmarkStart w:id="145" w:name="_Toc455080116"/>
      <w:bookmarkStart w:id="146" w:name="_Toc318450682"/>
      <w:bookmarkStart w:id="147" w:name="_Toc13976"/>
      <w:bookmarkStart w:id="148" w:name="_Toc152042313"/>
      <w:bookmarkStart w:id="149" w:name="_Toc21089"/>
      <w:bookmarkStart w:id="150" w:name="_Toc3628"/>
      <w:bookmarkStart w:id="151" w:name="_Toc466298099"/>
      <w:bookmarkStart w:id="152" w:name="_Toc490667835"/>
      <w:bookmarkStart w:id="153" w:name="_Toc15673"/>
      <w:bookmarkStart w:id="154" w:name="_Toc30583"/>
      <w:bookmarkStart w:id="155" w:name="_Toc7031"/>
      <w:bookmarkStart w:id="156" w:name="_Toc455867776"/>
      <w:bookmarkStart w:id="157" w:name="_Toc6615"/>
      <w:bookmarkStart w:id="158" w:name="_Toc14775"/>
      <w:bookmarkStart w:id="159" w:name="_Toc152045537"/>
      <w:bookmarkStart w:id="160" w:name="_Toc25517"/>
      <w:r>
        <w:rPr>
          <w:rFonts w:hint="eastAsia" w:ascii="华文仿宋" w:hAnsi="华文仿宋" w:eastAsia="华文仿宋" w:cs="华文仿宋"/>
          <w:b/>
          <w:bCs/>
          <w:color w:val="auto"/>
          <w:sz w:val="21"/>
          <w:szCs w:val="21"/>
          <w:highlight w:val="none"/>
        </w:rPr>
        <w:t>1.8 语言</w:t>
      </w:r>
      <w:bookmarkEnd w:id="142"/>
      <w:r>
        <w:rPr>
          <w:rFonts w:hint="eastAsia" w:ascii="华文仿宋" w:hAnsi="华文仿宋" w:eastAsia="华文仿宋" w:cs="华文仿宋"/>
          <w:b/>
          <w:bCs/>
          <w:color w:val="auto"/>
          <w:sz w:val="21"/>
          <w:szCs w:val="21"/>
          <w:highlight w:val="none"/>
        </w:rPr>
        <w:t>文字</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7341D408">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除专用术语外，与磋商有关的语言均使用中文。必要时专用术语应附有中文注释，</w:t>
      </w:r>
      <w:r>
        <w:rPr>
          <w:rFonts w:hint="eastAsia" w:ascii="华文仿宋" w:hAnsi="华文仿宋" w:eastAsia="华文仿宋" w:cs="华文仿宋"/>
          <w:color w:val="auto"/>
          <w:szCs w:val="21"/>
          <w:highlight w:val="none"/>
          <w:lang w:bidi="en-US"/>
        </w:rPr>
        <w:t>对不同文字文本响应文件的解释发生异议的，以中文文本为准。</w:t>
      </w:r>
    </w:p>
    <w:p w14:paraId="7B25B4BD">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161" w:name="_Toc455080117"/>
      <w:bookmarkStart w:id="162" w:name="_Toc19468"/>
      <w:bookmarkStart w:id="163" w:name="_Toc2702"/>
      <w:bookmarkStart w:id="164" w:name="_Toc24337"/>
      <w:bookmarkStart w:id="165" w:name="_Toc318450683"/>
      <w:bookmarkStart w:id="166" w:name="_Toc144974506"/>
      <w:bookmarkStart w:id="167" w:name="_Toc152042314"/>
      <w:bookmarkStart w:id="168" w:name="_Toc22415"/>
      <w:bookmarkStart w:id="169" w:name="_Toc455867777"/>
      <w:bookmarkStart w:id="170" w:name="_Toc14934"/>
      <w:bookmarkStart w:id="171" w:name="_Toc466298100"/>
      <w:bookmarkStart w:id="172" w:name="_Toc32507"/>
      <w:bookmarkStart w:id="173" w:name="_Toc490667836"/>
      <w:bookmarkStart w:id="174" w:name="_Toc4501"/>
      <w:bookmarkStart w:id="175" w:name="_Toc22378"/>
      <w:bookmarkStart w:id="176" w:name="_Toc18357"/>
      <w:bookmarkStart w:id="177" w:name="_Toc9446"/>
      <w:bookmarkStart w:id="178" w:name="_Toc152045538"/>
      <w:bookmarkStart w:id="179" w:name="_Toc4237"/>
      <w:r>
        <w:rPr>
          <w:rFonts w:hint="eastAsia" w:ascii="华文仿宋" w:hAnsi="华文仿宋" w:eastAsia="华文仿宋" w:cs="华文仿宋"/>
          <w:b/>
          <w:bCs/>
          <w:color w:val="auto"/>
          <w:sz w:val="21"/>
          <w:szCs w:val="21"/>
          <w:highlight w:val="none"/>
        </w:rPr>
        <w:t>1.9 计量单位</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BEC2DAB">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所有计量均采用中华人民共和国法定计量单位。</w:t>
      </w:r>
    </w:p>
    <w:p w14:paraId="1527C8F8">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lang w:eastAsia="zh-CN"/>
        </w:rPr>
      </w:pPr>
      <w:bookmarkStart w:id="180" w:name="_Toc284"/>
      <w:bookmarkStart w:id="181" w:name="_Toc152042316"/>
      <w:bookmarkStart w:id="182" w:name="_Toc152045540"/>
      <w:bookmarkStart w:id="183" w:name="_Toc31195"/>
      <w:bookmarkStart w:id="184" w:name="_Toc144974508"/>
      <w:bookmarkStart w:id="185" w:name="_Toc2508"/>
      <w:bookmarkStart w:id="186" w:name="_Toc466298101"/>
      <w:bookmarkStart w:id="187" w:name="_Toc455867778"/>
      <w:bookmarkStart w:id="188" w:name="_Toc18589"/>
      <w:bookmarkStart w:id="189" w:name="_Toc490667837"/>
      <w:bookmarkStart w:id="190" w:name="_Toc19685"/>
      <w:bookmarkStart w:id="191" w:name="_Toc27570"/>
      <w:bookmarkStart w:id="192" w:name="_Toc455080118"/>
      <w:bookmarkStart w:id="193" w:name="_Toc318450684"/>
      <w:bookmarkStart w:id="194" w:name="_Toc338"/>
      <w:bookmarkStart w:id="195" w:name="_Toc29845"/>
      <w:bookmarkStart w:id="196" w:name="_Toc13675"/>
      <w:bookmarkStart w:id="197" w:name="_Toc12027"/>
      <w:bookmarkStart w:id="198" w:name="_Toc16503"/>
      <w:r>
        <w:rPr>
          <w:rFonts w:hint="eastAsia" w:ascii="华文仿宋" w:hAnsi="华文仿宋" w:eastAsia="华文仿宋" w:cs="华文仿宋"/>
          <w:b/>
          <w:bCs/>
          <w:color w:val="auto"/>
          <w:sz w:val="21"/>
          <w:szCs w:val="21"/>
          <w:highlight w:val="none"/>
        </w:rPr>
        <w:t xml:space="preserve">1.10 </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hint="eastAsia" w:ascii="华文仿宋" w:hAnsi="华文仿宋" w:eastAsia="华文仿宋" w:cs="华文仿宋"/>
          <w:b/>
          <w:bCs/>
          <w:color w:val="auto"/>
          <w:sz w:val="21"/>
          <w:szCs w:val="21"/>
          <w:highlight w:val="none"/>
          <w:lang w:eastAsia="zh-CN"/>
        </w:rPr>
        <w:t>现场踏勘：自行踏勘，与之相关的费用，供应商自行承担。</w:t>
      </w:r>
      <w:bookmarkEnd w:id="198"/>
    </w:p>
    <w:p w14:paraId="1E2EF502">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199" w:name="_Toc152042317"/>
      <w:bookmarkStart w:id="200" w:name="_Toc24262"/>
      <w:bookmarkStart w:id="201" w:name="_Toc31725"/>
      <w:bookmarkStart w:id="202" w:name="_Toc455867779"/>
      <w:bookmarkStart w:id="203" w:name="_Toc318450685"/>
      <w:bookmarkStart w:id="204" w:name="_Toc23733"/>
      <w:bookmarkStart w:id="205" w:name="_Toc3853"/>
      <w:bookmarkStart w:id="206" w:name="_Toc455080119"/>
      <w:bookmarkStart w:id="207" w:name="_Toc466298102"/>
      <w:bookmarkStart w:id="208" w:name="_Toc25208"/>
      <w:bookmarkStart w:id="209" w:name="_Toc152045541"/>
      <w:bookmarkStart w:id="210" w:name="_Toc144974509"/>
      <w:bookmarkStart w:id="211" w:name="_Toc23635"/>
      <w:bookmarkStart w:id="212" w:name="_Toc12562"/>
      <w:bookmarkStart w:id="213" w:name="_Toc23678"/>
      <w:bookmarkStart w:id="214" w:name="_Toc490667838"/>
      <w:bookmarkStart w:id="215" w:name="_Toc11744"/>
      <w:bookmarkStart w:id="216" w:name="_Toc9182"/>
      <w:bookmarkStart w:id="217" w:name="_Toc32757"/>
      <w:r>
        <w:rPr>
          <w:rFonts w:hint="eastAsia" w:ascii="华文仿宋" w:hAnsi="华文仿宋" w:eastAsia="华文仿宋" w:cs="华文仿宋"/>
          <w:b/>
          <w:bCs/>
          <w:color w:val="auto"/>
          <w:sz w:val="21"/>
          <w:szCs w:val="21"/>
          <w:highlight w:val="none"/>
        </w:rPr>
        <w:t>1.11分包</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5362FEB6">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是否允许分包：见供应商须知前附表。</w:t>
      </w:r>
      <w:bookmarkStart w:id="218" w:name="_Toc144974510"/>
      <w:bookmarkStart w:id="219" w:name="_Toc152045542"/>
      <w:bookmarkStart w:id="220" w:name="_Toc152042318"/>
      <w:bookmarkStart w:id="221" w:name="_Toc455080120"/>
    </w:p>
    <w:bookmarkEnd w:id="218"/>
    <w:bookmarkEnd w:id="219"/>
    <w:bookmarkEnd w:id="220"/>
    <w:p w14:paraId="7DF704D0">
      <w:pPr>
        <w:pageBreakBefore w:val="0"/>
        <w:widowControl w:val="0"/>
        <w:kinsoku/>
        <w:wordWrap w:val="0"/>
        <w:overflowPunct/>
        <w:topLinePunct/>
        <w:autoSpaceDE/>
        <w:autoSpaceDN/>
        <w:bidi w:val="0"/>
        <w:snapToGrid/>
        <w:spacing w:line="288" w:lineRule="auto"/>
        <w:outlineLvl w:val="1"/>
        <w:rPr>
          <w:rFonts w:hint="eastAsia" w:ascii="华文仿宋" w:hAnsi="华文仿宋" w:eastAsia="华文仿宋" w:cs="华文仿宋"/>
          <w:b/>
          <w:bCs/>
          <w:color w:val="auto"/>
          <w:szCs w:val="21"/>
          <w:highlight w:val="none"/>
          <w:lang w:eastAsia="zh-CN"/>
        </w:rPr>
      </w:pPr>
      <w:bookmarkStart w:id="222" w:name="_Toc12453"/>
      <w:bookmarkStart w:id="223" w:name="_Toc21040"/>
      <w:r>
        <w:rPr>
          <w:rFonts w:hint="eastAsia" w:ascii="华文仿宋" w:hAnsi="华文仿宋" w:eastAsia="华文仿宋" w:cs="华文仿宋"/>
          <w:b/>
          <w:bCs/>
          <w:color w:val="auto"/>
          <w:szCs w:val="21"/>
          <w:highlight w:val="none"/>
        </w:rPr>
        <w:t>2.</w:t>
      </w:r>
      <w:bookmarkEnd w:id="221"/>
      <w:bookmarkEnd w:id="222"/>
      <w:r>
        <w:rPr>
          <w:rFonts w:hint="eastAsia" w:ascii="华文仿宋" w:hAnsi="华文仿宋" w:eastAsia="华文仿宋" w:cs="华文仿宋"/>
          <w:b/>
          <w:bCs/>
          <w:color w:val="auto"/>
          <w:szCs w:val="21"/>
          <w:highlight w:val="none"/>
          <w:lang w:eastAsia="zh-CN"/>
        </w:rPr>
        <w:t>竞争性磋商文件</w:t>
      </w:r>
      <w:bookmarkEnd w:id="223"/>
    </w:p>
    <w:p w14:paraId="6059C1F1">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224" w:name="_Toc12004"/>
      <w:bookmarkStart w:id="225" w:name="_Toc466298104"/>
      <w:bookmarkStart w:id="226" w:name="_Toc11567"/>
      <w:bookmarkStart w:id="227" w:name="_Toc152045543"/>
      <w:bookmarkStart w:id="228" w:name="_Toc12640"/>
      <w:bookmarkStart w:id="229" w:name="_Toc490667840"/>
      <w:bookmarkStart w:id="230" w:name="_Toc23649"/>
      <w:bookmarkStart w:id="231" w:name="_Toc7999"/>
      <w:bookmarkStart w:id="232" w:name="_Toc9780"/>
      <w:bookmarkStart w:id="233" w:name="_Toc12043"/>
      <w:bookmarkStart w:id="234" w:name="_Toc3982"/>
      <w:bookmarkStart w:id="235" w:name="_Toc144974511"/>
      <w:bookmarkStart w:id="236" w:name="_Toc152042319"/>
      <w:bookmarkStart w:id="237" w:name="_Toc455080121"/>
      <w:bookmarkStart w:id="238" w:name="_Toc318450687"/>
      <w:bookmarkStart w:id="239" w:name="_Toc1008"/>
      <w:bookmarkStart w:id="240" w:name="_Toc32711"/>
      <w:bookmarkStart w:id="241" w:name="_Toc455867781"/>
      <w:bookmarkStart w:id="242" w:name="_Toc11599"/>
      <w:r>
        <w:rPr>
          <w:rFonts w:hint="eastAsia" w:ascii="华文仿宋" w:hAnsi="华文仿宋" w:eastAsia="华文仿宋" w:cs="华文仿宋"/>
          <w:b/>
          <w:bCs/>
          <w:color w:val="auto"/>
          <w:sz w:val="21"/>
          <w:szCs w:val="21"/>
          <w:highlight w:val="none"/>
        </w:rPr>
        <w:t>2.</w:t>
      </w:r>
      <w:r>
        <w:rPr>
          <w:rFonts w:hint="eastAsia" w:ascii="华文仿宋" w:hAnsi="华文仿宋" w:eastAsia="华文仿宋" w:cs="华文仿宋"/>
          <w:b/>
          <w:bCs/>
          <w:color w:val="auto"/>
          <w:sz w:val="21"/>
          <w:szCs w:val="21"/>
          <w:highlight w:val="none"/>
          <w:lang w:val="en-US" w:eastAsia="zh-CN"/>
        </w:rPr>
        <w:t>1</w:t>
      </w:r>
      <w:r>
        <w:rPr>
          <w:rFonts w:hint="eastAsia" w:ascii="华文仿宋" w:hAnsi="华文仿宋" w:eastAsia="华文仿宋" w:cs="华文仿宋"/>
          <w:b/>
          <w:bCs/>
          <w:color w:val="auto"/>
          <w:sz w:val="21"/>
          <w:szCs w:val="21"/>
          <w:highlight w:val="none"/>
        </w:rPr>
        <w:t xml:space="preserve"> </w:t>
      </w:r>
      <w:r>
        <w:rPr>
          <w:rFonts w:hint="eastAsia" w:ascii="华文仿宋" w:hAnsi="华文仿宋" w:eastAsia="华文仿宋" w:cs="华文仿宋"/>
          <w:b/>
          <w:bCs/>
          <w:color w:val="auto"/>
          <w:sz w:val="21"/>
          <w:szCs w:val="21"/>
          <w:highlight w:val="none"/>
          <w:lang w:eastAsia="zh-CN"/>
        </w:rPr>
        <w:t>竞争性磋商文件</w:t>
      </w:r>
      <w:r>
        <w:rPr>
          <w:rFonts w:hint="eastAsia" w:ascii="华文仿宋" w:hAnsi="华文仿宋" w:eastAsia="华文仿宋" w:cs="华文仿宋"/>
          <w:b/>
          <w:bCs/>
          <w:color w:val="auto"/>
          <w:sz w:val="21"/>
          <w:szCs w:val="21"/>
          <w:highlight w:val="none"/>
        </w:rPr>
        <w:t>的组成</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36418D0B">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　本</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包括：</w:t>
      </w:r>
    </w:p>
    <w:p w14:paraId="1E3666EA">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（1）</w:t>
      </w:r>
      <w:r>
        <w:rPr>
          <w:rFonts w:hint="eastAsia" w:ascii="华文仿宋" w:hAnsi="华文仿宋" w:eastAsia="华文仿宋" w:cs="华文仿宋"/>
          <w:color w:val="auto"/>
          <w:szCs w:val="21"/>
          <w:highlight w:val="none"/>
          <w:lang w:eastAsia="zh-CN"/>
        </w:rPr>
        <w:t>竞争性磋商公告</w:t>
      </w:r>
      <w:r>
        <w:rPr>
          <w:rFonts w:hint="eastAsia" w:ascii="华文仿宋" w:hAnsi="华文仿宋" w:eastAsia="华文仿宋" w:cs="华文仿宋"/>
          <w:color w:val="auto"/>
          <w:szCs w:val="21"/>
          <w:highlight w:val="none"/>
        </w:rPr>
        <w:t>；</w:t>
      </w:r>
    </w:p>
    <w:p w14:paraId="25A79F0D">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（2）供应商须知；</w:t>
      </w:r>
    </w:p>
    <w:p w14:paraId="795E91E2">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（3）评审办法；</w:t>
      </w:r>
    </w:p>
    <w:p w14:paraId="37A7C50E">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（4）合同主要条款</w:t>
      </w:r>
      <w:r>
        <w:rPr>
          <w:rFonts w:hint="eastAsia" w:ascii="华文仿宋" w:hAnsi="华文仿宋" w:eastAsia="华文仿宋" w:cs="华文仿宋"/>
          <w:color w:val="auto"/>
          <w:szCs w:val="21"/>
          <w:highlight w:val="none"/>
          <w:lang w:eastAsia="zh-CN"/>
        </w:rPr>
        <w:t>及格式（参考文本）</w:t>
      </w:r>
      <w:r>
        <w:rPr>
          <w:rFonts w:hint="eastAsia" w:ascii="华文仿宋" w:hAnsi="华文仿宋" w:eastAsia="华文仿宋" w:cs="华文仿宋"/>
          <w:color w:val="auto"/>
          <w:szCs w:val="21"/>
          <w:highlight w:val="none"/>
        </w:rPr>
        <w:t>；</w:t>
      </w:r>
    </w:p>
    <w:p w14:paraId="40A865C4">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（5）</w:t>
      </w:r>
      <w:r>
        <w:rPr>
          <w:rFonts w:hint="eastAsia" w:ascii="华文仿宋" w:hAnsi="华文仿宋" w:eastAsia="华文仿宋" w:cs="华文仿宋"/>
          <w:color w:val="auto"/>
          <w:szCs w:val="21"/>
          <w:highlight w:val="none"/>
          <w:lang w:eastAsia="zh-CN"/>
        </w:rPr>
        <w:t>服务内容及要求</w:t>
      </w:r>
      <w:r>
        <w:rPr>
          <w:rFonts w:hint="eastAsia" w:ascii="华文仿宋" w:hAnsi="华文仿宋" w:eastAsia="华文仿宋" w:cs="华文仿宋"/>
          <w:color w:val="auto"/>
          <w:szCs w:val="21"/>
          <w:highlight w:val="none"/>
        </w:rPr>
        <w:t>；</w:t>
      </w:r>
    </w:p>
    <w:p w14:paraId="56CC9930">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lang w:eastAsia="zh-CN"/>
        </w:rPr>
      </w:pPr>
      <w:r>
        <w:rPr>
          <w:rFonts w:hint="eastAsia" w:ascii="华文仿宋" w:hAnsi="华文仿宋" w:eastAsia="华文仿宋" w:cs="华文仿宋"/>
          <w:color w:val="auto"/>
          <w:szCs w:val="21"/>
          <w:highlight w:val="none"/>
        </w:rPr>
        <w:t>（6）</w:t>
      </w:r>
      <w:r>
        <w:rPr>
          <w:rFonts w:hint="eastAsia" w:ascii="华文仿宋" w:hAnsi="华文仿宋" w:eastAsia="华文仿宋" w:cs="华文仿宋"/>
          <w:color w:val="auto"/>
          <w:szCs w:val="21"/>
          <w:highlight w:val="none"/>
          <w:lang w:eastAsia="zh-CN"/>
        </w:rPr>
        <w:t>竞争性磋商响应文件格式</w:t>
      </w:r>
      <w:r>
        <w:rPr>
          <w:rFonts w:hint="eastAsia" w:ascii="华文仿宋" w:hAnsi="华文仿宋" w:eastAsia="华文仿宋" w:cs="华文仿宋"/>
          <w:color w:val="auto"/>
          <w:szCs w:val="21"/>
          <w:highlight w:val="none"/>
        </w:rPr>
        <w:t>；</w:t>
      </w:r>
    </w:p>
    <w:p w14:paraId="290F5536">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根据本章第2.2款和第2.3款对</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所作的澄清、修改，构成</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的组成部分。</w:t>
      </w:r>
    </w:p>
    <w:p w14:paraId="5B7E6CFD">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243" w:name="_Toc15658"/>
      <w:bookmarkStart w:id="244" w:name="_Toc19651"/>
      <w:r>
        <w:rPr>
          <w:rFonts w:hint="eastAsia" w:ascii="华文仿宋" w:hAnsi="华文仿宋" w:eastAsia="华文仿宋" w:cs="华文仿宋"/>
          <w:b/>
          <w:bCs/>
          <w:color w:val="auto"/>
          <w:sz w:val="21"/>
          <w:szCs w:val="21"/>
          <w:highlight w:val="none"/>
        </w:rPr>
        <w:t xml:space="preserve">2.2 </w:t>
      </w:r>
      <w:r>
        <w:rPr>
          <w:rFonts w:hint="eastAsia" w:ascii="华文仿宋" w:hAnsi="华文仿宋" w:eastAsia="华文仿宋" w:cs="华文仿宋"/>
          <w:b/>
          <w:bCs/>
          <w:color w:val="auto"/>
          <w:sz w:val="21"/>
          <w:szCs w:val="21"/>
          <w:highlight w:val="none"/>
          <w:lang w:eastAsia="zh-CN"/>
        </w:rPr>
        <w:t>竞争性磋商文件</w:t>
      </w:r>
      <w:r>
        <w:rPr>
          <w:rFonts w:hint="eastAsia" w:ascii="华文仿宋" w:hAnsi="华文仿宋" w:eastAsia="华文仿宋" w:cs="华文仿宋"/>
          <w:b/>
          <w:bCs/>
          <w:color w:val="auto"/>
          <w:sz w:val="21"/>
          <w:szCs w:val="21"/>
          <w:highlight w:val="none"/>
        </w:rPr>
        <w:t>的澄清</w:t>
      </w:r>
      <w:bookmarkEnd w:id="243"/>
      <w:bookmarkEnd w:id="244"/>
    </w:p>
    <w:p w14:paraId="49D5C1A4">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2.2.1供应商应仔细阅读和检查</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的全部内容。如发现缺页或附件不全，应及时向采购人提出，以便补齐。如有疑问，应在供应商须知前附表规定的时间前以书面形式（包括信函、电报、传真等可以有形表现所载内容的形式，下同），要求采购人对</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予以澄清。</w:t>
      </w:r>
    </w:p>
    <w:p w14:paraId="7CFC07A9">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 xml:space="preserve">2.2.2 </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的澄清将在供应商须知前附表规定的响应文件递交截止时间5天前在信阳市公共资源交易系统“变更公告”或“答疑文件”将澄清内容予以发布，但不指明澄清问题的来源。如果澄清的内容可能影响响应文件编制且发出的时间距响应文件递交截止时间不足5天，相应延长投标截止时间。</w:t>
      </w:r>
    </w:p>
    <w:p w14:paraId="5C15E72E">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highlight w:val="none"/>
        </w:rPr>
      </w:pPr>
      <w:r>
        <w:rPr>
          <w:rFonts w:hint="eastAsia" w:ascii="华文仿宋" w:hAnsi="华文仿宋" w:eastAsia="华文仿宋" w:cs="华文仿宋"/>
          <w:color w:val="auto"/>
          <w:szCs w:val="21"/>
          <w:highlight w:val="none"/>
        </w:rPr>
        <w:t>2.2.3供应商应在响应文件递交截止时间前及时查看澄清内容，因供应商未及时查看而造成的后果自负。</w:t>
      </w:r>
    </w:p>
    <w:p w14:paraId="1B670D1F">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245" w:name="_Toc21044"/>
      <w:bookmarkStart w:id="246" w:name="_Toc8263"/>
      <w:r>
        <w:rPr>
          <w:rFonts w:hint="eastAsia" w:ascii="华文仿宋" w:hAnsi="华文仿宋" w:eastAsia="华文仿宋" w:cs="华文仿宋"/>
          <w:b/>
          <w:bCs/>
          <w:color w:val="auto"/>
          <w:sz w:val="21"/>
          <w:szCs w:val="21"/>
          <w:highlight w:val="none"/>
        </w:rPr>
        <w:t xml:space="preserve">2.3 </w:t>
      </w:r>
      <w:r>
        <w:rPr>
          <w:rFonts w:hint="eastAsia" w:ascii="华文仿宋" w:hAnsi="华文仿宋" w:eastAsia="华文仿宋" w:cs="华文仿宋"/>
          <w:b/>
          <w:bCs/>
          <w:color w:val="auto"/>
          <w:sz w:val="21"/>
          <w:szCs w:val="21"/>
          <w:highlight w:val="none"/>
          <w:lang w:eastAsia="zh-CN"/>
        </w:rPr>
        <w:t>竞争性磋商文件</w:t>
      </w:r>
      <w:r>
        <w:rPr>
          <w:rFonts w:hint="eastAsia" w:ascii="华文仿宋" w:hAnsi="华文仿宋" w:eastAsia="华文仿宋" w:cs="华文仿宋"/>
          <w:b/>
          <w:bCs/>
          <w:color w:val="auto"/>
          <w:sz w:val="21"/>
          <w:szCs w:val="21"/>
          <w:highlight w:val="none"/>
        </w:rPr>
        <w:t>的修改</w:t>
      </w:r>
      <w:bookmarkEnd w:id="245"/>
      <w:bookmarkEnd w:id="246"/>
    </w:p>
    <w:p w14:paraId="6A0A7AB5">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highlight w:val="none"/>
        </w:rPr>
      </w:pPr>
      <w:r>
        <w:rPr>
          <w:rFonts w:hint="eastAsia" w:ascii="华文仿宋" w:hAnsi="华文仿宋" w:eastAsia="华文仿宋" w:cs="华文仿宋"/>
          <w:color w:val="auto"/>
          <w:highlight w:val="none"/>
        </w:rPr>
        <w:t>2.3.1 在响应文件递交截止时间5天前，采购人可以修改</w:t>
      </w:r>
      <w:r>
        <w:rPr>
          <w:rFonts w:hint="eastAsia" w:ascii="华文仿宋" w:hAnsi="华文仿宋" w:eastAsia="华文仿宋" w:cs="华文仿宋"/>
          <w:color w:val="auto"/>
          <w:highlight w:val="none"/>
          <w:lang w:eastAsia="zh-CN"/>
        </w:rPr>
        <w:t>竞争性磋商文件</w:t>
      </w:r>
      <w:r>
        <w:rPr>
          <w:rFonts w:hint="eastAsia" w:ascii="华文仿宋" w:hAnsi="华文仿宋" w:eastAsia="华文仿宋" w:cs="华文仿宋"/>
          <w:color w:val="auto"/>
          <w:highlight w:val="none"/>
        </w:rPr>
        <w:t>。如有修改，应在信阳市公共资源交易系统“变更公告”或“答疑文件”</w:t>
      </w:r>
      <w:r>
        <w:rPr>
          <w:rFonts w:hint="eastAsia" w:ascii="华文仿宋" w:hAnsi="华文仿宋" w:eastAsia="华文仿宋" w:cs="华文仿宋"/>
          <w:color w:val="auto"/>
          <w:szCs w:val="21"/>
          <w:highlight w:val="none"/>
        </w:rPr>
        <w:t>将修改内容予以发布</w:t>
      </w:r>
      <w:r>
        <w:rPr>
          <w:rFonts w:hint="eastAsia" w:ascii="华文仿宋" w:hAnsi="华文仿宋" w:eastAsia="华文仿宋" w:cs="华文仿宋"/>
          <w:color w:val="auto"/>
          <w:highlight w:val="none"/>
        </w:rPr>
        <w:t>。如果修改的内容可能影响响应文件编制且发出的时间距响应文件递交截止时间不足5天，相应延长响应文件递交截止时间。</w:t>
      </w:r>
    </w:p>
    <w:p w14:paraId="6E1DC400">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highlight w:val="none"/>
        </w:rPr>
        <w:t>2.3.2当</w:t>
      </w:r>
      <w:r>
        <w:rPr>
          <w:rFonts w:hint="eastAsia" w:ascii="华文仿宋" w:hAnsi="华文仿宋" w:eastAsia="华文仿宋" w:cs="华文仿宋"/>
          <w:color w:val="auto"/>
          <w:highlight w:val="none"/>
          <w:lang w:eastAsia="zh-CN"/>
        </w:rPr>
        <w:t>竞争性磋商文件</w:t>
      </w:r>
      <w:r>
        <w:rPr>
          <w:rFonts w:hint="eastAsia" w:ascii="华文仿宋" w:hAnsi="华文仿宋" w:eastAsia="华文仿宋" w:cs="华文仿宋"/>
          <w:color w:val="auto"/>
          <w:highlight w:val="none"/>
        </w:rPr>
        <w:t>的澄清、修改、补充等在同一内容的表述上不一致时，</w:t>
      </w:r>
      <w:r>
        <w:rPr>
          <w:rFonts w:hint="eastAsia" w:ascii="华文仿宋" w:hAnsi="华文仿宋" w:eastAsia="华文仿宋" w:cs="华文仿宋"/>
          <w:color w:val="auto"/>
          <w:szCs w:val="21"/>
          <w:highlight w:val="none"/>
        </w:rPr>
        <w:t>以最后在信阳市公共资源交易系统发出的文件为准。</w:t>
      </w:r>
    </w:p>
    <w:p w14:paraId="4673EF34">
      <w:pPr>
        <w:pageBreakBefore w:val="0"/>
        <w:widowControl w:val="0"/>
        <w:kinsoku/>
        <w:wordWrap w:val="0"/>
        <w:overflowPunct/>
        <w:topLinePunct/>
        <w:autoSpaceDE/>
        <w:autoSpaceDN/>
        <w:bidi w:val="0"/>
        <w:snapToGrid/>
        <w:spacing w:line="288" w:lineRule="auto"/>
        <w:ind w:firstLine="420" w:firstLineChars="200"/>
        <w:textAlignment w:val="auto"/>
        <w:outlineLvl w:val="2"/>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highlight w:val="none"/>
        </w:rPr>
        <w:t>2.3.3</w:t>
      </w:r>
      <w:r>
        <w:rPr>
          <w:rFonts w:hint="eastAsia" w:ascii="华文仿宋" w:hAnsi="华文仿宋" w:eastAsia="华文仿宋" w:cs="华文仿宋"/>
          <w:color w:val="auto"/>
          <w:szCs w:val="21"/>
          <w:highlight w:val="none"/>
        </w:rPr>
        <w:t>供应商应在响应文件递交截止时间前及时查看修改内容，因供应商未及时查看而造成的后果自负。</w:t>
      </w:r>
      <w:bookmarkStart w:id="247" w:name="_Toc29642"/>
      <w:bookmarkStart w:id="248" w:name="_Toc4666"/>
    </w:p>
    <w:p w14:paraId="2AD9B99A">
      <w:pPr>
        <w:pageBreakBefore w:val="0"/>
        <w:widowControl w:val="0"/>
        <w:kinsoku/>
        <w:wordWrap w:val="0"/>
        <w:overflowPunct/>
        <w:topLinePunct/>
        <w:autoSpaceDE/>
        <w:autoSpaceDN/>
        <w:bidi w:val="0"/>
        <w:snapToGrid/>
        <w:spacing w:line="288" w:lineRule="auto"/>
        <w:textAlignment w:val="auto"/>
        <w:outlineLvl w:val="1"/>
        <w:rPr>
          <w:rFonts w:hint="eastAsia" w:ascii="华文仿宋" w:hAnsi="华文仿宋" w:eastAsia="华文仿宋" w:cs="华文仿宋"/>
          <w:b/>
          <w:bCs/>
          <w:color w:val="auto"/>
          <w:kern w:val="28"/>
          <w:sz w:val="21"/>
          <w:szCs w:val="32"/>
          <w:highlight w:val="none"/>
          <w:lang w:val="en-US" w:eastAsia="zh-CN" w:bidi="ar-SA"/>
        </w:rPr>
      </w:pPr>
      <w:r>
        <w:rPr>
          <w:rFonts w:hint="eastAsia" w:ascii="华文仿宋" w:hAnsi="华文仿宋" w:eastAsia="华文仿宋" w:cs="华文仿宋"/>
          <w:b/>
          <w:bCs/>
          <w:color w:val="auto"/>
          <w:kern w:val="28"/>
          <w:sz w:val="21"/>
          <w:szCs w:val="32"/>
          <w:highlight w:val="none"/>
          <w:lang w:val="en-US" w:eastAsia="zh-CN" w:bidi="ar-SA"/>
        </w:rPr>
        <w:t>3. 响应文件</w:t>
      </w:r>
      <w:bookmarkEnd w:id="247"/>
      <w:bookmarkEnd w:id="248"/>
    </w:p>
    <w:p w14:paraId="332BF270">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lang w:val="en-US" w:eastAsia="zh-CN"/>
        </w:rPr>
      </w:pPr>
      <w:bookmarkStart w:id="249" w:name="_Toc490667844"/>
      <w:bookmarkStart w:id="250" w:name="_Toc10096"/>
      <w:bookmarkStart w:id="251" w:name="_Toc152045547"/>
      <w:bookmarkStart w:id="252" w:name="_Toc15810"/>
      <w:bookmarkStart w:id="253" w:name="_Toc27373"/>
      <w:bookmarkStart w:id="254" w:name="_Toc9273"/>
      <w:bookmarkStart w:id="255" w:name="_Toc24440"/>
      <w:bookmarkStart w:id="256" w:name="_Toc20541"/>
      <w:bookmarkStart w:id="257" w:name="_Toc144974515"/>
      <w:bookmarkStart w:id="258" w:name="_Toc152042323"/>
      <w:bookmarkStart w:id="259" w:name="_Toc318450691"/>
      <w:bookmarkStart w:id="260" w:name="_Toc16198"/>
      <w:r>
        <w:rPr>
          <w:rFonts w:hint="eastAsia" w:ascii="华文仿宋" w:hAnsi="华文仿宋" w:eastAsia="华文仿宋" w:cs="华文仿宋"/>
          <w:b/>
          <w:bCs/>
          <w:color w:val="auto"/>
          <w:sz w:val="21"/>
          <w:szCs w:val="21"/>
          <w:highlight w:val="none"/>
          <w:lang w:val="en-US" w:eastAsia="zh-CN"/>
        </w:rPr>
        <w:t>3.1 响应文件的组成</w:t>
      </w:r>
      <w:bookmarkEnd w:id="249"/>
      <w:bookmarkEnd w:id="250"/>
      <w:bookmarkEnd w:id="251"/>
      <w:bookmarkEnd w:id="252"/>
      <w:bookmarkEnd w:id="253"/>
      <w:bookmarkEnd w:id="254"/>
      <w:bookmarkEnd w:id="255"/>
      <w:bookmarkEnd w:id="256"/>
      <w:bookmarkEnd w:id="257"/>
      <w:bookmarkEnd w:id="258"/>
      <w:bookmarkEnd w:id="259"/>
      <w:bookmarkEnd w:id="260"/>
    </w:p>
    <w:p w14:paraId="2D5E2C78">
      <w:pPr>
        <w:pageBreakBefore w:val="0"/>
        <w:widowControl w:val="0"/>
        <w:kinsoku/>
        <w:wordWrap w:val="0"/>
        <w:overflowPunct/>
        <w:topLinePunct/>
        <w:autoSpaceDE/>
        <w:autoSpaceDN/>
        <w:bidi w:val="0"/>
        <w:snapToGrid/>
        <w:spacing w:line="288" w:lineRule="auto"/>
        <w:ind w:firstLine="420" w:firstLineChars="200"/>
        <w:textAlignment w:val="auto"/>
        <w:outlineLvl w:val="3"/>
        <w:rPr>
          <w:rFonts w:hint="eastAsia" w:ascii="华文仿宋" w:hAnsi="华文仿宋" w:eastAsia="华文仿宋" w:cs="华文仿宋"/>
          <w:b w:val="0"/>
          <w:bCs w:val="0"/>
          <w:color w:val="auto"/>
          <w:kern w:val="28"/>
          <w:sz w:val="21"/>
          <w:szCs w:val="32"/>
          <w:highlight w:val="none"/>
          <w:lang w:val="en-US" w:eastAsia="zh-CN" w:bidi="ar-SA"/>
        </w:rPr>
      </w:pPr>
      <w:bookmarkStart w:id="261" w:name="_Toc899"/>
      <w:bookmarkStart w:id="262" w:name="_Toc152045548"/>
      <w:bookmarkStart w:id="263" w:name="_Toc152042324"/>
      <w:bookmarkStart w:id="264" w:name="_Toc318450692"/>
      <w:bookmarkStart w:id="265" w:name="_Toc279156232"/>
      <w:bookmarkStart w:id="266" w:name="_Toc144974516"/>
      <w:bookmarkStart w:id="267" w:name="_Toc26291"/>
      <w:r>
        <w:rPr>
          <w:rFonts w:hint="eastAsia" w:ascii="华文仿宋" w:hAnsi="华文仿宋" w:eastAsia="华文仿宋" w:cs="华文仿宋"/>
          <w:b w:val="0"/>
          <w:bCs w:val="0"/>
          <w:color w:val="auto"/>
          <w:kern w:val="28"/>
          <w:sz w:val="21"/>
          <w:szCs w:val="32"/>
          <w:highlight w:val="none"/>
          <w:lang w:val="en-US" w:eastAsia="zh-CN" w:bidi="ar-SA"/>
        </w:rPr>
        <w:t>响应文件应包括下列内容（根据项目特点合理调整内容）：</w:t>
      </w:r>
    </w:p>
    <w:p w14:paraId="4BFE1E6C">
      <w:pPr>
        <w:pageBreakBefore w:val="0"/>
        <w:widowControl w:val="0"/>
        <w:kinsoku/>
        <w:wordWrap w:val="0"/>
        <w:overflowPunct/>
        <w:topLinePunct/>
        <w:autoSpaceDE/>
        <w:autoSpaceDN/>
        <w:bidi w:val="0"/>
        <w:snapToGrid/>
        <w:spacing w:line="288" w:lineRule="auto"/>
        <w:ind w:firstLine="420" w:firstLineChars="200"/>
        <w:textAlignment w:val="auto"/>
        <w:outlineLvl w:val="3"/>
        <w:rPr>
          <w:rFonts w:hint="eastAsia" w:ascii="华文仿宋" w:hAnsi="华文仿宋" w:eastAsia="华文仿宋" w:cs="华文仿宋"/>
          <w:b w:val="0"/>
          <w:bCs w:val="0"/>
          <w:color w:val="auto"/>
          <w:kern w:val="28"/>
          <w:sz w:val="21"/>
          <w:szCs w:val="32"/>
          <w:highlight w:val="none"/>
          <w:lang w:val="en-US" w:eastAsia="zh-CN" w:bidi="ar-SA"/>
        </w:rPr>
      </w:pPr>
      <w:bookmarkStart w:id="268" w:name="_Toc12915"/>
      <w:r>
        <w:rPr>
          <w:rFonts w:hint="eastAsia" w:ascii="华文仿宋" w:hAnsi="华文仿宋" w:eastAsia="华文仿宋" w:cs="华文仿宋"/>
          <w:b w:val="0"/>
          <w:bCs w:val="0"/>
          <w:color w:val="auto"/>
          <w:kern w:val="28"/>
          <w:sz w:val="21"/>
          <w:szCs w:val="32"/>
          <w:highlight w:val="none"/>
          <w:lang w:val="en-US" w:eastAsia="zh-CN" w:bidi="ar-SA"/>
        </w:rPr>
        <w:t>一、磋商函及磋商函附录</w:t>
      </w:r>
    </w:p>
    <w:p w14:paraId="324943BC">
      <w:pPr>
        <w:pageBreakBefore w:val="0"/>
        <w:widowControl w:val="0"/>
        <w:kinsoku/>
        <w:wordWrap w:val="0"/>
        <w:overflowPunct/>
        <w:topLinePunct/>
        <w:autoSpaceDE/>
        <w:autoSpaceDN/>
        <w:bidi w:val="0"/>
        <w:snapToGrid/>
        <w:spacing w:line="288" w:lineRule="auto"/>
        <w:ind w:firstLine="420" w:firstLineChars="200"/>
        <w:textAlignment w:val="auto"/>
        <w:outlineLvl w:val="3"/>
        <w:rPr>
          <w:rFonts w:hint="eastAsia" w:ascii="华文仿宋" w:hAnsi="华文仿宋" w:eastAsia="华文仿宋" w:cs="华文仿宋"/>
          <w:b w:val="0"/>
          <w:bCs w:val="0"/>
          <w:color w:val="auto"/>
          <w:kern w:val="28"/>
          <w:sz w:val="21"/>
          <w:szCs w:val="32"/>
          <w:highlight w:val="none"/>
          <w:lang w:val="en-US" w:eastAsia="zh-CN" w:bidi="ar-SA"/>
        </w:rPr>
      </w:pPr>
      <w:r>
        <w:rPr>
          <w:rFonts w:hint="eastAsia" w:ascii="华文仿宋" w:hAnsi="华文仿宋" w:eastAsia="华文仿宋" w:cs="华文仿宋"/>
          <w:b w:val="0"/>
          <w:bCs w:val="0"/>
          <w:color w:val="auto"/>
          <w:kern w:val="28"/>
          <w:sz w:val="21"/>
          <w:szCs w:val="32"/>
          <w:highlight w:val="none"/>
          <w:lang w:val="en-US" w:eastAsia="zh-CN" w:bidi="ar-SA"/>
        </w:rPr>
        <w:t>二、法定代表人身份证明和法定代表人授权委托书</w:t>
      </w:r>
    </w:p>
    <w:p w14:paraId="125BE0FE">
      <w:pPr>
        <w:pageBreakBefore w:val="0"/>
        <w:widowControl w:val="0"/>
        <w:kinsoku/>
        <w:wordWrap w:val="0"/>
        <w:overflowPunct/>
        <w:topLinePunct/>
        <w:autoSpaceDE/>
        <w:autoSpaceDN/>
        <w:bidi w:val="0"/>
        <w:snapToGrid/>
        <w:spacing w:line="288" w:lineRule="auto"/>
        <w:ind w:firstLine="420" w:firstLineChars="200"/>
        <w:textAlignment w:val="auto"/>
        <w:outlineLvl w:val="3"/>
        <w:rPr>
          <w:rFonts w:hint="eastAsia" w:ascii="华文仿宋" w:hAnsi="华文仿宋" w:eastAsia="华文仿宋" w:cs="华文仿宋"/>
          <w:b w:val="0"/>
          <w:bCs w:val="0"/>
          <w:color w:val="auto"/>
          <w:kern w:val="28"/>
          <w:sz w:val="21"/>
          <w:szCs w:val="32"/>
          <w:highlight w:val="none"/>
          <w:lang w:val="en-US" w:eastAsia="zh-CN" w:bidi="ar-SA"/>
        </w:rPr>
      </w:pPr>
      <w:r>
        <w:rPr>
          <w:rFonts w:hint="eastAsia" w:ascii="华文仿宋" w:hAnsi="华文仿宋" w:eastAsia="华文仿宋" w:cs="华文仿宋"/>
          <w:b w:val="0"/>
          <w:bCs w:val="0"/>
          <w:color w:val="auto"/>
          <w:kern w:val="28"/>
          <w:sz w:val="21"/>
          <w:szCs w:val="32"/>
          <w:highlight w:val="none"/>
          <w:lang w:val="en-US" w:eastAsia="zh-CN" w:bidi="ar-SA"/>
        </w:rPr>
        <w:t>三、采购服务内容及要求偏离表</w:t>
      </w:r>
    </w:p>
    <w:p w14:paraId="3A7EB8B0">
      <w:pPr>
        <w:pageBreakBefore w:val="0"/>
        <w:widowControl w:val="0"/>
        <w:kinsoku/>
        <w:wordWrap w:val="0"/>
        <w:overflowPunct/>
        <w:topLinePunct/>
        <w:autoSpaceDE/>
        <w:autoSpaceDN/>
        <w:bidi w:val="0"/>
        <w:snapToGrid/>
        <w:spacing w:line="288" w:lineRule="auto"/>
        <w:ind w:firstLine="420" w:firstLineChars="200"/>
        <w:textAlignment w:val="auto"/>
        <w:outlineLvl w:val="3"/>
        <w:rPr>
          <w:rFonts w:hint="eastAsia" w:ascii="华文仿宋" w:hAnsi="华文仿宋" w:eastAsia="华文仿宋" w:cs="华文仿宋"/>
          <w:b w:val="0"/>
          <w:bCs w:val="0"/>
          <w:color w:val="auto"/>
          <w:kern w:val="28"/>
          <w:sz w:val="21"/>
          <w:szCs w:val="32"/>
          <w:highlight w:val="none"/>
          <w:lang w:val="en-US" w:eastAsia="zh-CN" w:bidi="ar-SA"/>
        </w:rPr>
      </w:pPr>
      <w:r>
        <w:rPr>
          <w:rFonts w:hint="eastAsia" w:ascii="华文仿宋" w:hAnsi="华文仿宋" w:eastAsia="华文仿宋" w:cs="华文仿宋"/>
          <w:b w:val="0"/>
          <w:bCs w:val="0"/>
          <w:color w:val="auto"/>
          <w:kern w:val="28"/>
          <w:sz w:val="21"/>
          <w:szCs w:val="32"/>
          <w:highlight w:val="none"/>
          <w:lang w:val="en-US" w:eastAsia="zh-CN" w:bidi="ar-SA"/>
        </w:rPr>
        <w:fldChar w:fldCharType="begin"/>
      </w:r>
      <w:r>
        <w:rPr>
          <w:rFonts w:hint="eastAsia" w:ascii="华文仿宋" w:hAnsi="华文仿宋" w:eastAsia="华文仿宋" w:cs="华文仿宋"/>
          <w:b w:val="0"/>
          <w:bCs w:val="0"/>
          <w:color w:val="auto"/>
          <w:kern w:val="28"/>
          <w:sz w:val="21"/>
          <w:szCs w:val="32"/>
          <w:highlight w:val="none"/>
          <w:lang w:val="en-US" w:eastAsia="zh-CN" w:bidi="ar-SA"/>
        </w:rPr>
        <w:instrText xml:space="preserve"> HYPERLINK \l "_Toc19229_WPSOffice_Level1" </w:instrText>
      </w:r>
      <w:r>
        <w:rPr>
          <w:rFonts w:hint="eastAsia" w:ascii="华文仿宋" w:hAnsi="华文仿宋" w:eastAsia="华文仿宋" w:cs="华文仿宋"/>
          <w:b w:val="0"/>
          <w:bCs w:val="0"/>
          <w:color w:val="auto"/>
          <w:kern w:val="28"/>
          <w:sz w:val="21"/>
          <w:szCs w:val="32"/>
          <w:highlight w:val="none"/>
          <w:lang w:val="en-US" w:eastAsia="zh-CN" w:bidi="ar-SA"/>
        </w:rPr>
        <w:fldChar w:fldCharType="separate"/>
      </w:r>
      <w:r>
        <w:rPr>
          <w:rFonts w:hint="eastAsia" w:ascii="华文仿宋" w:hAnsi="华文仿宋" w:eastAsia="华文仿宋" w:cs="华文仿宋"/>
          <w:b w:val="0"/>
          <w:bCs w:val="0"/>
          <w:color w:val="auto"/>
          <w:kern w:val="28"/>
          <w:sz w:val="21"/>
          <w:szCs w:val="32"/>
          <w:highlight w:val="none"/>
          <w:lang w:val="en-US" w:eastAsia="zh-CN" w:bidi="ar-SA"/>
        </w:rPr>
        <w:t>四、服务</w:t>
      </w:r>
      <w:r>
        <w:rPr>
          <w:rFonts w:hint="eastAsia" w:ascii="华文仿宋" w:hAnsi="华文仿宋" w:eastAsia="华文仿宋" w:cs="华文仿宋"/>
          <w:b w:val="0"/>
          <w:bCs w:val="0"/>
          <w:color w:val="auto"/>
          <w:kern w:val="28"/>
          <w:sz w:val="21"/>
          <w:szCs w:val="32"/>
          <w:highlight w:val="none"/>
          <w:lang w:val="en-US" w:eastAsia="zh-CN" w:bidi="ar-SA"/>
        </w:rPr>
        <w:fldChar w:fldCharType="end"/>
      </w:r>
      <w:r>
        <w:rPr>
          <w:rFonts w:hint="eastAsia" w:ascii="华文仿宋" w:hAnsi="华文仿宋" w:eastAsia="华文仿宋" w:cs="华文仿宋"/>
          <w:b w:val="0"/>
          <w:bCs w:val="0"/>
          <w:color w:val="auto"/>
          <w:kern w:val="28"/>
          <w:sz w:val="21"/>
          <w:szCs w:val="32"/>
          <w:highlight w:val="none"/>
          <w:lang w:val="en-US" w:eastAsia="zh-CN" w:bidi="ar-SA"/>
        </w:rPr>
        <w:t>方案</w:t>
      </w:r>
    </w:p>
    <w:p w14:paraId="5D2C17CD">
      <w:pPr>
        <w:pageBreakBefore w:val="0"/>
        <w:widowControl w:val="0"/>
        <w:kinsoku/>
        <w:wordWrap w:val="0"/>
        <w:overflowPunct/>
        <w:topLinePunct/>
        <w:autoSpaceDE/>
        <w:autoSpaceDN/>
        <w:bidi w:val="0"/>
        <w:snapToGrid/>
        <w:spacing w:line="288" w:lineRule="auto"/>
        <w:ind w:firstLine="420" w:firstLineChars="200"/>
        <w:textAlignment w:val="auto"/>
        <w:outlineLvl w:val="3"/>
        <w:rPr>
          <w:rFonts w:hint="eastAsia" w:ascii="华文仿宋" w:hAnsi="华文仿宋" w:eastAsia="华文仿宋" w:cs="华文仿宋"/>
          <w:b w:val="0"/>
          <w:bCs w:val="0"/>
          <w:color w:val="auto"/>
          <w:kern w:val="28"/>
          <w:sz w:val="21"/>
          <w:szCs w:val="32"/>
          <w:highlight w:val="none"/>
          <w:lang w:val="en-US" w:eastAsia="zh-CN" w:bidi="ar-SA"/>
        </w:rPr>
      </w:pPr>
      <w:r>
        <w:rPr>
          <w:rFonts w:hint="eastAsia" w:ascii="华文仿宋" w:hAnsi="华文仿宋" w:eastAsia="华文仿宋" w:cs="华文仿宋"/>
          <w:b w:val="0"/>
          <w:bCs w:val="0"/>
          <w:color w:val="auto"/>
          <w:kern w:val="28"/>
          <w:sz w:val="21"/>
          <w:szCs w:val="32"/>
          <w:highlight w:val="none"/>
          <w:lang w:val="en-US" w:eastAsia="zh-CN" w:bidi="ar-SA"/>
        </w:rPr>
        <w:fldChar w:fldCharType="begin"/>
      </w:r>
      <w:r>
        <w:rPr>
          <w:rFonts w:hint="eastAsia" w:ascii="华文仿宋" w:hAnsi="华文仿宋" w:eastAsia="华文仿宋" w:cs="华文仿宋"/>
          <w:b w:val="0"/>
          <w:bCs w:val="0"/>
          <w:color w:val="auto"/>
          <w:kern w:val="28"/>
          <w:sz w:val="21"/>
          <w:szCs w:val="32"/>
          <w:highlight w:val="none"/>
          <w:lang w:val="en-US" w:eastAsia="zh-CN" w:bidi="ar-SA"/>
        </w:rPr>
        <w:instrText xml:space="preserve"> HYPERLINK \l "_Toc17602_WPSOffice_Level1" </w:instrText>
      </w:r>
      <w:r>
        <w:rPr>
          <w:rFonts w:hint="eastAsia" w:ascii="华文仿宋" w:hAnsi="华文仿宋" w:eastAsia="华文仿宋" w:cs="华文仿宋"/>
          <w:b w:val="0"/>
          <w:bCs w:val="0"/>
          <w:color w:val="auto"/>
          <w:kern w:val="28"/>
          <w:sz w:val="21"/>
          <w:szCs w:val="32"/>
          <w:highlight w:val="none"/>
          <w:lang w:val="en-US" w:eastAsia="zh-CN" w:bidi="ar-SA"/>
        </w:rPr>
        <w:fldChar w:fldCharType="separate"/>
      </w:r>
      <w:r>
        <w:rPr>
          <w:rFonts w:hint="eastAsia" w:ascii="华文仿宋" w:hAnsi="华文仿宋" w:eastAsia="华文仿宋" w:cs="华文仿宋"/>
          <w:b w:val="0"/>
          <w:bCs w:val="0"/>
          <w:color w:val="auto"/>
          <w:kern w:val="28"/>
          <w:sz w:val="21"/>
          <w:szCs w:val="32"/>
          <w:highlight w:val="none"/>
          <w:lang w:val="en-US" w:eastAsia="zh-CN" w:bidi="ar-SA"/>
        </w:rPr>
        <w:t>五、</w:t>
      </w:r>
      <w:r>
        <w:rPr>
          <w:rFonts w:hint="eastAsia" w:ascii="华文仿宋" w:hAnsi="华文仿宋" w:eastAsia="华文仿宋" w:cs="华文仿宋"/>
          <w:b w:val="0"/>
          <w:bCs w:val="0"/>
          <w:color w:val="auto"/>
          <w:kern w:val="28"/>
          <w:sz w:val="21"/>
          <w:szCs w:val="32"/>
          <w:highlight w:val="none"/>
          <w:lang w:val="en-US" w:eastAsia="zh-CN" w:bidi="ar-SA"/>
        </w:rPr>
        <w:fldChar w:fldCharType="end"/>
      </w:r>
      <w:r>
        <w:rPr>
          <w:rFonts w:hint="eastAsia" w:ascii="华文仿宋" w:hAnsi="华文仿宋" w:eastAsia="华文仿宋" w:cs="华文仿宋"/>
          <w:b w:val="0"/>
          <w:bCs w:val="0"/>
          <w:color w:val="auto"/>
          <w:kern w:val="28"/>
          <w:sz w:val="21"/>
          <w:szCs w:val="32"/>
          <w:highlight w:val="none"/>
          <w:lang w:val="en-US" w:eastAsia="zh-CN" w:bidi="ar-SA"/>
        </w:rPr>
        <w:t>类似项目业绩</w:t>
      </w:r>
    </w:p>
    <w:p w14:paraId="5D91CD67">
      <w:pPr>
        <w:pageBreakBefore w:val="0"/>
        <w:widowControl w:val="0"/>
        <w:kinsoku/>
        <w:wordWrap w:val="0"/>
        <w:overflowPunct/>
        <w:topLinePunct/>
        <w:autoSpaceDE/>
        <w:autoSpaceDN/>
        <w:bidi w:val="0"/>
        <w:snapToGrid/>
        <w:spacing w:line="288" w:lineRule="auto"/>
        <w:ind w:firstLine="420" w:firstLineChars="200"/>
        <w:textAlignment w:val="auto"/>
        <w:outlineLvl w:val="3"/>
        <w:rPr>
          <w:rFonts w:hint="eastAsia" w:ascii="华文仿宋" w:hAnsi="华文仿宋" w:eastAsia="华文仿宋" w:cs="华文仿宋"/>
          <w:b w:val="0"/>
          <w:bCs w:val="0"/>
          <w:color w:val="auto"/>
          <w:kern w:val="28"/>
          <w:sz w:val="21"/>
          <w:szCs w:val="32"/>
          <w:highlight w:val="none"/>
          <w:lang w:val="en-US" w:eastAsia="zh-CN" w:bidi="ar-SA"/>
        </w:rPr>
      </w:pPr>
      <w:r>
        <w:rPr>
          <w:rFonts w:hint="eastAsia" w:ascii="华文仿宋" w:hAnsi="华文仿宋" w:eastAsia="华文仿宋" w:cs="华文仿宋"/>
          <w:b w:val="0"/>
          <w:bCs w:val="0"/>
          <w:color w:val="auto"/>
          <w:kern w:val="28"/>
          <w:sz w:val="21"/>
          <w:szCs w:val="32"/>
          <w:highlight w:val="none"/>
          <w:lang w:val="en-US" w:eastAsia="zh-CN" w:bidi="ar-SA"/>
        </w:rPr>
        <w:t>六、拟投机械设备一览表</w:t>
      </w:r>
    </w:p>
    <w:p w14:paraId="639C5BB8">
      <w:pPr>
        <w:pageBreakBefore w:val="0"/>
        <w:widowControl w:val="0"/>
        <w:kinsoku/>
        <w:wordWrap w:val="0"/>
        <w:overflowPunct/>
        <w:topLinePunct/>
        <w:autoSpaceDE/>
        <w:autoSpaceDN/>
        <w:bidi w:val="0"/>
        <w:snapToGrid/>
        <w:spacing w:line="288" w:lineRule="auto"/>
        <w:ind w:firstLine="420" w:firstLineChars="200"/>
        <w:textAlignment w:val="auto"/>
        <w:outlineLvl w:val="3"/>
        <w:rPr>
          <w:rFonts w:hint="eastAsia" w:ascii="华文仿宋" w:hAnsi="华文仿宋" w:eastAsia="华文仿宋" w:cs="华文仿宋"/>
          <w:b w:val="0"/>
          <w:bCs w:val="0"/>
          <w:color w:val="auto"/>
          <w:kern w:val="28"/>
          <w:sz w:val="21"/>
          <w:szCs w:val="32"/>
          <w:highlight w:val="none"/>
          <w:lang w:val="en-US" w:eastAsia="zh-CN" w:bidi="ar-SA"/>
        </w:rPr>
      </w:pPr>
      <w:r>
        <w:rPr>
          <w:rFonts w:hint="eastAsia" w:ascii="华文仿宋" w:hAnsi="华文仿宋" w:eastAsia="华文仿宋" w:cs="华文仿宋"/>
          <w:b w:val="0"/>
          <w:bCs w:val="0"/>
          <w:color w:val="auto"/>
          <w:kern w:val="28"/>
          <w:sz w:val="21"/>
          <w:szCs w:val="32"/>
          <w:highlight w:val="none"/>
          <w:lang w:val="en-US" w:eastAsia="zh-CN" w:bidi="ar-SA"/>
        </w:rPr>
        <w:fldChar w:fldCharType="begin"/>
      </w:r>
      <w:r>
        <w:rPr>
          <w:rFonts w:hint="eastAsia" w:ascii="华文仿宋" w:hAnsi="华文仿宋" w:eastAsia="华文仿宋" w:cs="华文仿宋"/>
          <w:b w:val="0"/>
          <w:bCs w:val="0"/>
          <w:color w:val="auto"/>
          <w:kern w:val="28"/>
          <w:sz w:val="21"/>
          <w:szCs w:val="32"/>
          <w:highlight w:val="none"/>
          <w:lang w:val="en-US" w:eastAsia="zh-CN" w:bidi="ar-SA"/>
        </w:rPr>
        <w:instrText xml:space="preserve"> HYPERLINK \l "_Toc60_WPSOffice_Level1" </w:instrText>
      </w:r>
      <w:r>
        <w:rPr>
          <w:rFonts w:hint="eastAsia" w:ascii="华文仿宋" w:hAnsi="华文仿宋" w:eastAsia="华文仿宋" w:cs="华文仿宋"/>
          <w:b w:val="0"/>
          <w:bCs w:val="0"/>
          <w:color w:val="auto"/>
          <w:kern w:val="28"/>
          <w:sz w:val="21"/>
          <w:szCs w:val="32"/>
          <w:highlight w:val="none"/>
          <w:lang w:val="en-US" w:eastAsia="zh-CN" w:bidi="ar-SA"/>
        </w:rPr>
        <w:fldChar w:fldCharType="separate"/>
      </w:r>
      <w:r>
        <w:rPr>
          <w:rFonts w:hint="eastAsia" w:ascii="华文仿宋" w:hAnsi="华文仿宋" w:eastAsia="华文仿宋" w:cs="华文仿宋"/>
          <w:b w:val="0"/>
          <w:bCs w:val="0"/>
          <w:color w:val="auto"/>
          <w:kern w:val="28"/>
          <w:sz w:val="21"/>
          <w:szCs w:val="32"/>
          <w:highlight w:val="none"/>
          <w:lang w:val="en-US" w:eastAsia="zh-CN" w:bidi="ar-SA"/>
        </w:rPr>
        <w:t>七、</w:t>
      </w:r>
      <w:r>
        <w:rPr>
          <w:rFonts w:hint="eastAsia" w:ascii="华文仿宋" w:hAnsi="华文仿宋" w:eastAsia="华文仿宋" w:cs="华文仿宋"/>
          <w:b w:val="0"/>
          <w:bCs w:val="0"/>
          <w:color w:val="auto"/>
          <w:kern w:val="28"/>
          <w:sz w:val="21"/>
          <w:szCs w:val="32"/>
          <w:highlight w:val="none"/>
          <w:lang w:val="en-US" w:eastAsia="zh-CN" w:bidi="ar-SA"/>
        </w:rPr>
        <w:fldChar w:fldCharType="end"/>
      </w:r>
      <w:r>
        <w:rPr>
          <w:rFonts w:hint="eastAsia" w:ascii="华文仿宋" w:hAnsi="华文仿宋" w:eastAsia="华文仿宋" w:cs="华文仿宋"/>
          <w:b w:val="0"/>
          <w:bCs w:val="0"/>
          <w:color w:val="auto"/>
          <w:kern w:val="28"/>
          <w:sz w:val="21"/>
          <w:szCs w:val="32"/>
          <w:highlight w:val="none"/>
          <w:lang w:val="en-US" w:eastAsia="zh-CN" w:bidi="ar-SA"/>
        </w:rPr>
        <w:t>资格证明文件</w:t>
      </w:r>
    </w:p>
    <w:p w14:paraId="151CD35A">
      <w:pPr>
        <w:pageBreakBefore w:val="0"/>
        <w:widowControl w:val="0"/>
        <w:kinsoku/>
        <w:wordWrap w:val="0"/>
        <w:overflowPunct/>
        <w:topLinePunct/>
        <w:autoSpaceDE/>
        <w:autoSpaceDN/>
        <w:bidi w:val="0"/>
        <w:snapToGrid/>
        <w:spacing w:line="288" w:lineRule="auto"/>
        <w:ind w:firstLine="420" w:firstLineChars="200"/>
        <w:textAlignment w:val="auto"/>
        <w:outlineLvl w:val="3"/>
        <w:rPr>
          <w:rFonts w:hint="eastAsia" w:ascii="华文仿宋" w:hAnsi="华文仿宋" w:eastAsia="华文仿宋" w:cs="华文仿宋"/>
          <w:b w:val="0"/>
          <w:bCs w:val="0"/>
          <w:color w:val="auto"/>
          <w:kern w:val="28"/>
          <w:sz w:val="21"/>
          <w:szCs w:val="32"/>
          <w:highlight w:val="none"/>
          <w:lang w:val="en-US" w:eastAsia="zh-CN" w:bidi="ar-SA"/>
        </w:rPr>
      </w:pPr>
      <w:r>
        <w:rPr>
          <w:rFonts w:hint="eastAsia" w:ascii="华文仿宋" w:hAnsi="华文仿宋" w:eastAsia="华文仿宋" w:cs="华文仿宋"/>
          <w:b w:val="0"/>
          <w:bCs w:val="0"/>
          <w:color w:val="auto"/>
          <w:kern w:val="28"/>
          <w:sz w:val="21"/>
          <w:szCs w:val="32"/>
          <w:highlight w:val="none"/>
          <w:lang w:val="en-US" w:eastAsia="zh-CN" w:bidi="ar-SA"/>
        </w:rPr>
        <w:t>八、中小企业声明函</w:t>
      </w:r>
    </w:p>
    <w:p w14:paraId="7E59146B">
      <w:pPr>
        <w:pageBreakBefore w:val="0"/>
        <w:widowControl w:val="0"/>
        <w:kinsoku/>
        <w:wordWrap w:val="0"/>
        <w:overflowPunct/>
        <w:topLinePunct/>
        <w:autoSpaceDE/>
        <w:autoSpaceDN/>
        <w:bidi w:val="0"/>
        <w:snapToGrid/>
        <w:spacing w:line="288" w:lineRule="auto"/>
        <w:ind w:firstLine="420" w:firstLineChars="200"/>
        <w:textAlignment w:val="auto"/>
        <w:outlineLvl w:val="3"/>
        <w:rPr>
          <w:rFonts w:hint="eastAsia" w:ascii="华文仿宋" w:hAnsi="华文仿宋" w:eastAsia="华文仿宋" w:cs="华文仿宋"/>
          <w:b w:val="0"/>
          <w:bCs w:val="0"/>
          <w:color w:val="auto"/>
          <w:kern w:val="28"/>
          <w:sz w:val="21"/>
          <w:szCs w:val="32"/>
          <w:highlight w:val="none"/>
          <w:lang w:val="en-US" w:eastAsia="zh-CN" w:bidi="ar-SA"/>
        </w:rPr>
      </w:pPr>
      <w:r>
        <w:rPr>
          <w:rFonts w:hint="eastAsia" w:ascii="华文仿宋" w:hAnsi="华文仿宋" w:eastAsia="华文仿宋" w:cs="华文仿宋"/>
          <w:b w:val="0"/>
          <w:bCs w:val="0"/>
          <w:color w:val="auto"/>
          <w:kern w:val="28"/>
          <w:sz w:val="21"/>
          <w:szCs w:val="32"/>
          <w:highlight w:val="none"/>
          <w:lang w:val="en-US" w:eastAsia="zh-CN" w:bidi="ar-SA"/>
        </w:rPr>
        <w:t>九、残疾人福利性单位声明函</w:t>
      </w:r>
    </w:p>
    <w:p w14:paraId="74B61D9E">
      <w:pPr>
        <w:pageBreakBefore w:val="0"/>
        <w:widowControl w:val="0"/>
        <w:kinsoku/>
        <w:wordWrap w:val="0"/>
        <w:overflowPunct/>
        <w:topLinePunct/>
        <w:autoSpaceDE/>
        <w:autoSpaceDN/>
        <w:bidi w:val="0"/>
        <w:snapToGrid/>
        <w:spacing w:line="288" w:lineRule="auto"/>
        <w:ind w:firstLine="420" w:firstLineChars="200"/>
        <w:textAlignment w:val="auto"/>
        <w:outlineLvl w:val="3"/>
        <w:rPr>
          <w:rFonts w:hint="eastAsia" w:ascii="华文仿宋" w:hAnsi="华文仿宋" w:eastAsia="华文仿宋" w:cs="华文仿宋"/>
          <w:b w:val="0"/>
          <w:bCs w:val="0"/>
          <w:color w:val="auto"/>
          <w:kern w:val="28"/>
          <w:sz w:val="21"/>
          <w:szCs w:val="32"/>
          <w:highlight w:val="none"/>
          <w:lang w:val="en-US" w:eastAsia="zh-CN" w:bidi="ar-SA"/>
        </w:rPr>
      </w:pPr>
      <w:r>
        <w:rPr>
          <w:rFonts w:hint="eastAsia" w:ascii="华文仿宋" w:hAnsi="华文仿宋" w:eastAsia="华文仿宋" w:cs="华文仿宋"/>
          <w:b w:val="0"/>
          <w:bCs w:val="0"/>
          <w:color w:val="auto"/>
          <w:kern w:val="28"/>
          <w:sz w:val="21"/>
          <w:szCs w:val="32"/>
          <w:highlight w:val="none"/>
          <w:lang w:val="en-US" w:eastAsia="zh-CN" w:bidi="ar-SA"/>
        </w:rPr>
        <w:t>十、反商业贿赂承诺书</w:t>
      </w:r>
    </w:p>
    <w:p w14:paraId="120BDCB5">
      <w:pPr>
        <w:pageBreakBefore w:val="0"/>
        <w:widowControl w:val="0"/>
        <w:kinsoku/>
        <w:wordWrap w:val="0"/>
        <w:overflowPunct/>
        <w:topLinePunct/>
        <w:autoSpaceDE/>
        <w:autoSpaceDN/>
        <w:bidi w:val="0"/>
        <w:snapToGrid/>
        <w:spacing w:line="288" w:lineRule="auto"/>
        <w:ind w:firstLine="420" w:firstLineChars="200"/>
        <w:textAlignment w:val="auto"/>
        <w:outlineLvl w:val="3"/>
        <w:rPr>
          <w:rFonts w:hint="eastAsia" w:ascii="华文仿宋" w:hAnsi="华文仿宋" w:eastAsia="华文仿宋" w:cs="华文仿宋"/>
          <w:b w:val="0"/>
          <w:bCs w:val="0"/>
          <w:color w:val="auto"/>
          <w:kern w:val="28"/>
          <w:sz w:val="21"/>
          <w:szCs w:val="32"/>
          <w:highlight w:val="none"/>
          <w:lang w:val="en-US" w:eastAsia="zh-CN" w:bidi="ar-SA"/>
        </w:rPr>
      </w:pPr>
      <w:r>
        <w:rPr>
          <w:rFonts w:hint="eastAsia" w:ascii="华文仿宋" w:hAnsi="华文仿宋" w:eastAsia="华文仿宋" w:cs="华文仿宋"/>
          <w:b w:val="0"/>
          <w:bCs w:val="0"/>
          <w:color w:val="auto"/>
          <w:kern w:val="28"/>
          <w:sz w:val="21"/>
          <w:szCs w:val="32"/>
          <w:highlight w:val="none"/>
          <w:lang w:val="en-US" w:eastAsia="zh-CN" w:bidi="ar-SA"/>
        </w:rPr>
        <w:t>十一、其他材料</w:t>
      </w:r>
    </w:p>
    <w:p w14:paraId="68175C9A">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lang w:val="en-US" w:eastAsia="zh-CN"/>
        </w:rPr>
      </w:pPr>
      <w:r>
        <w:rPr>
          <w:rFonts w:hint="eastAsia" w:ascii="华文仿宋" w:hAnsi="华文仿宋" w:eastAsia="华文仿宋" w:cs="华文仿宋"/>
          <w:b/>
          <w:bCs/>
          <w:color w:val="auto"/>
          <w:sz w:val="21"/>
          <w:szCs w:val="21"/>
          <w:highlight w:val="none"/>
          <w:lang w:val="en-US" w:eastAsia="zh-CN"/>
        </w:rPr>
        <w:t>3.2 磋商报价</w:t>
      </w:r>
      <w:bookmarkEnd w:id="261"/>
      <w:bookmarkEnd w:id="262"/>
      <w:bookmarkEnd w:id="263"/>
      <w:bookmarkEnd w:id="264"/>
      <w:bookmarkEnd w:id="265"/>
      <w:bookmarkEnd w:id="266"/>
      <w:bookmarkEnd w:id="267"/>
      <w:bookmarkEnd w:id="268"/>
    </w:p>
    <w:p w14:paraId="3A2AD880">
      <w:pPr>
        <w:pageBreakBefore w:val="0"/>
        <w:widowControl w:val="0"/>
        <w:kinsoku/>
        <w:wordWrap w:val="0"/>
        <w:overflowPunct/>
        <w:topLinePunct/>
        <w:autoSpaceDE/>
        <w:autoSpaceDN/>
        <w:bidi w:val="0"/>
        <w:snapToGrid/>
        <w:spacing w:line="288" w:lineRule="auto"/>
        <w:ind w:firstLine="420" w:firstLineChars="200"/>
        <w:textAlignment w:val="auto"/>
        <w:outlineLvl w:val="2"/>
        <w:rPr>
          <w:rFonts w:hint="eastAsia" w:ascii="华文仿宋" w:hAnsi="华文仿宋" w:eastAsia="华文仿宋" w:cs="华文仿宋"/>
          <w:b w:val="0"/>
          <w:bCs w:val="0"/>
          <w:color w:val="auto"/>
          <w:kern w:val="28"/>
          <w:sz w:val="21"/>
          <w:szCs w:val="32"/>
          <w:highlight w:val="none"/>
          <w:lang w:val="en-US" w:eastAsia="zh-CN" w:bidi="ar-SA"/>
        </w:rPr>
      </w:pPr>
      <w:bookmarkStart w:id="269" w:name="_Toc12402"/>
      <w:r>
        <w:rPr>
          <w:rFonts w:hint="eastAsia" w:ascii="华文仿宋" w:hAnsi="华文仿宋" w:eastAsia="华文仿宋" w:cs="华文仿宋"/>
          <w:b w:val="0"/>
          <w:bCs w:val="0"/>
          <w:color w:val="auto"/>
          <w:kern w:val="28"/>
          <w:sz w:val="21"/>
          <w:szCs w:val="32"/>
          <w:highlight w:val="none"/>
          <w:lang w:val="en-US" w:eastAsia="zh-CN" w:bidi="ar-SA"/>
        </w:rPr>
        <w:t>3.2.1本项目的磋商报价应按照竞争性磋商文件、补充通知、答疑纪要、现场情况、承包范围，并充分考虑服务期间各类材料、人工市场风险和国家政策性调整等风险系数，由各响应人根据自身情况，在合理范围内，自主考虑、优惠报价，人工服务费、差旅费、运输费（含装卸费）、保险费、税费、培训费等维保期间所发生的所有费用，但不得低于企业成本，分二次报价：第一次报价必须按照竞争性磋商文件的报价格式填报，第二次报价在磋商中填报，第二次报价（不得高于第一次报价）即为最终报价</w:t>
      </w:r>
      <w:bookmarkEnd w:id="269"/>
      <w:r>
        <w:rPr>
          <w:rFonts w:hint="eastAsia" w:ascii="华文仿宋" w:hAnsi="华文仿宋" w:eastAsia="华文仿宋" w:cs="华文仿宋"/>
          <w:b w:val="0"/>
          <w:bCs w:val="0"/>
          <w:color w:val="auto"/>
          <w:kern w:val="28"/>
          <w:sz w:val="21"/>
          <w:szCs w:val="32"/>
          <w:highlight w:val="none"/>
          <w:lang w:val="en-US" w:eastAsia="zh-CN" w:bidi="ar-SA"/>
        </w:rPr>
        <w:t>。</w:t>
      </w:r>
    </w:p>
    <w:p w14:paraId="3F54FC7D">
      <w:pPr>
        <w:pageBreakBefore w:val="0"/>
        <w:widowControl w:val="0"/>
        <w:kinsoku/>
        <w:wordWrap w:val="0"/>
        <w:overflowPunct/>
        <w:topLinePunct/>
        <w:autoSpaceDE/>
        <w:autoSpaceDN/>
        <w:bidi w:val="0"/>
        <w:snapToGrid/>
        <w:spacing w:line="288" w:lineRule="auto"/>
        <w:ind w:firstLine="420" w:firstLineChars="200"/>
        <w:textAlignment w:val="auto"/>
        <w:outlineLvl w:val="2"/>
        <w:rPr>
          <w:rFonts w:hint="eastAsia" w:ascii="华文仿宋" w:hAnsi="华文仿宋" w:eastAsia="华文仿宋" w:cs="华文仿宋"/>
          <w:b w:val="0"/>
          <w:bCs w:val="0"/>
          <w:color w:val="auto"/>
          <w:kern w:val="28"/>
          <w:sz w:val="21"/>
          <w:szCs w:val="32"/>
          <w:highlight w:val="none"/>
          <w:lang w:val="en-US" w:eastAsia="zh-CN" w:bidi="ar-SA"/>
        </w:rPr>
      </w:pPr>
      <w:r>
        <w:rPr>
          <w:rFonts w:hint="eastAsia" w:ascii="华文仿宋" w:hAnsi="华文仿宋" w:eastAsia="华文仿宋" w:cs="华文仿宋"/>
          <w:b w:val="0"/>
          <w:bCs w:val="0"/>
          <w:color w:val="auto"/>
          <w:kern w:val="28"/>
          <w:sz w:val="21"/>
          <w:szCs w:val="32"/>
          <w:highlight w:val="none"/>
          <w:lang w:val="en-US" w:eastAsia="zh-CN" w:bidi="ar-SA"/>
        </w:rPr>
        <w:t>3.2.2供应商应充分了解该项目的总体情况以及影响磋商报价的其它要素，考虑服务期间的价格风险因素，成交价在合同实施期内不得调整，同时也不因市场价格变动而调整。</w:t>
      </w:r>
    </w:p>
    <w:p w14:paraId="694219B1">
      <w:pPr>
        <w:pageBreakBefore w:val="0"/>
        <w:widowControl w:val="0"/>
        <w:kinsoku/>
        <w:wordWrap w:val="0"/>
        <w:overflowPunct/>
        <w:topLinePunct/>
        <w:autoSpaceDE/>
        <w:autoSpaceDN/>
        <w:bidi w:val="0"/>
        <w:snapToGrid/>
        <w:spacing w:line="288" w:lineRule="auto"/>
        <w:ind w:firstLine="420" w:firstLineChars="200"/>
        <w:textAlignment w:val="auto"/>
        <w:outlineLvl w:val="3"/>
        <w:rPr>
          <w:rFonts w:hint="eastAsia" w:ascii="华文仿宋" w:hAnsi="华文仿宋" w:eastAsia="华文仿宋" w:cs="华文仿宋"/>
          <w:b w:val="0"/>
          <w:bCs w:val="0"/>
          <w:color w:val="auto"/>
          <w:kern w:val="28"/>
          <w:sz w:val="21"/>
          <w:szCs w:val="32"/>
          <w:highlight w:val="none"/>
          <w:lang w:val="en-US" w:eastAsia="zh-CN" w:bidi="ar-SA"/>
        </w:rPr>
      </w:pPr>
      <w:r>
        <w:rPr>
          <w:rFonts w:hint="eastAsia" w:ascii="华文仿宋" w:hAnsi="华文仿宋" w:eastAsia="华文仿宋" w:cs="华文仿宋"/>
          <w:b w:val="0"/>
          <w:bCs w:val="0"/>
          <w:color w:val="auto"/>
          <w:kern w:val="28"/>
          <w:sz w:val="21"/>
          <w:szCs w:val="32"/>
          <w:highlight w:val="none"/>
          <w:lang w:val="en-US" w:eastAsia="zh-CN" w:bidi="ar-SA"/>
        </w:rPr>
        <w:t>3.2.3 响应报价表中的大写金额和小写金额不一致的，以大写金额为准。</w:t>
      </w:r>
    </w:p>
    <w:p w14:paraId="395279EF">
      <w:pPr>
        <w:pageBreakBefore w:val="0"/>
        <w:widowControl w:val="0"/>
        <w:kinsoku/>
        <w:wordWrap w:val="0"/>
        <w:overflowPunct/>
        <w:topLinePunct/>
        <w:autoSpaceDE/>
        <w:autoSpaceDN/>
        <w:bidi w:val="0"/>
        <w:snapToGrid/>
        <w:spacing w:line="288" w:lineRule="auto"/>
        <w:ind w:firstLine="420" w:firstLineChars="200"/>
        <w:textAlignment w:val="auto"/>
        <w:outlineLvl w:val="2"/>
        <w:rPr>
          <w:rFonts w:hint="eastAsia" w:ascii="华文仿宋" w:hAnsi="华文仿宋" w:eastAsia="华文仿宋" w:cs="华文仿宋"/>
          <w:b/>
          <w:bCs/>
          <w:color w:val="auto"/>
          <w:kern w:val="28"/>
          <w:sz w:val="21"/>
          <w:szCs w:val="32"/>
          <w:highlight w:val="none"/>
          <w:lang w:val="en-US" w:eastAsia="zh-CN" w:bidi="ar-SA"/>
        </w:rPr>
      </w:pPr>
      <w:r>
        <w:rPr>
          <w:rFonts w:hint="eastAsia" w:ascii="华文仿宋" w:hAnsi="华文仿宋" w:eastAsia="华文仿宋" w:cs="华文仿宋"/>
          <w:b w:val="0"/>
          <w:bCs w:val="0"/>
          <w:color w:val="auto"/>
          <w:kern w:val="28"/>
          <w:sz w:val="21"/>
          <w:szCs w:val="32"/>
          <w:highlight w:val="none"/>
          <w:lang w:val="en-US" w:eastAsia="zh-CN" w:bidi="ar-SA"/>
        </w:rPr>
        <w:t>3.2.4供应商的报价明显低于其他通过符合性审查供应商的报价，有可能影响服务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p>
    <w:p w14:paraId="1188DD1B">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270" w:name="_Toc19893"/>
      <w:r>
        <w:rPr>
          <w:rFonts w:hint="eastAsia" w:ascii="华文仿宋" w:hAnsi="华文仿宋" w:eastAsia="华文仿宋" w:cs="华文仿宋"/>
          <w:b/>
          <w:bCs/>
          <w:color w:val="auto"/>
          <w:sz w:val="21"/>
          <w:szCs w:val="21"/>
          <w:highlight w:val="none"/>
        </w:rPr>
        <w:t>3.</w:t>
      </w:r>
      <w:r>
        <w:rPr>
          <w:rFonts w:hint="eastAsia" w:ascii="华文仿宋" w:hAnsi="华文仿宋" w:eastAsia="华文仿宋" w:cs="华文仿宋"/>
          <w:b/>
          <w:bCs/>
          <w:color w:val="auto"/>
          <w:sz w:val="21"/>
          <w:szCs w:val="21"/>
          <w:highlight w:val="none"/>
          <w:lang w:val="en-US" w:eastAsia="zh-CN"/>
        </w:rPr>
        <w:t>3</w:t>
      </w:r>
      <w:r>
        <w:rPr>
          <w:rFonts w:hint="eastAsia" w:ascii="华文仿宋" w:hAnsi="华文仿宋" w:eastAsia="华文仿宋" w:cs="华文仿宋"/>
          <w:b/>
          <w:bCs/>
          <w:color w:val="auto"/>
          <w:sz w:val="21"/>
          <w:szCs w:val="21"/>
          <w:highlight w:val="none"/>
        </w:rPr>
        <w:t xml:space="preserve"> 磋商有效期</w:t>
      </w:r>
      <w:bookmarkEnd w:id="270"/>
    </w:p>
    <w:p w14:paraId="79BE813B">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3.</w:t>
      </w:r>
      <w:r>
        <w:rPr>
          <w:rFonts w:hint="eastAsia" w:ascii="华文仿宋" w:hAnsi="华文仿宋" w:eastAsia="华文仿宋" w:cs="华文仿宋"/>
          <w:color w:val="auto"/>
          <w:szCs w:val="21"/>
          <w:highlight w:val="none"/>
          <w:lang w:val="en-US" w:eastAsia="zh-CN"/>
        </w:rPr>
        <w:t>3</w:t>
      </w:r>
      <w:r>
        <w:rPr>
          <w:rFonts w:hint="eastAsia" w:ascii="华文仿宋" w:hAnsi="华文仿宋" w:eastAsia="华文仿宋" w:cs="华文仿宋"/>
          <w:color w:val="auto"/>
          <w:szCs w:val="21"/>
          <w:highlight w:val="none"/>
        </w:rPr>
        <w:t>.1 在供应商须知前附表规定的磋商有效期内，供应商不得要求撤销或修改其响应文件。</w:t>
      </w:r>
    </w:p>
    <w:p w14:paraId="59C5044C">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3.</w:t>
      </w:r>
      <w:r>
        <w:rPr>
          <w:rFonts w:hint="eastAsia" w:ascii="华文仿宋" w:hAnsi="华文仿宋" w:eastAsia="华文仿宋" w:cs="华文仿宋"/>
          <w:color w:val="auto"/>
          <w:szCs w:val="21"/>
          <w:highlight w:val="none"/>
          <w:lang w:val="en-US" w:eastAsia="zh-CN"/>
        </w:rPr>
        <w:t>3</w:t>
      </w:r>
      <w:r>
        <w:rPr>
          <w:rFonts w:hint="eastAsia" w:ascii="华文仿宋" w:hAnsi="华文仿宋" w:eastAsia="华文仿宋" w:cs="华文仿宋"/>
          <w:color w:val="auto"/>
          <w:szCs w:val="21"/>
          <w:highlight w:val="none"/>
        </w:rPr>
        <w:t xml:space="preserve">.2出现特殊情况需要延长磋商有效期的，采购人以书面形式通知所有供应商延长磋商有效期。供应商同意延长的，但不得要求或被允许修改或撤销其响应文件；供应商拒绝延长的，其响应文件失效。 </w:t>
      </w:r>
    </w:p>
    <w:p w14:paraId="7107EC5E">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lang w:eastAsia="zh-CN"/>
        </w:rPr>
      </w:pPr>
      <w:bookmarkStart w:id="271" w:name="_Toc318450694"/>
      <w:bookmarkStart w:id="272" w:name="_Toc455867787"/>
      <w:bookmarkStart w:id="273" w:name="_Toc7618"/>
      <w:bookmarkStart w:id="274" w:name="_Toc144974518"/>
      <w:bookmarkStart w:id="275" w:name="_Toc455080127"/>
      <w:bookmarkStart w:id="276" w:name="_Toc4165"/>
      <w:bookmarkStart w:id="277" w:name="_Toc490667847"/>
      <w:bookmarkStart w:id="278" w:name="_Toc30697"/>
      <w:bookmarkStart w:id="279" w:name="_Toc10370"/>
      <w:bookmarkStart w:id="280" w:name="_Toc2505"/>
      <w:bookmarkStart w:id="281" w:name="_Toc152045550"/>
      <w:bookmarkStart w:id="282" w:name="_Toc466298110"/>
      <w:bookmarkStart w:id="283" w:name="_Toc152042326"/>
      <w:bookmarkStart w:id="284" w:name="_Toc22634"/>
      <w:bookmarkStart w:id="285" w:name="_Toc7973"/>
      <w:bookmarkStart w:id="286" w:name="_Toc7057"/>
      <w:bookmarkStart w:id="287" w:name="_Toc8406"/>
      <w:bookmarkStart w:id="288" w:name="_Toc10442"/>
      <w:bookmarkStart w:id="289" w:name="_Toc13921"/>
      <w:r>
        <w:rPr>
          <w:rFonts w:hint="eastAsia" w:ascii="华文仿宋" w:hAnsi="华文仿宋" w:eastAsia="华文仿宋" w:cs="华文仿宋"/>
          <w:b/>
          <w:bCs/>
          <w:color w:val="auto"/>
          <w:sz w:val="21"/>
          <w:szCs w:val="21"/>
          <w:highlight w:val="none"/>
        </w:rPr>
        <w:t>3.</w:t>
      </w:r>
      <w:r>
        <w:rPr>
          <w:rFonts w:hint="eastAsia" w:ascii="华文仿宋" w:hAnsi="华文仿宋" w:eastAsia="华文仿宋" w:cs="华文仿宋"/>
          <w:b/>
          <w:bCs/>
          <w:color w:val="auto"/>
          <w:sz w:val="21"/>
          <w:szCs w:val="21"/>
          <w:highlight w:val="none"/>
          <w:lang w:val="en-US" w:eastAsia="zh-CN"/>
        </w:rPr>
        <w:t>4</w:t>
      </w:r>
      <w:r>
        <w:rPr>
          <w:rFonts w:hint="eastAsia" w:ascii="华文仿宋" w:hAnsi="华文仿宋" w:eastAsia="华文仿宋" w:cs="华文仿宋"/>
          <w:b/>
          <w:bCs/>
          <w:color w:val="auto"/>
          <w:sz w:val="21"/>
          <w:szCs w:val="21"/>
          <w:highlight w:val="none"/>
        </w:rPr>
        <w:t xml:space="preserve"> 磋商保证金</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Start w:id="290" w:name="_Toc152042328"/>
      <w:bookmarkStart w:id="291" w:name="_Toc144974520"/>
      <w:bookmarkStart w:id="292" w:name="_Toc152045552"/>
      <w:bookmarkStart w:id="293" w:name="_Toc318450695"/>
      <w:r>
        <w:rPr>
          <w:rFonts w:hint="eastAsia" w:ascii="华文仿宋" w:hAnsi="华文仿宋" w:eastAsia="华文仿宋" w:cs="华文仿宋"/>
          <w:b/>
          <w:bCs/>
          <w:color w:val="auto"/>
          <w:sz w:val="21"/>
          <w:szCs w:val="21"/>
          <w:highlight w:val="none"/>
          <w:lang w:eastAsia="zh-CN"/>
        </w:rPr>
        <w:t>：</w:t>
      </w:r>
      <w:bookmarkEnd w:id="288"/>
    </w:p>
    <w:p w14:paraId="14A7278C">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highlight w:val="none"/>
          <w:lang w:eastAsia="zh-CN"/>
        </w:rPr>
      </w:pPr>
      <w:r>
        <w:rPr>
          <w:rFonts w:hint="eastAsia" w:ascii="华文仿宋" w:hAnsi="华文仿宋" w:eastAsia="华文仿宋" w:cs="华文仿宋"/>
          <w:color w:val="auto"/>
          <w:highlight w:val="none"/>
          <w:lang w:val="en-US" w:eastAsia="zh-CN"/>
        </w:rPr>
        <w:t>无。</w:t>
      </w:r>
      <w:bookmarkEnd w:id="289"/>
    </w:p>
    <w:p w14:paraId="4E99C7F2">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294" w:name="_Toc27579"/>
      <w:bookmarkStart w:id="295" w:name="_Toc466298111"/>
      <w:bookmarkStart w:id="296" w:name="_Toc22527"/>
      <w:bookmarkStart w:id="297" w:name="_Toc22384"/>
      <w:bookmarkStart w:id="298" w:name="_Toc455080128"/>
      <w:bookmarkStart w:id="299" w:name="_Toc2794"/>
      <w:bookmarkStart w:id="300" w:name="_Toc455867788"/>
      <w:bookmarkStart w:id="301" w:name="_Toc16747"/>
      <w:bookmarkStart w:id="302" w:name="_Toc21791"/>
      <w:bookmarkStart w:id="303" w:name="_Toc17153"/>
      <w:bookmarkStart w:id="304" w:name="_Toc490667848"/>
      <w:bookmarkStart w:id="305" w:name="_Toc11077"/>
      <w:bookmarkStart w:id="306" w:name="_Toc15547"/>
      <w:bookmarkStart w:id="307" w:name="_Toc13680"/>
      <w:bookmarkStart w:id="308" w:name="_Toc20328"/>
      <w:r>
        <w:rPr>
          <w:rFonts w:hint="eastAsia" w:ascii="华文仿宋" w:hAnsi="华文仿宋" w:eastAsia="华文仿宋" w:cs="华文仿宋"/>
          <w:b/>
          <w:bCs/>
          <w:color w:val="auto"/>
          <w:sz w:val="21"/>
          <w:szCs w:val="21"/>
          <w:highlight w:val="none"/>
        </w:rPr>
        <w:t>3.</w:t>
      </w:r>
      <w:r>
        <w:rPr>
          <w:rFonts w:hint="eastAsia" w:ascii="华文仿宋" w:hAnsi="华文仿宋" w:eastAsia="华文仿宋" w:cs="华文仿宋"/>
          <w:b/>
          <w:bCs/>
          <w:color w:val="auto"/>
          <w:sz w:val="21"/>
          <w:szCs w:val="21"/>
          <w:highlight w:val="none"/>
          <w:lang w:val="en-US" w:eastAsia="zh-CN"/>
        </w:rPr>
        <w:t>5</w:t>
      </w:r>
      <w:r>
        <w:rPr>
          <w:rFonts w:hint="eastAsia" w:ascii="华文仿宋" w:hAnsi="华文仿宋" w:eastAsia="华文仿宋" w:cs="华文仿宋"/>
          <w:b/>
          <w:bCs/>
          <w:color w:val="auto"/>
          <w:sz w:val="21"/>
          <w:szCs w:val="21"/>
          <w:highlight w:val="none"/>
        </w:rPr>
        <w:t>资格审查资料</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267E877D">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highlight w:val="none"/>
          <w:lang w:val="en-US" w:eastAsia="zh-CN"/>
        </w:rPr>
      </w:pPr>
      <w:bookmarkStart w:id="309" w:name="_Toc4586"/>
      <w:bookmarkStart w:id="310" w:name="_Toc455867789"/>
      <w:bookmarkStart w:id="311" w:name="_Toc318450696"/>
      <w:bookmarkStart w:id="312" w:name="_Toc455080129"/>
      <w:bookmarkStart w:id="313" w:name="_Toc9015"/>
      <w:bookmarkStart w:id="314" w:name="_Toc466298112"/>
      <w:bookmarkStart w:id="315" w:name="_Toc26258"/>
      <w:bookmarkStart w:id="316" w:name="_Toc144974521"/>
      <w:bookmarkStart w:id="317" w:name="_Toc152045553"/>
      <w:bookmarkStart w:id="318" w:name="_Toc30442"/>
      <w:bookmarkStart w:id="319" w:name="_Toc3286"/>
      <w:bookmarkStart w:id="320" w:name="_Toc19724"/>
      <w:bookmarkStart w:id="321" w:name="_Toc490667849"/>
      <w:bookmarkStart w:id="322" w:name="_Toc5132"/>
      <w:bookmarkStart w:id="323" w:name="_Toc18915"/>
      <w:bookmarkStart w:id="324" w:name="_Toc152042329"/>
      <w:bookmarkStart w:id="325" w:name="_Toc1228"/>
      <w:bookmarkStart w:id="326" w:name="_Toc11694"/>
      <w:r>
        <w:rPr>
          <w:rFonts w:hint="eastAsia" w:ascii="华文仿宋" w:hAnsi="华文仿宋" w:eastAsia="华文仿宋" w:cs="华文仿宋"/>
          <w:color w:val="auto"/>
          <w:highlight w:val="none"/>
          <w:lang w:val="en-US" w:eastAsia="zh-CN"/>
        </w:rPr>
        <w:t>按照第二章供应商须知表“供应商须知前附表”1.5.1要求，提供其他相关材料。</w:t>
      </w:r>
      <w:bookmarkEnd w:id="309"/>
    </w:p>
    <w:p w14:paraId="3E7CF01A">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327" w:name="_Toc10449"/>
      <w:bookmarkStart w:id="328" w:name="_Toc24859"/>
      <w:r>
        <w:rPr>
          <w:rFonts w:hint="eastAsia" w:ascii="华文仿宋" w:hAnsi="华文仿宋" w:eastAsia="华文仿宋" w:cs="华文仿宋"/>
          <w:b/>
          <w:bCs/>
          <w:color w:val="auto"/>
          <w:sz w:val="21"/>
          <w:szCs w:val="21"/>
          <w:highlight w:val="none"/>
        </w:rPr>
        <w:t>3.</w:t>
      </w:r>
      <w:r>
        <w:rPr>
          <w:rFonts w:hint="eastAsia" w:ascii="华文仿宋" w:hAnsi="华文仿宋" w:eastAsia="华文仿宋" w:cs="华文仿宋"/>
          <w:b/>
          <w:bCs/>
          <w:color w:val="auto"/>
          <w:sz w:val="21"/>
          <w:szCs w:val="21"/>
          <w:highlight w:val="none"/>
          <w:lang w:val="en-US" w:eastAsia="zh-CN"/>
        </w:rPr>
        <w:t>6</w:t>
      </w:r>
      <w:r>
        <w:rPr>
          <w:rFonts w:hint="eastAsia" w:ascii="华文仿宋" w:hAnsi="华文仿宋" w:eastAsia="华文仿宋" w:cs="华文仿宋"/>
          <w:b/>
          <w:bCs/>
          <w:color w:val="auto"/>
          <w:sz w:val="21"/>
          <w:szCs w:val="21"/>
          <w:highlight w:val="none"/>
        </w:rPr>
        <w:t xml:space="preserve"> 备选方案</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3DECE584">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除供应商须知前附表另有规定外，供应商不得递交备选磋商方案。</w:t>
      </w:r>
    </w:p>
    <w:p w14:paraId="6799ED6F">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329" w:name="_Toc25620"/>
      <w:bookmarkStart w:id="330" w:name="_Toc12124"/>
      <w:bookmarkStart w:id="331" w:name="_Toc318450697"/>
      <w:bookmarkStart w:id="332" w:name="_Toc12541"/>
      <w:bookmarkStart w:id="333" w:name="_Toc12275"/>
      <w:bookmarkStart w:id="334" w:name="_Toc490667850"/>
      <w:bookmarkStart w:id="335" w:name="_Toc144974522"/>
      <w:bookmarkStart w:id="336" w:name="_Toc152045554"/>
      <w:bookmarkStart w:id="337" w:name="_Toc466298113"/>
      <w:bookmarkStart w:id="338" w:name="_Toc5516"/>
      <w:bookmarkStart w:id="339" w:name="_Toc152042330"/>
      <w:bookmarkStart w:id="340" w:name="_Toc7966"/>
      <w:bookmarkStart w:id="341" w:name="_Toc455080130"/>
      <w:bookmarkStart w:id="342" w:name="_Toc455867790"/>
      <w:bookmarkStart w:id="343" w:name="_Toc17697"/>
      <w:bookmarkStart w:id="344" w:name="_Toc6323"/>
      <w:bookmarkStart w:id="345" w:name="_Toc28656"/>
      <w:bookmarkStart w:id="346" w:name="_Toc18912"/>
      <w:bookmarkStart w:id="347" w:name="_Toc7626"/>
      <w:r>
        <w:rPr>
          <w:rFonts w:hint="eastAsia" w:ascii="华文仿宋" w:hAnsi="华文仿宋" w:eastAsia="华文仿宋" w:cs="华文仿宋"/>
          <w:b/>
          <w:bCs/>
          <w:color w:val="auto"/>
          <w:sz w:val="21"/>
          <w:szCs w:val="21"/>
          <w:highlight w:val="none"/>
        </w:rPr>
        <w:t>3.</w:t>
      </w:r>
      <w:r>
        <w:rPr>
          <w:rFonts w:hint="eastAsia" w:ascii="华文仿宋" w:hAnsi="华文仿宋" w:eastAsia="华文仿宋" w:cs="华文仿宋"/>
          <w:b/>
          <w:bCs/>
          <w:color w:val="auto"/>
          <w:sz w:val="21"/>
          <w:szCs w:val="21"/>
          <w:highlight w:val="none"/>
          <w:lang w:val="en-US" w:eastAsia="zh-CN"/>
        </w:rPr>
        <w:t>7</w:t>
      </w:r>
      <w:r>
        <w:rPr>
          <w:rFonts w:hint="eastAsia" w:ascii="华文仿宋" w:hAnsi="华文仿宋" w:eastAsia="华文仿宋" w:cs="华文仿宋"/>
          <w:b/>
          <w:bCs/>
          <w:color w:val="auto"/>
          <w:sz w:val="21"/>
          <w:szCs w:val="21"/>
          <w:highlight w:val="none"/>
        </w:rPr>
        <w:t xml:space="preserve"> 响应文件的编制</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9118FBD">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bookmarkStart w:id="348" w:name="_Toc144974523"/>
      <w:bookmarkStart w:id="349" w:name="_Toc152045555"/>
      <w:bookmarkStart w:id="350" w:name="_Toc455080131"/>
      <w:bookmarkStart w:id="351" w:name="_Toc152042331"/>
      <w:r>
        <w:rPr>
          <w:rFonts w:hint="eastAsia" w:ascii="华文仿宋" w:hAnsi="华文仿宋" w:eastAsia="华文仿宋" w:cs="华文仿宋"/>
          <w:color w:val="auto"/>
          <w:szCs w:val="21"/>
          <w:highlight w:val="none"/>
        </w:rPr>
        <w:t>3.</w:t>
      </w:r>
      <w:r>
        <w:rPr>
          <w:rFonts w:hint="eastAsia" w:ascii="华文仿宋" w:hAnsi="华文仿宋" w:eastAsia="华文仿宋" w:cs="华文仿宋"/>
          <w:color w:val="auto"/>
          <w:szCs w:val="21"/>
          <w:highlight w:val="none"/>
          <w:lang w:val="en-US" w:eastAsia="zh-CN"/>
        </w:rPr>
        <w:t>7</w:t>
      </w:r>
      <w:r>
        <w:rPr>
          <w:rFonts w:hint="eastAsia" w:ascii="华文仿宋" w:hAnsi="华文仿宋" w:eastAsia="华文仿宋" w:cs="华文仿宋"/>
          <w:color w:val="auto"/>
          <w:szCs w:val="21"/>
          <w:highlight w:val="none"/>
        </w:rPr>
        <w:t>.1响应文件应按</w:t>
      </w:r>
      <w:r>
        <w:rPr>
          <w:rFonts w:hint="eastAsia" w:ascii="华文仿宋" w:hAnsi="华文仿宋" w:eastAsia="华文仿宋" w:cs="华文仿宋"/>
          <w:color w:val="auto"/>
          <w:szCs w:val="21"/>
          <w:highlight w:val="none"/>
          <w:lang w:eastAsia="zh-CN"/>
        </w:rPr>
        <w:t>第六章</w:t>
      </w:r>
      <w:r>
        <w:rPr>
          <w:rFonts w:hint="eastAsia" w:ascii="华文仿宋" w:hAnsi="华文仿宋" w:eastAsia="华文仿宋" w:cs="华文仿宋"/>
          <w:color w:val="auto"/>
          <w:szCs w:val="21"/>
          <w:highlight w:val="none"/>
        </w:rPr>
        <w:t>“</w:t>
      </w:r>
      <w:r>
        <w:rPr>
          <w:rFonts w:hint="eastAsia" w:ascii="华文仿宋" w:hAnsi="华文仿宋" w:eastAsia="华文仿宋" w:cs="华文仿宋"/>
          <w:color w:val="auto"/>
          <w:szCs w:val="21"/>
          <w:highlight w:val="none"/>
          <w:lang w:eastAsia="zh-CN"/>
        </w:rPr>
        <w:t>竞争性磋商响应文件格式</w:t>
      </w:r>
      <w:r>
        <w:rPr>
          <w:rFonts w:hint="eastAsia" w:ascii="华文仿宋" w:hAnsi="华文仿宋" w:eastAsia="华文仿宋" w:cs="华文仿宋"/>
          <w:color w:val="auto"/>
          <w:szCs w:val="21"/>
          <w:highlight w:val="none"/>
        </w:rPr>
        <w:t>”进行编写，如有必要，可以增加附页，作为响应文件的组成部分。其中，</w:t>
      </w:r>
      <w:r>
        <w:rPr>
          <w:rFonts w:hint="eastAsia" w:ascii="华文仿宋" w:hAnsi="华文仿宋" w:eastAsia="华文仿宋" w:cs="华文仿宋"/>
          <w:color w:val="auto"/>
          <w:szCs w:val="21"/>
          <w:highlight w:val="none"/>
          <w:lang w:eastAsia="zh-CN"/>
        </w:rPr>
        <w:t>响应函</w:t>
      </w:r>
      <w:r>
        <w:rPr>
          <w:rFonts w:hint="eastAsia" w:ascii="华文仿宋" w:hAnsi="华文仿宋" w:eastAsia="华文仿宋" w:cs="华文仿宋"/>
          <w:color w:val="auto"/>
          <w:szCs w:val="21"/>
          <w:highlight w:val="none"/>
        </w:rPr>
        <w:t>附录在满足</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实质性要求的基础上，可以提出比</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要求更有利于采购人的承诺。</w:t>
      </w:r>
    </w:p>
    <w:p w14:paraId="2C571D04">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3.</w:t>
      </w:r>
      <w:r>
        <w:rPr>
          <w:rFonts w:hint="eastAsia" w:ascii="华文仿宋" w:hAnsi="华文仿宋" w:eastAsia="华文仿宋" w:cs="华文仿宋"/>
          <w:color w:val="auto"/>
          <w:szCs w:val="21"/>
          <w:highlight w:val="none"/>
          <w:lang w:val="en-US" w:eastAsia="zh-CN"/>
        </w:rPr>
        <w:t>7</w:t>
      </w:r>
      <w:r>
        <w:rPr>
          <w:rFonts w:hint="eastAsia" w:ascii="华文仿宋" w:hAnsi="华文仿宋" w:eastAsia="华文仿宋" w:cs="华文仿宋"/>
          <w:color w:val="auto"/>
          <w:szCs w:val="21"/>
          <w:highlight w:val="none"/>
        </w:rPr>
        <w:t>.2 响应文件应当对</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有关</w:t>
      </w:r>
      <w:r>
        <w:rPr>
          <w:rFonts w:hint="eastAsia" w:ascii="华文仿宋" w:hAnsi="华文仿宋" w:eastAsia="华文仿宋" w:cs="华文仿宋"/>
          <w:color w:val="auto"/>
          <w:szCs w:val="21"/>
          <w:highlight w:val="none"/>
          <w:lang w:eastAsia="zh-CN"/>
        </w:rPr>
        <w:t>合同履行期限</w:t>
      </w:r>
      <w:r>
        <w:rPr>
          <w:rFonts w:hint="eastAsia" w:ascii="华文仿宋" w:hAnsi="华文仿宋" w:eastAsia="华文仿宋" w:cs="华文仿宋"/>
          <w:color w:val="auto"/>
          <w:szCs w:val="21"/>
          <w:highlight w:val="none"/>
        </w:rPr>
        <w:t>、磋商有效期、质量要求、</w:t>
      </w:r>
      <w:r>
        <w:rPr>
          <w:rFonts w:hint="eastAsia" w:ascii="华文仿宋" w:hAnsi="华文仿宋" w:eastAsia="华文仿宋" w:cs="华文仿宋"/>
          <w:color w:val="auto"/>
          <w:szCs w:val="21"/>
          <w:highlight w:val="none"/>
          <w:lang w:eastAsia="zh-CN"/>
        </w:rPr>
        <w:t>磋商内容</w:t>
      </w:r>
      <w:r>
        <w:rPr>
          <w:rFonts w:hint="eastAsia" w:ascii="华文仿宋" w:hAnsi="华文仿宋" w:eastAsia="华文仿宋" w:cs="华文仿宋"/>
          <w:color w:val="auto"/>
          <w:szCs w:val="21"/>
          <w:highlight w:val="none"/>
        </w:rPr>
        <w:t>作出响应。</w:t>
      </w:r>
    </w:p>
    <w:p w14:paraId="3137E87B">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3.</w:t>
      </w:r>
      <w:r>
        <w:rPr>
          <w:rFonts w:hint="eastAsia" w:ascii="华文仿宋" w:hAnsi="华文仿宋" w:eastAsia="华文仿宋" w:cs="华文仿宋"/>
          <w:color w:val="auto"/>
          <w:szCs w:val="21"/>
          <w:highlight w:val="none"/>
          <w:lang w:val="en-US" w:eastAsia="zh-CN"/>
        </w:rPr>
        <w:t>7</w:t>
      </w:r>
      <w:r>
        <w:rPr>
          <w:rFonts w:hint="eastAsia" w:ascii="华文仿宋" w:hAnsi="华文仿宋" w:eastAsia="华文仿宋" w:cs="华文仿宋"/>
          <w:color w:val="auto"/>
          <w:szCs w:val="21"/>
          <w:highlight w:val="none"/>
        </w:rPr>
        <w:t>.3响应文件应使用信阳市公共资源交易系统投标文件制作专用工具软件编制，</w:t>
      </w:r>
      <w:r>
        <w:rPr>
          <w:rFonts w:hint="eastAsia" w:ascii="华文仿宋" w:hAnsi="华文仿宋" w:eastAsia="华文仿宋" w:cs="华文仿宋"/>
          <w:color w:val="auto"/>
          <w:szCs w:val="21"/>
          <w:highlight w:val="none"/>
          <w:lang w:eastAsia="zh-CN"/>
        </w:rPr>
        <w:t>竞争性磋商响应文件格式</w:t>
      </w:r>
      <w:r>
        <w:rPr>
          <w:rFonts w:hint="eastAsia" w:ascii="华文仿宋" w:hAnsi="华文仿宋" w:eastAsia="华文仿宋" w:cs="华文仿宋"/>
          <w:color w:val="auto"/>
          <w:szCs w:val="21"/>
          <w:highlight w:val="none"/>
        </w:rPr>
        <w:t>为“*.XYTF”。电子响应文件签字或盖章的具体要求见供应商须知前附表。）供应商须在</w:t>
      </w:r>
      <w:r>
        <w:rPr>
          <w:rFonts w:hint="eastAsia" w:ascii="华文仿宋" w:hAnsi="华文仿宋" w:eastAsia="华文仿宋" w:cs="华文仿宋"/>
          <w:color w:val="auto"/>
          <w:szCs w:val="21"/>
          <w:highlight w:val="none"/>
          <w:lang w:eastAsia="zh-CN"/>
        </w:rPr>
        <w:t>响应文件</w:t>
      </w:r>
      <w:r>
        <w:rPr>
          <w:rFonts w:hint="eastAsia" w:ascii="华文仿宋" w:hAnsi="华文仿宋" w:eastAsia="华文仿宋" w:cs="华文仿宋"/>
          <w:color w:val="auto"/>
          <w:szCs w:val="21"/>
          <w:highlight w:val="none"/>
        </w:rPr>
        <w:t>递交截止时间前制作并提交。</w:t>
      </w:r>
    </w:p>
    <w:p w14:paraId="081508CD">
      <w:pPr>
        <w:pageBreakBefore w:val="0"/>
        <w:widowControl w:val="0"/>
        <w:kinsoku/>
        <w:wordWrap w:val="0"/>
        <w:overflowPunct/>
        <w:topLinePunct/>
        <w:autoSpaceDE/>
        <w:autoSpaceDN/>
        <w:bidi w:val="0"/>
        <w:snapToGrid/>
        <w:spacing w:line="288" w:lineRule="auto"/>
        <w:ind w:firstLine="420" w:firstLineChars="200"/>
        <w:outlineLvl w:val="3"/>
        <w:rPr>
          <w:rFonts w:hint="eastAsia" w:ascii="华文仿宋" w:hAnsi="华文仿宋" w:eastAsia="华文仿宋" w:cs="华文仿宋"/>
          <w:color w:val="auto"/>
          <w:highlight w:val="none"/>
        </w:rPr>
      </w:pPr>
      <w:r>
        <w:rPr>
          <w:rFonts w:hint="eastAsia" w:ascii="华文仿宋" w:hAnsi="华文仿宋" w:eastAsia="华文仿宋" w:cs="华文仿宋"/>
          <w:color w:val="auto"/>
          <w:szCs w:val="21"/>
          <w:highlight w:val="none"/>
        </w:rPr>
        <w:t xml:space="preserve"> 3.</w:t>
      </w:r>
      <w:r>
        <w:rPr>
          <w:rFonts w:hint="eastAsia" w:ascii="华文仿宋" w:hAnsi="华文仿宋" w:eastAsia="华文仿宋" w:cs="华文仿宋"/>
          <w:color w:val="auto"/>
          <w:szCs w:val="21"/>
          <w:highlight w:val="none"/>
          <w:lang w:val="en-US" w:eastAsia="zh-CN"/>
        </w:rPr>
        <w:t>7</w:t>
      </w:r>
      <w:r>
        <w:rPr>
          <w:rFonts w:hint="eastAsia" w:ascii="华文仿宋" w:hAnsi="华文仿宋" w:eastAsia="华文仿宋" w:cs="华文仿宋"/>
          <w:color w:val="auto"/>
          <w:szCs w:val="21"/>
          <w:highlight w:val="none"/>
        </w:rPr>
        <w:t>.4 响应文件份数见供应商须知前附表。</w:t>
      </w:r>
    </w:p>
    <w:p w14:paraId="31AD813C">
      <w:pPr>
        <w:pStyle w:val="69"/>
        <w:pageBreakBefore w:val="0"/>
        <w:widowControl w:val="0"/>
        <w:kinsoku/>
        <w:wordWrap w:val="0"/>
        <w:overflowPunct/>
        <w:topLinePunct/>
        <w:autoSpaceDE/>
        <w:autoSpaceDN/>
        <w:bidi w:val="0"/>
        <w:snapToGrid/>
        <w:spacing w:before="0" w:beforeLines="0" w:line="288" w:lineRule="auto"/>
        <w:rPr>
          <w:rFonts w:hint="eastAsia" w:ascii="华文仿宋" w:hAnsi="华文仿宋" w:eastAsia="华文仿宋" w:cs="华文仿宋"/>
          <w:b/>
          <w:bCs/>
          <w:color w:val="auto"/>
          <w:sz w:val="21"/>
          <w:szCs w:val="21"/>
          <w:highlight w:val="none"/>
        </w:rPr>
      </w:pPr>
      <w:bookmarkStart w:id="352" w:name="_Toc13253"/>
      <w:bookmarkStart w:id="353" w:name="_Toc19433"/>
      <w:r>
        <w:rPr>
          <w:rFonts w:hint="eastAsia" w:ascii="华文仿宋" w:hAnsi="华文仿宋" w:eastAsia="华文仿宋" w:cs="华文仿宋"/>
          <w:b/>
          <w:bCs/>
          <w:color w:val="auto"/>
          <w:sz w:val="21"/>
          <w:szCs w:val="21"/>
          <w:highlight w:val="none"/>
        </w:rPr>
        <w:t xml:space="preserve">4. </w:t>
      </w:r>
      <w:bookmarkEnd w:id="348"/>
      <w:bookmarkEnd w:id="349"/>
      <w:bookmarkEnd w:id="350"/>
      <w:bookmarkEnd w:id="351"/>
      <w:r>
        <w:rPr>
          <w:rFonts w:hint="eastAsia" w:ascii="华文仿宋" w:hAnsi="华文仿宋" w:eastAsia="华文仿宋" w:cs="华文仿宋"/>
          <w:b/>
          <w:bCs/>
          <w:color w:val="auto"/>
          <w:sz w:val="21"/>
          <w:szCs w:val="21"/>
          <w:highlight w:val="none"/>
        </w:rPr>
        <w:t>磋商</w:t>
      </w:r>
      <w:bookmarkEnd w:id="352"/>
      <w:bookmarkEnd w:id="353"/>
    </w:p>
    <w:p w14:paraId="30C9E9F4">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lang w:eastAsia="zh-CN"/>
        </w:rPr>
      </w:pPr>
      <w:bookmarkStart w:id="354" w:name="_Toc22961"/>
      <w:bookmarkStart w:id="355" w:name="_Toc455867792"/>
      <w:bookmarkStart w:id="356" w:name="_Toc26550"/>
      <w:bookmarkStart w:id="357" w:name="_Toc11243"/>
      <w:bookmarkStart w:id="358" w:name="_Toc152045556"/>
      <w:bookmarkStart w:id="359" w:name="_Toc18820"/>
      <w:bookmarkStart w:id="360" w:name="_Toc490667852"/>
      <w:bookmarkStart w:id="361" w:name="_Toc152042332"/>
      <w:bookmarkStart w:id="362" w:name="_Toc318450699"/>
      <w:bookmarkStart w:id="363" w:name="_Toc16962"/>
      <w:bookmarkStart w:id="364" w:name="_Toc455080132"/>
      <w:bookmarkStart w:id="365" w:name="_Toc16783"/>
      <w:bookmarkStart w:id="366" w:name="_Toc16344"/>
      <w:bookmarkStart w:id="367" w:name="_Toc466298115"/>
      <w:bookmarkStart w:id="368" w:name="_Toc26583"/>
      <w:bookmarkStart w:id="369" w:name="_Toc31492"/>
      <w:bookmarkStart w:id="370" w:name="_Toc144974524"/>
      <w:bookmarkStart w:id="371" w:name="_Toc18336"/>
      <w:bookmarkStart w:id="372" w:name="_Toc21145"/>
      <w:r>
        <w:rPr>
          <w:rFonts w:hint="eastAsia" w:ascii="华文仿宋" w:hAnsi="华文仿宋" w:eastAsia="华文仿宋" w:cs="华文仿宋"/>
          <w:b/>
          <w:bCs/>
          <w:color w:val="auto"/>
          <w:sz w:val="21"/>
          <w:szCs w:val="21"/>
          <w:highlight w:val="none"/>
        </w:rPr>
        <w:t>4.1 响应文件的</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Pr>
          <w:rFonts w:hint="eastAsia" w:ascii="华文仿宋" w:hAnsi="华文仿宋" w:eastAsia="华文仿宋" w:cs="华文仿宋"/>
          <w:b/>
          <w:bCs/>
          <w:color w:val="auto"/>
          <w:sz w:val="21"/>
          <w:szCs w:val="21"/>
          <w:highlight w:val="none"/>
          <w:lang w:eastAsia="zh-CN"/>
        </w:rPr>
        <w:t>上传</w:t>
      </w:r>
      <w:bookmarkEnd w:id="371"/>
      <w:bookmarkEnd w:id="372"/>
    </w:p>
    <w:p w14:paraId="3F5154B3">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4.1.1网上上传的电子响应文件应使用供应商数字证书认证并加密。</w:t>
      </w:r>
    </w:p>
    <w:p w14:paraId="325984DE">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373" w:name="_Toc466298116"/>
      <w:bookmarkStart w:id="374" w:name="_Toc490667853"/>
      <w:bookmarkStart w:id="375" w:name="_Toc8754"/>
      <w:bookmarkStart w:id="376" w:name="_Toc152042333"/>
      <w:bookmarkStart w:id="377" w:name="_Toc21072"/>
      <w:bookmarkStart w:id="378" w:name="_Toc144974525"/>
      <w:bookmarkStart w:id="379" w:name="_Toc455867793"/>
      <w:bookmarkStart w:id="380" w:name="_Toc152045557"/>
      <w:bookmarkStart w:id="381" w:name="_Toc21897"/>
      <w:bookmarkStart w:id="382" w:name="_Toc20259"/>
      <w:bookmarkStart w:id="383" w:name="_Toc318450700"/>
      <w:bookmarkStart w:id="384" w:name="_Toc16832"/>
      <w:bookmarkStart w:id="385" w:name="_Toc7663"/>
      <w:bookmarkStart w:id="386" w:name="_Toc28272"/>
      <w:bookmarkStart w:id="387" w:name="_Toc11581"/>
      <w:bookmarkStart w:id="388" w:name="_Toc455080133"/>
      <w:bookmarkStart w:id="389" w:name="_Toc462"/>
      <w:bookmarkStart w:id="390" w:name="_Toc27132"/>
      <w:bookmarkStart w:id="391" w:name="_Toc4767"/>
      <w:r>
        <w:rPr>
          <w:rFonts w:hint="eastAsia" w:ascii="华文仿宋" w:hAnsi="华文仿宋" w:eastAsia="华文仿宋" w:cs="华文仿宋"/>
          <w:b/>
          <w:bCs/>
          <w:color w:val="auto"/>
          <w:sz w:val="21"/>
          <w:szCs w:val="21"/>
          <w:highlight w:val="none"/>
        </w:rPr>
        <w:t>4.2 响应文件的递交</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20FDAE5C">
      <w:pPr>
        <w:pageBreakBefore w:val="0"/>
        <w:widowControl w:val="0"/>
        <w:kinsoku/>
        <w:wordWrap w:val="0"/>
        <w:overflowPunct/>
        <w:topLinePunct/>
        <w:autoSpaceDE/>
        <w:autoSpaceDN/>
        <w:bidi w:val="0"/>
        <w:snapToGrid/>
        <w:spacing w:line="288" w:lineRule="auto"/>
        <w:ind w:firstLine="420" w:firstLineChars="200"/>
        <w:outlineLvl w:val="3"/>
        <w:rPr>
          <w:rFonts w:hint="eastAsia" w:ascii="华文仿宋" w:hAnsi="华文仿宋" w:eastAsia="华文仿宋" w:cs="华文仿宋"/>
          <w:color w:val="auto"/>
          <w:highlight w:val="none"/>
        </w:rPr>
      </w:pPr>
      <w:bookmarkStart w:id="392" w:name="_Toc152045558"/>
      <w:bookmarkStart w:id="393" w:name="_Toc19951"/>
      <w:bookmarkStart w:id="394" w:name="_Toc455080134"/>
      <w:bookmarkStart w:id="395" w:name="_Toc144974526"/>
      <w:bookmarkStart w:id="396" w:name="_Toc17161"/>
      <w:bookmarkStart w:id="397" w:name="_Toc11817"/>
      <w:bookmarkStart w:id="398" w:name="_Toc318450701"/>
      <w:bookmarkStart w:id="399" w:name="_Toc30860"/>
      <w:bookmarkStart w:id="400" w:name="_Toc2952"/>
      <w:bookmarkStart w:id="401" w:name="_Toc152042334"/>
      <w:bookmarkStart w:id="402" w:name="_Toc490667854"/>
      <w:bookmarkStart w:id="403" w:name="_Toc21890"/>
      <w:bookmarkStart w:id="404" w:name="_Toc20281"/>
      <w:bookmarkStart w:id="405" w:name="_Toc466298117"/>
      <w:bookmarkStart w:id="406" w:name="_Toc455867794"/>
      <w:bookmarkStart w:id="407" w:name="_Toc5102"/>
      <w:bookmarkStart w:id="408" w:name="_Toc26684"/>
      <w:r>
        <w:rPr>
          <w:rFonts w:hint="eastAsia" w:ascii="华文仿宋" w:hAnsi="华文仿宋" w:eastAsia="华文仿宋" w:cs="华文仿宋"/>
          <w:color w:val="auto"/>
          <w:highlight w:val="none"/>
        </w:rPr>
        <w:t>4.2.1电子响应文件的递交</w:t>
      </w:r>
    </w:p>
    <w:p w14:paraId="4EDBA539">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highlight w:val="none"/>
        </w:rPr>
      </w:pPr>
      <w:r>
        <w:rPr>
          <w:rFonts w:hint="eastAsia" w:ascii="华文仿宋" w:hAnsi="华文仿宋" w:eastAsia="华文仿宋" w:cs="华文仿宋"/>
          <w:color w:val="auto"/>
          <w:highlight w:val="none"/>
        </w:rPr>
        <w:t>各供应商应在</w:t>
      </w:r>
      <w:r>
        <w:rPr>
          <w:rFonts w:hint="eastAsia" w:ascii="华文仿宋" w:hAnsi="华文仿宋" w:eastAsia="华文仿宋" w:cs="华文仿宋"/>
          <w:color w:val="auto"/>
          <w:highlight w:val="none"/>
          <w:lang w:eastAsia="zh-CN"/>
        </w:rPr>
        <w:t>响应文件提交截止时间前</w:t>
      </w:r>
      <w:r>
        <w:rPr>
          <w:rFonts w:hint="eastAsia" w:ascii="华文仿宋" w:hAnsi="华文仿宋" w:eastAsia="华文仿宋" w:cs="华文仿宋"/>
          <w:color w:val="auto"/>
          <w:highlight w:val="none"/>
        </w:rPr>
        <w:t>上传加密的电子响应文件（*.XYTF）到会员系统的指定位置。上传的电子响应文件应使用</w:t>
      </w:r>
      <w:r>
        <w:rPr>
          <w:rFonts w:hint="eastAsia" w:ascii="华文仿宋" w:hAnsi="华文仿宋" w:eastAsia="华文仿宋" w:cs="华文仿宋"/>
          <w:color w:val="auto"/>
          <w:highlight w:val="none"/>
          <w:lang w:eastAsia="zh-CN"/>
        </w:rPr>
        <w:t>供应商</w:t>
      </w:r>
      <w:r>
        <w:rPr>
          <w:rFonts w:hint="eastAsia" w:ascii="华文仿宋" w:hAnsi="华文仿宋" w:eastAsia="华文仿宋" w:cs="华文仿宋"/>
          <w:color w:val="auto"/>
          <w:highlight w:val="none"/>
        </w:rPr>
        <w:t>CA数字证书认证并加密。上传时必须得到交易系统“上传成功”的确认回复后方为上传成功。请供应商在上传前务必认真检查上传响应文件是否完整、正确。</w:t>
      </w:r>
    </w:p>
    <w:p w14:paraId="34F051E4">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409" w:name="_Toc19343"/>
      <w:bookmarkStart w:id="410" w:name="_Toc1790"/>
      <w:r>
        <w:rPr>
          <w:rFonts w:hint="eastAsia" w:ascii="华文仿宋" w:hAnsi="华文仿宋" w:eastAsia="华文仿宋" w:cs="华文仿宋"/>
          <w:b/>
          <w:bCs/>
          <w:color w:val="auto"/>
          <w:sz w:val="21"/>
          <w:szCs w:val="21"/>
          <w:highlight w:val="none"/>
        </w:rPr>
        <w:t>4.3 响应文件的修改与撤回</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29DE0A4C">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bookmarkStart w:id="411" w:name="_Toc152042335"/>
      <w:bookmarkStart w:id="412" w:name="_Toc144974527"/>
      <w:bookmarkStart w:id="413" w:name="_Toc152045559"/>
      <w:bookmarkStart w:id="414" w:name="_Toc455080135"/>
      <w:r>
        <w:rPr>
          <w:rFonts w:hint="eastAsia" w:ascii="华文仿宋" w:hAnsi="华文仿宋" w:eastAsia="华文仿宋" w:cs="华文仿宋"/>
          <w:color w:val="auto"/>
          <w:szCs w:val="21"/>
          <w:highlight w:val="none"/>
        </w:rPr>
        <w:t>4.3.1 在第一章“</w:t>
      </w:r>
      <w:r>
        <w:rPr>
          <w:rFonts w:hint="eastAsia" w:ascii="华文仿宋" w:hAnsi="华文仿宋" w:eastAsia="华文仿宋" w:cs="华文仿宋"/>
          <w:color w:val="auto"/>
          <w:szCs w:val="21"/>
          <w:highlight w:val="none"/>
          <w:lang w:eastAsia="zh-CN"/>
        </w:rPr>
        <w:t>竞争性磋商公告</w:t>
      </w:r>
      <w:r>
        <w:rPr>
          <w:rFonts w:hint="eastAsia" w:ascii="华文仿宋" w:hAnsi="华文仿宋" w:eastAsia="华文仿宋" w:cs="华文仿宋"/>
          <w:color w:val="auto"/>
          <w:szCs w:val="21"/>
          <w:highlight w:val="none"/>
        </w:rPr>
        <w:t>”规定的</w:t>
      </w:r>
      <w:r>
        <w:rPr>
          <w:rFonts w:hint="eastAsia" w:ascii="华文仿宋" w:hAnsi="华文仿宋" w:eastAsia="华文仿宋" w:cs="华文仿宋"/>
          <w:color w:val="auto"/>
          <w:szCs w:val="21"/>
          <w:highlight w:val="none"/>
          <w:lang w:eastAsia="zh-CN"/>
        </w:rPr>
        <w:t>响应文件提交</w:t>
      </w:r>
      <w:r>
        <w:rPr>
          <w:rFonts w:hint="eastAsia" w:ascii="华文仿宋" w:hAnsi="华文仿宋" w:eastAsia="华文仿宋" w:cs="华文仿宋"/>
          <w:color w:val="auto"/>
          <w:szCs w:val="21"/>
          <w:highlight w:val="none"/>
        </w:rPr>
        <w:t>截止时间前，供应商可以多次修改或撤回已递交的响应文件，最终响应文件以</w:t>
      </w:r>
      <w:r>
        <w:rPr>
          <w:rFonts w:hint="eastAsia" w:ascii="华文仿宋" w:hAnsi="华文仿宋" w:eastAsia="华文仿宋" w:cs="华文仿宋"/>
          <w:color w:val="auto"/>
          <w:szCs w:val="21"/>
          <w:highlight w:val="none"/>
          <w:lang w:eastAsia="zh-CN"/>
        </w:rPr>
        <w:t>响应文件提交截止时间前</w:t>
      </w:r>
      <w:r>
        <w:rPr>
          <w:rFonts w:hint="eastAsia" w:ascii="华文仿宋" w:hAnsi="华文仿宋" w:eastAsia="华文仿宋" w:cs="华文仿宋"/>
          <w:color w:val="auto"/>
          <w:szCs w:val="21"/>
          <w:highlight w:val="none"/>
        </w:rPr>
        <w:t>完成上传至信阳市公共资源交易中心交易系统最后一份响应文件为准。</w:t>
      </w:r>
    </w:p>
    <w:p w14:paraId="1BD947D1">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4.3.2修改的响应文件应按照本章第3.7条、第4.2条规定进行编制和递交。</w:t>
      </w:r>
    </w:p>
    <w:bookmarkEnd w:id="411"/>
    <w:bookmarkEnd w:id="412"/>
    <w:bookmarkEnd w:id="413"/>
    <w:p w14:paraId="296F7124">
      <w:pPr>
        <w:pageBreakBefore w:val="0"/>
        <w:widowControl w:val="0"/>
        <w:kinsoku/>
        <w:wordWrap w:val="0"/>
        <w:overflowPunct/>
        <w:topLinePunct/>
        <w:autoSpaceDE/>
        <w:autoSpaceDN/>
        <w:bidi w:val="0"/>
        <w:snapToGrid/>
        <w:spacing w:line="288" w:lineRule="auto"/>
        <w:outlineLvl w:val="1"/>
        <w:rPr>
          <w:rFonts w:hint="eastAsia" w:ascii="华文仿宋" w:hAnsi="华文仿宋" w:eastAsia="华文仿宋" w:cs="华文仿宋"/>
          <w:b/>
          <w:bCs/>
          <w:color w:val="auto"/>
          <w:szCs w:val="21"/>
          <w:highlight w:val="none"/>
        </w:rPr>
      </w:pPr>
      <w:bookmarkStart w:id="415" w:name="_Toc11020"/>
      <w:bookmarkStart w:id="416" w:name="_Toc14969"/>
      <w:r>
        <w:rPr>
          <w:rFonts w:hint="eastAsia" w:ascii="华文仿宋" w:hAnsi="华文仿宋" w:eastAsia="华文仿宋" w:cs="华文仿宋"/>
          <w:b/>
          <w:bCs/>
          <w:color w:val="auto"/>
          <w:szCs w:val="21"/>
          <w:highlight w:val="none"/>
        </w:rPr>
        <w:t>5.磋商开始</w:t>
      </w:r>
      <w:bookmarkEnd w:id="414"/>
      <w:bookmarkEnd w:id="415"/>
      <w:bookmarkEnd w:id="416"/>
      <w:bookmarkStart w:id="417" w:name="_Toc152042336"/>
      <w:bookmarkStart w:id="418" w:name="_Toc490667856"/>
      <w:bookmarkStart w:id="419" w:name="_Toc318450703"/>
      <w:bookmarkStart w:id="420" w:name="_Toc6763"/>
      <w:bookmarkStart w:id="421" w:name="_Toc20333"/>
      <w:bookmarkStart w:id="422" w:name="_Toc455080136"/>
      <w:bookmarkStart w:id="423" w:name="_Toc455867796"/>
      <w:bookmarkStart w:id="424" w:name="_Toc26426"/>
      <w:bookmarkStart w:id="425" w:name="_Toc20660"/>
      <w:bookmarkStart w:id="426" w:name="_Toc9969"/>
      <w:bookmarkStart w:id="427" w:name="_Toc16040"/>
      <w:bookmarkStart w:id="428" w:name="_Toc25533"/>
      <w:bookmarkStart w:id="429" w:name="_Toc466298119"/>
      <w:bookmarkStart w:id="430" w:name="_Toc14"/>
      <w:bookmarkStart w:id="431" w:name="_Toc144974528"/>
      <w:bookmarkStart w:id="432" w:name="_Toc25809"/>
      <w:bookmarkStart w:id="433" w:name="_Toc152045560"/>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14:paraId="1AA89178">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434" w:name="_Toc9577"/>
      <w:bookmarkStart w:id="435" w:name="_Toc30074"/>
      <w:bookmarkStart w:id="436" w:name="_Toc152042337"/>
      <w:bookmarkStart w:id="437" w:name="_Toc18582"/>
      <w:bookmarkStart w:id="438" w:name="_Toc455080137"/>
      <w:bookmarkStart w:id="439" w:name="_Toc17491"/>
      <w:bookmarkStart w:id="440" w:name="_Toc25911"/>
      <w:bookmarkStart w:id="441" w:name="_Toc30792"/>
      <w:bookmarkStart w:id="442" w:name="_Toc747"/>
      <w:bookmarkStart w:id="443" w:name="_Toc466298120"/>
      <w:bookmarkStart w:id="444" w:name="_Toc318450704"/>
      <w:bookmarkStart w:id="445" w:name="_Toc490667857"/>
      <w:bookmarkStart w:id="446" w:name="_Toc30965"/>
      <w:bookmarkStart w:id="447" w:name="_Toc152045561"/>
      <w:bookmarkStart w:id="448" w:name="_Toc3865"/>
      <w:bookmarkStart w:id="449" w:name="_Toc455867797"/>
      <w:bookmarkStart w:id="450" w:name="_Toc11148"/>
      <w:bookmarkStart w:id="451" w:name="_Toc9328"/>
      <w:bookmarkStart w:id="452" w:name="_Toc144974529"/>
      <w:r>
        <w:rPr>
          <w:rFonts w:hint="eastAsia" w:ascii="华文仿宋" w:hAnsi="华文仿宋" w:eastAsia="华文仿宋" w:cs="华文仿宋"/>
          <w:b/>
          <w:bCs/>
          <w:color w:val="auto"/>
          <w:sz w:val="21"/>
          <w:szCs w:val="21"/>
          <w:highlight w:val="none"/>
        </w:rPr>
        <w:t>5.1 磋商时间和地点</w:t>
      </w:r>
      <w:bookmarkEnd w:id="434"/>
    </w:p>
    <w:p w14:paraId="7FC62745">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5.1.1 采购人在本章规定的投标截止时间（</w:t>
      </w:r>
      <w:r>
        <w:rPr>
          <w:rFonts w:hint="eastAsia" w:ascii="华文仿宋" w:hAnsi="华文仿宋" w:eastAsia="华文仿宋" w:cs="华文仿宋"/>
          <w:color w:val="auto"/>
          <w:sz w:val="21"/>
          <w:szCs w:val="21"/>
          <w:highlight w:val="none"/>
          <w:lang w:eastAsia="zh-CN"/>
        </w:rPr>
        <w:t>开标</w:t>
      </w:r>
      <w:r>
        <w:rPr>
          <w:rFonts w:hint="eastAsia" w:ascii="华文仿宋" w:hAnsi="华文仿宋" w:eastAsia="华文仿宋" w:cs="华文仿宋"/>
          <w:color w:val="auto"/>
          <w:sz w:val="21"/>
          <w:szCs w:val="21"/>
          <w:highlight w:val="none"/>
        </w:rPr>
        <w:t>时间）和</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须知前附表规定的地点开标。</w:t>
      </w:r>
    </w:p>
    <w:p w14:paraId="4509CE3C">
      <w:pPr>
        <w:pageBreakBefore w:val="0"/>
        <w:widowControl w:val="0"/>
        <w:kinsoku/>
        <w:wordWrap w:val="0"/>
        <w:overflowPunct/>
        <w:topLinePunct/>
        <w:autoSpaceDE/>
        <w:autoSpaceDN/>
        <w:bidi w:val="0"/>
        <w:snapToGrid/>
        <w:spacing w:line="288" w:lineRule="auto"/>
        <w:ind w:firstLine="422" w:firstLineChars="200"/>
        <w:rPr>
          <w:rFonts w:hint="eastAsia" w:ascii="华文仿宋" w:hAnsi="华文仿宋" w:eastAsia="华文仿宋" w:cs="华文仿宋"/>
          <w:b/>
          <w:bCs/>
          <w:color w:val="auto"/>
          <w:sz w:val="21"/>
          <w:szCs w:val="21"/>
          <w:highlight w:val="none"/>
          <w:lang w:val="en-US" w:eastAsia="zh-CN"/>
        </w:rPr>
      </w:pPr>
      <w:r>
        <w:rPr>
          <w:rFonts w:hint="eastAsia" w:ascii="华文仿宋" w:hAnsi="华文仿宋" w:eastAsia="华文仿宋" w:cs="华文仿宋"/>
          <w:b/>
          <w:bCs/>
          <w:color w:val="auto"/>
          <w:sz w:val="21"/>
          <w:szCs w:val="21"/>
          <w:highlight w:val="none"/>
        </w:rPr>
        <w:t xml:space="preserve">5.1.2 </w:t>
      </w:r>
      <w:r>
        <w:rPr>
          <w:rFonts w:hint="eastAsia" w:ascii="华文仿宋" w:hAnsi="华文仿宋" w:eastAsia="华文仿宋" w:cs="华文仿宋"/>
          <w:b/>
          <w:bCs/>
          <w:color w:val="auto"/>
          <w:sz w:val="21"/>
          <w:szCs w:val="21"/>
          <w:highlight w:val="none"/>
          <w:lang w:val="en-US" w:eastAsia="zh-CN"/>
        </w:rPr>
        <w:t xml:space="preserve">本项目采用“不见面开标”交易方式，不见面开标大厅网址为 </w:t>
      </w:r>
      <w:r>
        <w:rPr>
          <w:rFonts w:hint="eastAsia" w:ascii="华文仿宋" w:hAnsi="华文仿宋" w:eastAsia="华文仿宋" w:cs="华文仿宋"/>
          <w:b/>
          <w:bCs/>
          <w:color w:val="auto"/>
          <w:sz w:val="21"/>
          <w:szCs w:val="21"/>
          <w:highlight w:val="none"/>
          <w:u w:val="none"/>
          <w:lang w:val="en-US" w:eastAsia="zh-CN"/>
        </w:rPr>
        <w:t>https://ggzyjy.xinyang.gov.cn/BidOpening/bidhall/xinyang/login.html，供应商无需寄送和递交</w:t>
      </w:r>
      <w:r>
        <w:rPr>
          <w:rFonts w:hint="eastAsia" w:ascii="华文仿宋" w:hAnsi="华文仿宋" w:eastAsia="华文仿宋" w:cs="华文仿宋"/>
          <w:b/>
          <w:bCs/>
          <w:color w:val="auto"/>
          <w:sz w:val="21"/>
          <w:szCs w:val="21"/>
          <w:highlight w:val="none"/>
          <w:u w:val="none"/>
        </w:rPr>
        <w:t>非加密的电子</w:t>
      </w:r>
      <w:r>
        <w:rPr>
          <w:rFonts w:hint="eastAsia" w:ascii="华文仿宋" w:hAnsi="华文仿宋" w:eastAsia="华文仿宋" w:cs="华文仿宋"/>
          <w:b/>
          <w:bCs/>
          <w:color w:val="auto"/>
          <w:sz w:val="21"/>
          <w:szCs w:val="21"/>
          <w:highlight w:val="none"/>
          <w:u w:val="none"/>
          <w:lang w:eastAsia="zh-CN"/>
        </w:rPr>
        <w:t>响应文件，</w:t>
      </w:r>
      <w:r>
        <w:rPr>
          <w:rFonts w:hint="eastAsia" w:ascii="华文仿宋" w:hAnsi="华文仿宋" w:eastAsia="华文仿宋" w:cs="华文仿宋"/>
          <w:b/>
          <w:bCs/>
          <w:color w:val="auto"/>
          <w:sz w:val="21"/>
          <w:szCs w:val="21"/>
          <w:highlight w:val="none"/>
          <w:u w:val="none"/>
          <w:lang w:val="en-US" w:eastAsia="zh-CN"/>
        </w:rPr>
        <w:t>无需到现场参加开标会议，无需到达现场提交原件资料。</w:t>
      </w:r>
    </w:p>
    <w:p w14:paraId="5291C001">
      <w:pPr>
        <w:pageBreakBefore w:val="0"/>
        <w:widowControl w:val="0"/>
        <w:kinsoku/>
        <w:wordWrap w:val="0"/>
        <w:overflowPunct/>
        <w:topLinePunct/>
        <w:autoSpaceDE/>
        <w:autoSpaceDN/>
        <w:bidi w:val="0"/>
        <w:snapToGrid/>
        <w:spacing w:line="288" w:lineRule="auto"/>
        <w:ind w:firstLine="422" w:firstLineChars="200"/>
        <w:rPr>
          <w:rFonts w:hint="eastAsia" w:ascii="华文仿宋" w:hAnsi="华文仿宋" w:eastAsia="华文仿宋" w:cs="华文仿宋"/>
          <w:b/>
          <w:bCs/>
          <w:color w:val="auto"/>
          <w:sz w:val="21"/>
          <w:szCs w:val="21"/>
          <w:highlight w:val="none"/>
          <w:lang w:val="en-US" w:eastAsia="zh-CN"/>
        </w:rPr>
      </w:pPr>
      <w:r>
        <w:rPr>
          <w:rFonts w:hint="eastAsia" w:ascii="华文仿宋" w:hAnsi="华文仿宋" w:eastAsia="华文仿宋" w:cs="华文仿宋"/>
          <w:b/>
          <w:bCs/>
          <w:color w:val="auto"/>
          <w:sz w:val="21"/>
          <w:szCs w:val="21"/>
          <w:highlight w:val="none"/>
          <w:lang w:val="en-US" w:eastAsia="zh-CN"/>
        </w:rPr>
        <w:t>供应商应当在响应文件提交截止时间前，使用供应商CA数字证书登录不见面开标大厅，在线签到并准时参加开标活动，并在规定时间内完成响应文件解密、答疑澄清等。</w:t>
      </w:r>
    </w:p>
    <w:p w14:paraId="3CC8236A">
      <w:pPr>
        <w:pageBreakBefore w:val="0"/>
        <w:widowControl w:val="0"/>
        <w:kinsoku/>
        <w:wordWrap w:val="0"/>
        <w:overflowPunct/>
        <w:topLinePunct/>
        <w:autoSpaceDE/>
        <w:autoSpaceDN/>
        <w:bidi w:val="0"/>
        <w:snapToGrid/>
        <w:spacing w:line="288" w:lineRule="auto"/>
        <w:ind w:firstLine="422" w:firstLineChars="200"/>
        <w:rPr>
          <w:rFonts w:hint="eastAsia" w:ascii="华文仿宋" w:hAnsi="华文仿宋" w:eastAsia="华文仿宋" w:cs="华文仿宋"/>
          <w:b/>
          <w:bCs/>
          <w:color w:val="auto"/>
          <w:sz w:val="21"/>
          <w:szCs w:val="21"/>
          <w:highlight w:val="none"/>
          <w:lang w:val="en-US" w:eastAsia="zh-CN"/>
        </w:rPr>
      </w:pPr>
      <w:r>
        <w:rPr>
          <w:rFonts w:hint="eastAsia" w:ascii="华文仿宋" w:hAnsi="华文仿宋" w:eastAsia="华文仿宋" w:cs="华文仿宋"/>
          <w:b/>
          <w:bCs/>
          <w:color w:val="auto"/>
          <w:sz w:val="21"/>
          <w:szCs w:val="21"/>
          <w:highlight w:val="none"/>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7B9AFC31">
      <w:pPr>
        <w:pageBreakBefore w:val="0"/>
        <w:widowControl w:val="0"/>
        <w:kinsoku/>
        <w:wordWrap w:val="0"/>
        <w:overflowPunct/>
        <w:topLinePunct/>
        <w:autoSpaceDE/>
        <w:autoSpaceDN/>
        <w:bidi w:val="0"/>
        <w:snapToGrid/>
        <w:spacing w:line="288" w:lineRule="auto"/>
        <w:ind w:firstLine="422" w:firstLineChars="200"/>
        <w:rPr>
          <w:rFonts w:hint="eastAsia" w:ascii="华文仿宋" w:hAnsi="华文仿宋" w:eastAsia="华文仿宋" w:cs="华文仿宋"/>
          <w:b/>
          <w:bCs/>
          <w:color w:val="auto"/>
          <w:sz w:val="21"/>
          <w:szCs w:val="21"/>
          <w:highlight w:val="none"/>
          <w:lang w:val="en-US" w:eastAsia="zh-CN"/>
        </w:rPr>
      </w:pPr>
      <w:r>
        <w:rPr>
          <w:rFonts w:hint="eastAsia" w:ascii="华文仿宋" w:hAnsi="华文仿宋" w:eastAsia="华文仿宋" w:cs="华文仿宋"/>
          <w:b/>
          <w:bCs/>
          <w:color w:val="auto"/>
          <w:sz w:val="21"/>
          <w:szCs w:val="21"/>
          <w:highlight w:val="none"/>
          <w:lang w:val="en-US" w:eastAsia="zh-CN"/>
        </w:rPr>
        <w:t>不见面开标服务的具体事宜，请查阅信阳市公共资源交易中心网站首页—下载中心—信阳市不见面开标大厅系统操作手册。</w:t>
      </w:r>
    </w:p>
    <w:p w14:paraId="5DBDE7AC">
      <w:pPr>
        <w:pageBreakBefore w:val="0"/>
        <w:widowControl w:val="0"/>
        <w:kinsoku/>
        <w:wordWrap w:val="0"/>
        <w:overflowPunct/>
        <w:topLinePunct/>
        <w:autoSpaceDE/>
        <w:autoSpaceDN/>
        <w:bidi w:val="0"/>
        <w:snapToGrid/>
        <w:spacing w:line="288" w:lineRule="auto"/>
        <w:ind w:firstLine="422" w:firstLineChars="200"/>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rPr>
        <w:t>开标</w:t>
      </w:r>
      <w:r>
        <w:rPr>
          <w:rFonts w:hint="eastAsia" w:ascii="华文仿宋" w:hAnsi="华文仿宋" w:eastAsia="华文仿宋" w:cs="华文仿宋"/>
          <w:b/>
          <w:bCs/>
          <w:color w:val="auto"/>
          <w:sz w:val="21"/>
          <w:szCs w:val="21"/>
          <w:highlight w:val="none"/>
          <w:lang w:eastAsia="zh-CN"/>
        </w:rPr>
        <w:t>过程中</w:t>
      </w:r>
      <w:r>
        <w:rPr>
          <w:rFonts w:hint="eastAsia" w:ascii="华文仿宋" w:hAnsi="华文仿宋" w:eastAsia="华文仿宋" w:cs="华文仿宋"/>
          <w:b/>
          <w:bCs/>
          <w:color w:val="auto"/>
          <w:sz w:val="21"/>
          <w:szCs w:val="21"/>
          <w:highlight w:val="none"/>
        </w:rPr>
        <w:t>，</w:t>
      </w:r>
      <w:r>
        <w:rPr>
          <w:rFonts w:hint="eastAsia" w:ascii="华文仿宋" w:hAnsi="华文仿宋" w:eastAsia="华文仿宋" w:cs="华文仿宋"/>
          <w:b/>
          <w:bCs/>
          <w:color w:val="auto"/>
          <w:sz w:val="21"/>
          <w:szCs w:val="21"/>
          <w:highlight w:val="none"/>
          <w:lang w:eastAsia="zh-CN"/>
        </w:rPr>
        <w:t>供应商</w:t>
      </w:r>
      <w:r>
        <w:rPr>
          <w:rFonts w:hint="eastAsia" w:ascii="华文仿宋" w:hAnsi="华文仿宋" w:eastAsia="华文仿宋" w:cs="华文仿宋"/>
          <w:b/>
          <w:bCs/>
          <w:color w:val="auto"/>
          <w:sz w:val="21"/>
          <w:szCs w:val="21"/>
          <w:highlight w:val="none"/>
        </w:rPr>
        <w:t>如有异议，须</w:t>
      </w:r>
      <w:r>
        <w:rPr>
          <w:rFonts w:hint="eastAsia" w:ascii="华文仿宋" w:hAnsi="华文仿宋" w:eastAsia="华文仿宋" w:cs="华文仿宋"/>
          <w:b/>
          <w:bCs/>
          <w:color w:val="auto"/>
          <w:sz w:val="21"/>
          <w:szCs w:val="21"/>
          <w:highlight w:val="none"/>
          <w:lang w:eastAsia="zh-CN"/>
        </w:rPr>
        <w:t>在开标结束前</w:t>
      </w:r>
      <w:r>
        <w:rPr>
          <w:rFonts w:hint="eastAsia" w:ascii="华文仿宋" w:hAnsi="华文仿宋" w:eastAsia="华文仿宋" w:cs="华文仿宋"/>
          <w:b/>
          <w:bCs/>
          <w:color w:val="auto"/>
          <w:sz w:val="21"/>
          <w:szCs w:val="21"/>
          <w:highlight w:val="none"/>
        </w:rPr>
        <w:t>通过系统提出，否则视同</w:t>
      </w:r>
      <w:r>
        <w:rPr>
          <w:rFonts w:hint="eastAsia" w:ascii="华文仿宋" w:hAnsi="华文仿宋" w:eastAsia="华文仿宋" w:cs="华文仿宋"/>
          <w:b/>
          <w:bCs/>
          <w:color w:val="auto"/>
          <w:sz w:val="21"/>
          <w:szCs w:val="21"/>
          <w:highlight w:val="none"/>
          <w:lang w:eastAsia="zh-CN"/>
        </w:rPr>
        <w:t>认可</w:t>
      </w:r>
      <w:r>
        <w:rPr>
          <w:rFonts w:hint="eastAsia" w:ascii="华文仿宋" w:hAnsi="华文仿宋" w:eastAsia="华文仿宋" w:cs="华文仿宋"/>
          <w:b/>
          <w:bCs/>
          <w:color w:val="auto"/>
          <w:sz w:val="21"/>
          <w:szCs w:val="21"/>
          <w:highlight w:val="none"/>
        </w:rPr>
        <w:t>开标记录</w:t>
      </w:r>
      <w:r>
        <w:rPr>
          <w:rFonts w:hint="eastAsia" w:ascii="华文仿宋" w:hAnsi="华文仿宋" w:eastAsia="华文仿宋" w:cs="华文仿宋"/>
          <w:b/>
          <w:bCs/>
          <w:color w:val="auto"/>
          <w:sz w:val="21"/>
          <w:szCs w:val="21"/>
          <w:highlight w:val="none"/>
          <w:lang w:eastAsia="zh-CN"/>
        </w:rPr>
        <w:t>。开标结束后，</w:t>
      </w:r>
      <w:r>
        <w:rPr>
          <w:rFonts w:hint="eastAsia" w:ascii="华文仿宋" w:hAnsi="华文仿宋" w:eastAsia="华文仿宋" w:cs="华文仿宋"/>
          <w:b/>
          <w:bCs/>
          <w:color w:val="auto"/>
          <w:sz w:val="21"/>
          <w:szCs w:val="21"/>
          <w:highlight w:val="none"/>
        </w:rPr>
        <w:t>对开标记录</w:t>
      </w:r>
      <w:r>
        <w:rPr>
          <w:rFonts w:hint="eastAsia" w:ascii="华文仿宋" w:hAnsi="华文仿宋" w:eastAsia="华文仿宋" w:cs="华文仿宋"/>
          <w:b/>
          <w:bCs/>
          <w:color w:val="auto"/>
          <w:sz w:val="21"/>
          <w:szCs w:val="21"/>
          <w:highlight w:val="none"/>
          <w:lang w:eastAsia="zh-CN"/>
        </w:rPr>
        <w:t>的</w:t>
      </w:r>
      <w:r>
        <w:rPr>
          <w:rFonts w:hint="eastAsia" w:ascii="华文仿宋" w:hAnsi="华文仿宋" w:eastAsia="华文仿宋" w:cs="华文仿宋"/>
          <w:b/>
          <w:bCs/>
          <w:color w:val="auto"/>
          <w:sz w:val="21"/>
          <w:szCs w:val="21"/>
          <w:highlight w:val="none"/>
        </w:rPr>
        <w:t>任何异议</w:t>
      </w:r>
      <w:r>
        <w:rPr>
          <w:rFonts w:hint="eastAsia" w:ascii="华文仿宋" w:hAnsi="华文仿宋" w:eastAsia="华文仿宋" w:cs="华文仿宋"/>
          <w:b/>
          <w:bCs/>
          <w:color w:val="auto"/>
          <w:sz w:val="21"/>
          <w:szCs w:val="21"/>
          <w:highlight w:val="none"/>
          <w:lang w:eastAsia="zh-CN"/>
        </w:rPr>
        <w:t>不再接受</w:t>
      </w:r>
      <w:r>
        <w:rPr>
          <w:rFonts w:hint="eastAsia" w:ascii="华文仿宋" w:hAnsi="华文仿宋" w:eastAsia="华文仿宋" w:cs="华文仿宋"/>
          <w:b/>
          <w:bCs/>
          <w:color w:val="auto"/>
          <w:sz w:val="21"/>
          <w:szCs w:val="21"/>
          <w:highlight w:val="none"/>
        </w:rPr>
        <w:t xml:space="preserve">。 </w:t>
      </w:r>
    </w:p>
    <w:p w14:paraId="22F7A02C">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453" w:name="_Toc21319"/>
      <w:r>
        <w:rPr>
          <w:rFonts w:hint="eastAsia" w:ascii="华文仿宋" w:hAnsi="华文仿宋" w:eastAsia="华文仿宋" w:cs="华文仿宋"/>
          <w:b/>
          <w:bCs/>
          <w:color w:val="auto"/>
          <w:sz w:val="21"/>
          <w:szCs w:val="21"/>
          <w:highlight w:val="none"/>
        </w:rPr>
        <w:t>5.2 磋商程序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4AA4D169">
      <w:pPr>
        <w:pageBreakBefore w:val="0"/>
        <w:widowControl w:val="0"/>
        <w:kinsoku/>
        <w:wordWrap w:val="0"/>
        <w:overflowPunct/>
        <w:topLinePunct/>
        <w:autoSpaceDE/>
        <w:autoSpaceDN/>
        <w:bidi w:val="0"/>
        <w:snapToGrid/>
        <w:spacing w:line="288" w:lineRule="auto"/>
        <w:ind w:firstLine="420" w:firstLineChars="200"/>
        <w:outlineLvl w:val="3"/>
        <w:rPr>
          <w:rFonts w:hint="eastAsia" w:ascii="华文仿宋" w:hAnsi="华文仿宋" w:eastAsia="华文仿宋" w:cs="华文仿宋"/>
          <w:color w:val="auto"/>
          <w:szCs w:val="21"/>
          <w:highlight w:val="none"/>
          <w:lang w:val="en-US" w:eastAsia="zh-CN"/>
        </w:rPr>
      </w:pPr>
      <w:bookmarkStart w:id="454" w:name="_Toc30403"/>
      <w:r>
        <w:rPr>
          <w:rFonts w:hint="eastAsia" w:ascii="华文仿宋" w:hAnsi="华文仿宋" w:eastAsia="华文仿宋" w:cs="华文仿宋"/>
          <w:color w:val="auto"/>
          <w:szCs w:val="21"/>
          <w:highlight w:val="none"/>
          <w:lang w:val="en-US" w:eastAsia="zh-CN"/>
        </w:rPr>
        <w:t>5.2.1磋商小组对竞争性磋商文件进行熟悉确认。</w:t>
      </w:r>
      <w:bookmarkEnd w:id="454"/>
    </w:p>
    <w:p w14:paraId="2D8E2150">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bookmarkStart w:id="455" w:name="_Toc144974530"/>
      <w:bookmarkStart w:id="456" w:name="_Toc152042338"/>
      <w:bookmarkStart w:id="457" w:name="_Toc152045562"/>
      <w:r>
        <w:rPr>
          <w:rFonts w:hint="eastAsia" w:ascii="华文仿宋" w:hAnsi="华文仿宋" w:eastAsia="华文仿宋" w:cs="华文仿宋"/>
          <w:color w:val="auto"/>
          <w:szCs w:val="21"/>
          <w:highlight w:val="none"/>
        </w:rPr>
        <w:t>5.2.2磋商小组推选组长，讨论、通过磋商工作流程和磋商要点。</w:t>
      </w:r>
    </w:p>
    <w:p w14:paraId="4F184C9F">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5.2.</w:t>
      </w:r>
      <w:r>
        <w:rPr>
          <w:rFonts w:hint="eastAsia" w:ascii="华文仿宋" w:hAnsi="华文仿宋" w:eastAsia="华文仿宋" w:cs="华文仿宋"/>
          <w:color w:val="auto"/>
          <w:szCs w:val="21"/>
          <w:highlight w:val="none"/>
          <w:lang w:val="en-US" w:eastAsia="zh-CN"/>
        </w:rPr>
        <w:t>3</w:t>
      </w:r>
      <w:r>
        <w:rPr>
          <w:rFonts w:hint="eastAsia" w:ascii="华文仿宋" w:hAnsi="华文仿宋" w:eastAsia="华文仿宋" w:cs="华文仿宋"/>
          <w:color w:val="auto"/>
          <w:szCs w:val="21"/>
          <w:highlight w:val="none"/>
        </w:rPr>
        <w:t>资格评审审查：采购人依据</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规定，</w:t>
      </w:r>
      <w:r>
        <w:rPr>
          <w:rFonts w:hint="eastAsia" w:ascii="华文仿宋" w:hAnsi="华文仿宋" w:eastAsia="华文仿宋" w:cs="华文仿宋"/>
          <w:color w:val="auto"/>
          <w:szCs w:val="21"/>
          <w:highlight w:val="none"/>
          <w:lang w:eastAsia="zh-CN"/>
        </w:rPr>
        <w:t>对</w:t>
      </w:r>
      <w:r>
        <w:rPr>
          <w:rFonts w:hint="eastAsia" w:ascii="华文仿宋" w:hAnsi="华文仿宋" w:eastAsia="华文仿宋" w:cs="华文仿宋"/>
          <w:color w:val="auto"/>
          <w:szCs w:val="21"/>
          <w:highlight w:val="none"/>
        </w:rPr>
        <w:t>供应商进行审查，以确定磋商供应商是否具备参与磋商的资格。</w:t>
      </w:r>
    </w:p>
    <w:p w14:paraId="370467D4">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5.2.</w:t>
      </w:r>
      <w:r>
        <w:rPr>
          <w:rFonts w:hint="eastAsia" w:ascii="华文仿宋" w:hAnsi="华文仿宋" w:eastAsia="华文仿宋" w:cs="华文仿宋"/>
          <w:color w:val="auto"/>
          <w:szCs w:val="21"/>
          <w:highlight w:val="none"/>
          <w:lang w:val="en-US" w:eastAsia="zh-CN"/>
        </w:rPr>
        <w:t>4</w:t>
      </w:r>
      <w:r>
        <w:rPr>
          <w:rFonts w:hint="eastAsia" w:ascii="华文仿宋" w:hAnsi="华文仿宋" w:eastAsia="华文仿宋" w:cs="华文仿宋"/>
          <w:color w:val="auto"/>
          <w:szCs w:val="21"/>
          <w:highlight w:val="none"/>
          <w:lang w:eastAsia="zh-CN"/>
        </w:rPr>
        <w:t>符合性</w:t>
      </w:r>
      <w:r>
        <w:rPr>
          <w:rFonts w:hint="eastAsia" w:ascii="华文仿宋" w:hAnsi="华文仿宋" w:eastAsia="华文仿宋" w:cs="华文仿宋"/>
          <w:color w:val="auto"/>
          <w:szCs w:val="21"/>
          <w:highlight w:val="none"/>
        </w:rPr>
        <w:t>评审审查：磋商开始后，磋商小组依据</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规定，对通过资格评审的供应商进行审查，以确定磋商供应商是否具备参与磋商的资格。</w:t>
      </w:r>
    </w:p>
    <w:p w14:paraId="4E1CB0EA">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5.2</w:t>
      </w:r>
      <w:r>
        <w:rPr>
          <w:rFonts w:hint="eastAsia" w:ascii="华文仿宋" w:hAnsi="华文仿宋" w:eastAsia="华文仿宋" w:cs="华文仿宋"/>
          <w:color w:val="auto"/>
          <w:szCs w:val="21"/>
          <w:highlight w:val="none"/>
          <w:lang w:val="en-US" w:eastAsia="zh-CN"/>
        </w:rPr>
        <w:t>.5</w:t>
      </w:r>
      <w:r>
        <w:rPr>
          <w:rFonts w:hint="eastAsia" w:ascii="华文仿宋" w:hAnsi="华文仿宋" w:eastAsia="华文仿宋" w:cs="华文仿宋"/>
          <w:color w:val="auto"/>
          <w:szCs w:val="21"/>
          <w:highlight w:val="none"/>
        </w:rPr>
        <w:t>磋商小组对通过资格性和符合性审查的响应文件进行评估，确定与各竞标人磋商的具体内容。</w:t>
      </w:r>
    </w:p>
    <w:p w14:paraId="5A1D5245">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5.2.</w:t>
      </w:r>
      <w:r>
        <w:rPr>
          <w:rFonts w:hint="eastAsia" w:ascii="华文仿宋" w:hAnsi="华文仿宋" w:eastAsia="华文仿宋" w:cs="华文仿宋"/>
          <w:color w:val="auto"/>
          <w:szCs w:val="21"/>
          <w:highlight w:val="none"/>
          <w:lang w:val="en-US" w:eastAsia="zh-CN"/>
        </w:rPr>
        <w:t>6</w:t>
      </w:r>
      <w:r>
        <w:rPr>
          <w:rFonts w:hint="eastAsia" w:ascii="华文仿宋" w:hAnsi="华文仿宋" w:eastAsia="华文仿宋" w:cs="华文仿宋"/>
          <w:color w:val="auto"/>
          <w:szCs w:val="21"/>
          <w:highlight w:val="none"/>
        </w:rPr>
        <w:t>磋商过程中，磋商小组可以根据磋商情况实质性变动招标需求中的技术、服务要求以及合同草案条款，但不得变动</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中的其他内容。实质性变动的内容需经采购人(业主)代表确认。并以书面形式通知所有参加磋商的供应商，该变动是</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的有效组成部分。供应商应当按照</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的变动情况和磋商小组的要求重新提交响应文件并由其法定代表人或其授权代表签字或者加盖公章。由授权代表签字的应当附法定代表人授权书</w:t>
      </w:r>
      <w:r>
        <w:rPr>
          <w:rFonts w:hint="eastAsia" w:ascii="华文仿宋" w:hAnsi="华文仿宋" w:eastAsia="华文仿宋" w:cs="华文仿宋"/>
          <w:color w:val="auto"/>
          <w:szCs w:val="21"/>
          <w:highlight w:val="none"/>
          <w:lang w:eastAsia="zh-CN"/>
        </w:rPr>
        <w:t>，</w:t>
      </w:r>
      <w:r>
        <w:rPr>
          <w:rFonts w:hint="eastAsia" w:ascii="华文仿宋" w:hAnsi="华文仿宋" w:eastAsia="华文仿宋" w:cs="华文仿宋"/>
          <w:color w:val="auto"/>
          <w:szCs w:val="21"/>
          <w:highlight w:val="none"/>
        </w:rPr>
        <w:t>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7B7FCF48">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5.2.</w:t>
      </w:r>
      <w:r>
        <w:rPr>
          <w:rFonts w:hint="eastAsia" w:ascii="华文仿宋" w:hAnsi="华文仿宋" w:eastAsia="华文仿宋" w:cs="华文仿宋"/>
          <w:color w:val="auto"/>
          <w:szCs w:val="21"/>
          <w:highlight w:val="none"/>
          <w:lang w:val="en-US" w:eastAsia="zh-CN"/>
        </w:rPr>
        <w:t>7</w:t>
      </w:r>
      <w:r>
        <w:rPr>
          <w:rFonts w:hint="eastAsia" w:ascii="华文仿宋" w:hAnsi="华文仿宋" w:eastAsia="华文仿宋" w:cs="华文仿宋"/>
          <w:color w:val="auto"/>
          <w:szCs w:val="21"/>
          <w:highlight w:val="none"/>
        </w:rPr>
        <w:t>磋商小组对符合招标需求的供应商进行两轮报价；供应商只有通过资格评审</w:t>
      </w:r>
      <w:r>
        <w:rPr>
          <w:rFonts w:hint="eastAsia" w:ascii="华文仿宋" w:hAnsi="华文仿宋" w:eastAsia="华文仿宋" w:cs="华文仿宋"/>
          <w:color w:val="auto"/>
          <w:szCs w:val="21"/>
          <w:highlight w:val="none"/>
          <w:lang w:eastAsia="zh-CN"/>
        </w:rPr>
        <w:t>及符合性</w:t>
      </w:r>
      <w:r>
        <w:rPr>
          <w:rFonts w:hint="eastAsia" w:ascii="华文仿宋" w:hAnsi="华文仿宋" w:eastAsia="华文仿宋" w:cs="华文仿宋"/>
          <w:color w:val="auto"/>
          <w:szCs w:val="21"/>
          <w:highlight w:val="none"/>
        </w:rPr>
        <w:t>评审后方可进入下一轮报价，在规定的时间内同时提交报价，最终报价不得超过响应文件中报价。</w:t>
      </w:r>
    </w:p>
    <w:p w14:paraId="4E7EE94E">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5.2.</w:t>
      </w:r>
      <w:r>
        <w:rPr>
          <w:rFonts w:hint="eastAsia" w:ascii="华文仿宋" w:hAnsi="华文仿宋" w:eastAsia="华文仿宋" w:cs="华文仿宋"/>
          <w:color w:val="auto"/>
          <w:szCs w:val="21"/>
          <w:highlight w:val="none"/>
          <w:lang w:val="en-US" w:eastAsia="zh-CN"/>
        </w:rPr>
        <w:t>8</w:t>
      </w:r>
      <w:r>
        <w:rPr>
          <w:rFonts w:hint="eastAsia" w:ascii="华文仿宋" w:hAnsi="华文仿宋" w:eastAsia="华文仿宋" w:cs="华文仿宋"/>
          <w:color w:val="auto"/>
          <w:szCs w:val="21"/>
          <w:highlight w:val="none"/>
        </w:rPr>
        <w:t>经磋商确定最终招标需求，由磋商小组采用综合评分法对通过初步评审的供应商的响应文件进行综合评分。</w:t>
      </w:r>
    </w:p>
    <w:p w14:paraId="6082CAF2">
      <w:pPr>
        <w:pStyle w:val="69"/>
        <w:pageBreakBefore w:val="0"/>
        <w:widowControl w:val="0"/>
        <w:kinsoku/>
        <w:wordWrap w:val="0"/>
        <w:overflowPunct/>
        <w:topLinePunct/>
        <w:autoSpaceDE/>
        <w:autoSpaceDN/>
        <w:bidi w:val="0"/>
        <w:snapToGrid/>
        <w:spacing w:before="0" w:beforeLines="0" w:line="288" w:lineRule="auto"/>
        <w:rPr>
          <w:rFonts w:hint="eastAsia" w:ascii="华文仿宋" w:hAnsi="华文仿宋" w:eastAsia="华文仿宋" w:cs="华文仿宋"/>
          <w:b/>
          <w:bCs/>
          <w:color w:val="auto"/>
          <w:sz w:val="21"/>
          <w:szCs w:val="21"/>
          <w:highlight w:val="none"/>
        </w:rPr>
      </w:pPr>
      <w:bookmarkStart w:id="458" w:name="_Toc455080138"/>
      <w:bookmarkStart w:id="459" w:name="_Toc31865"/>
      <w:bookmarkStart w:id="460" w:name="_Toc14039"/>
      <w:r>
        <w:rPr>
          <w:rFonts w:hint="eastAsia" w:ascii="华文仿宋" w:hAnsi="华文仿宋" w:eastAsia="华文仿宋" w:cs="华文仿宋"/>
          <w:b/>
          <w:bCs/>
          <w:color w:val="auto"/>
          <w:sz w:val="21"/>
          <w:szCs w:val="21"/>
          <w:highlight w:val="none"/>
        </w:rPr>
        <w:t xml:space="preserve">6. </w:t>
      </w:r>
      <w:bookmarkEnd w:id="455"/>
      <w:bookmarkEnd w:id="456"/>
      <w:bookmarkEnd w:id="457"/>
      <w:r>
        <w:rPr>
          <w:rFonts w:hint="eastAsia" w:ascii="华文仿宋" w:hAnsi="华文仿宋" w:eastAsia="华文仿宋" w:cs="华文仿宋"/>
          <w:b/>
          <w:bCs/>
          <w:color w:val="auto"/>
          <w:sz w:val="21"/>
          <w:szCs w:val="21"/>
          <w:highlight w:val="none"/>
        </w:rPr>
        <w:t>磋商</w:t>
      </w:r>
      <w:bookmarkEnd w:id="458"/>
      <w:r>
        <w:rPr>
          <w:rFonts w:hint="eastAsia" w:ascii="华文仿宋" w:hAnsi="华文仿宋" w:eastAsia="华文仿宋" w:cs="华文仿宋"/>
          <w:b/>
          <w:bCs/>
          <w:color w:val="auto"/>
          <w:sz w:val="21"/>
          <w:szCs w:val="21"/>
          <w:highlight w:val="none"/>
        </w:rPr>
        <w:t>小组</w:t>
      </w:r>
      <w:bookmarkEnd w:id="459"/>
      <w:bookmarkEnd w:id="460"/>
    </w:p>
    <w:p w14:paraId="3FAD9611">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461" w:name="_Toc9808"/>
      <w:bookmarkStart w:id="462" w:name="_Toc152042339"/>
      <w:bookmarkStart w:id="463" w:name="_Toc152045563"/>
      <w:bookmarkStart w:id="464" w:name="_Toc318450706"/>
      <w:bookmarkStart w:id="465" w:name="_Toc144974531"/>
      <w:bookmarkStart w:id="466" w:name="_Toc26098"/>
      <w:bookmarkStart w:id="467" w:name="_Toc22250"/>
      <w:bookmarkStart w:id="468" w:name="_Toc13978"/>
      <w:bookmarkStart w:id="469" w:name="_Toc23138"/>
      <w:bookmarkStart w:id="470" w:name="_Toc1546"/>
      <w:bookmarkStart w:id="471" w:name="_Toc8157"/>
      <w:bookmarkStart w:id="472" w:name="_Toc490667859"/>
      <w:bookmarkStart w:id="473" w:name="_Toc2927"/>
      <w:bookmarkStart w:id="474" w:name="_Toc455867799"/>
      <w:bookmarkStart w:id="475" w:name="_Toc1574"/>
      <w:bookmarkStart w:id="476" w:name="_Toc18985"/>
      <w:bookmarkStart w:id="477" w:name="_Toc466298122"/>
      <w:bookmarkStart w:id="478" w:name="_Toc455080139"/>
      <w:bookmarkStart w:id="479" w:name="_Toc8725"/>
      <w:r>
        <w:rPr>
          <w:rFonts w:hint="eastAsia" w:ascii="华文仿宋" w:hAnsi="华文仿宋" w:eastAsia="华文仿宋" w:cs="华文仿宋"/>
          <w:b/>
          <w:bCs/>
          <w:color w:val="auto"/>
          <w:sz w:val="21"/>
          <w:szCs w:val="21"/>
          <w:highlight w:val="none"/>
        </w:rPr>
        <w:t>6.1</w:t>
      </w:r>
      <w:bookmarkEnd w:id="461"/>
      <w:bookmarkEnd w:id="462"/>
      <w:bookmarkEnd w:id="463"/>
      <w:bookmarkEnd w:id="464"/>
      <w:bookmarkEnd w:id="465"/>
      <w:bookmarkEnd w:id="466"/>
      <w:bookmarkEnd w:id="467"/>
      <w:r>
        <w:rPr>
          <w:rFonts w:hint="eastAsia" w:ascii="华文仿宋" w:hAnsi="华文仿宋" w:eastAsia="华文仿宋" w:cs="华文仿宋"/>
          <w:b/>
          <w:bCs/>
          <w:color w:val="auto"/>
          <w:sz w:val="21"/>
          <w:szCs w:val="21"/>
          <w:highlight w:val="none"/>
        </w:rPr>
        <w:t>磋商小组</w:t>
      </w:r>
      <w:bookmarkEnd w:id="468"/>
      <w:bookmarkEnd w:id="469"/>
      <w:bookmarkEnd w:id="470"/>
      <w:bookmarkEnd w:id="471"/>
      <w:bookmarkEnd w:id="472"/>
      <w:bookmarkEnd w:id="473"/>
      <w:bookmarkEnd w:id="474"/>
      <w:bookmarkEnd w:id="475"/>
      <w:bookmarkEnd w:id="476"/>
      <w:bookmarkEnd w:id="477"/>
      <w:bookmarkEnd w:id="478"/>
      <w:bookmarkEnd w:id="479"/>
    </w:p>
    <w:p w14:paraId="205F074B">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磋商由采购人依法组建的磋商小组负责。磋商小组由采购人代表以及有关技术、经济等方面的专家组成。磋商小组成员人数以及技术、经济等方面专家的确定方式见供应商须知前附表。</w:t>
      </w:r>
    </w:p>
    <w:p w14:paraId="35233C1E">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480" w:name="_Toc7286"/>
      <w:bookmarkStart w:id="481" w:name="_Toc5659"/>
      <w:bookmarkStart w:id="482" w:name="_Toc152045564"/>
      <w:bookmarkStart w:id="483" w:name="_Toc318450707"/>
      <w:bookmarkStart w:id="484" w:name="_Toc455867800"/>
      <w:bookmarkStart w:id="485" w:name="_Toc22143"/>
      <w:bookmarkStart w:id="486" w:name="_Toc13368"/>
      <w:bookmarkStart w:id="487" w:name="_Toc21102"/>
      <w:bookmarkStart w:id="488" w:name="_Toc490667860"/>
      <w:bookmarkStart w:id="489" w:name="_Toc455080140"/>
      <w:bookmarkStart w:id="490" w:name="_Toc8240"/>
      <w:bookmarkStart w:id="491" w:name="_Toc144974532"/>
      <w:bookmarkStart w:id="492" w:name="_Toc25721"/>
      <w:bookmarkStart w:id="493" w:name="_Toc466298123"/>
      <w:bookmarkStart w:id="494" w:name="_Toc4435"/>
      <w:bookmarkStart w:id="495" w:name="_Toc8248"/>
      <w:bookmarkStart w:id="496" w:name="_Toc27035"/>
      <w:bookmarkStart w:id="497" w:name="_Toc9532"/>
      <w:bookmarkStart w:id="498" w:name="_Toc152042340"/>
      <w:r>
        <w:rPr>
          <w:rFonts w:hint="eastAsia" w:ascii="华文仿宋" w:hAnsi="华文仿宋" w:eastAsia="华文仿宋" w:cs="华文仿宋"/>
          <w:b/>
          <w:bCs/>
          <w:color w:val="auto"/>
          <w:sz w:val="21"/>
          <w:szCs w:val="21"/>
          <w:highlight w:val="none"/>
        </w:rPr>
        <w:t>6.2 磋商原则</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753A5356">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磋商活动遵循公平、公正、科学和择优的原则。</w:t>
      </w:r>
    </w:p>
    <w:p w14:paraId="14B5DC6E">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499" w:name="_Toc318450708"/>
      <w:bookmarkStart w:id="500" w:name="_Toc8705"/>
      <w:bookmarkStart w:id="501" w:name="_Toc152042341"/>
      <w:bookmarkStart w:id="502" w:name="_Toc152045565"/>
      <w:bookmarkStart w:id="503" w:name="_Toc144974533"/>
      <w:bookmarkStart w:id="504" w:name="_Toc15595"/>
      <w:bookmarkStart w:id="505" w:name="_Toc16725"/>
      <w:bookmarkStart w:id="506" w:name="_Toc466298124"/>
      <w:bookmarkStart w:id="507" w:name="_Toc455080141"/>
      <w:bookmarkStart w:id="508" w:name="_Toc7890"/>
      <w:bookmarkStart w:id="509" w:name="_Toc490667861"/>
      <w:bookmarkStart w:id="510" w:name="_Toc2532"/>
      <w:bookmarkStart w:id="511" w:name="_Toc20062"/>
      <w:bookmarkStart w:id="512" w:name="_Toc28734"/>
      <w:bookmarkStart w:id="513" w:name="_Toc3606"/>
      <w:bookmarkStart w:id="514" w:name="_Toc455867801"/>
      <w:bookmarkStart w:id="515" w:name="_Toc18756"/>
      <w:bookmarkStart w:id="516" w:name="_Toc27036"/>
      <w:bookmarkStart w:id="517" w:name="_Toc24358"/>
      <w:r>
        <w:rPr>
          <w:rFonts w:hint="eastAsia" w:ascii="华文仿宋" w:hAnsi="华文仿宋" w:eastAsia="华文仿宋" w:cs="华文仿宋"/>
          <w:b/>
          <w:bCs/>
          <w:color w:val="auto"/>
          <w:sz w:val="21"/>
          <w:szCs w:val="21"/>
          <w:highlight w:val="none"/>
        </w:rPr>
        <w:t xml:space="preserve">6.3 </w:t>
      </w:r>
      <w:bookmarkEnd w:id="499"/>
      <w:bookmarkEnd w:id="500"/>
      <w:bookmarkEnd w:id="501"/>
      <w:bookmarkEnd w:id="502"/>
      <w:bookmarkEnd w:id="503"/>
      <w:bookmarkEnd w:id="504"/>
      <w:bookmarkEnd w:id="505"/>
      <w:r>
        <w:rPr>
          <w:rFonts w:hint="eastAsia" w:ascii="华文仿宋" w:hAnsi="华文仿宋" w:eastAsia="华文仿宋" w:cs="华文仿宋"/>
          <w:b/>
          <w:bCs/>
          <w:color w:val="auto"/>
          <w:sz w:val="21"/>
          <w:szCs w:val="21"/>
          <w:highlight w:val="none"/>
        </w:rPr>
        <w:t>磋商</w:t>
      </w:r>
      <w:bookmarkEnd w:id="506"/>
      <w:bookmarkEnd w:id="507"/>
      <w:bookmarkEnd w:id="508"/>
      <w:bookmarkEnd w:id="509"/>
      <w:bookmarkEnd w:id="510"/>
      <w:bookmarkEnd w:id="511"/>
      <w:bookmarkEnd w:id="512"/>
      <w:bookmarkEnd w:id="513"/>
      <w:bookmarkEnd w:id="514"/>
      <w:bookmarkEnd w:id="515"/>
      <w:bookmarkEnd w:id="516"/>
      <w:bookmarkEnd w:id="517"/>
    </w:p>
    <w:p w14:paraId="5C327BFF">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磋商小组按照第三章“评审办法”规定的方法、评审因素、标准和程序对响应文件进行评审。第三章“评审办法”没有规定的方法、评审因素和标准，不作为评标依据。</w:t>
      </w:r>
    </w:p>
    <w:p w14:paraId="76143017">
      <w:pPr>
        <w:pStyle w:val="69"/>
        <w:pageBreakBefore w:val="0"/>
        <w:widowControl w:val="0"/>
        <w:kinsoku/>
        <w:wordWrap w:val="0"/>
        <w:overflowPunct/>
        <w:topLinePunct/>
        <w:autoSpaceDE/>
        <w:autoSpaceDN/>
        <w:bidi w:val="0"/>
        <w:snapToGrid/>
        <w:spacing w:before="0" w:beforeLines="0" w:line="288" w:lineRule="auto"/>
        <w:rPr>
          <w:rFonts w:hint="eastAsia" w:ascii="华文仿宋" w:hAnsi="华文仿宋" w:eastAsia="华文仿宋" w:cs="华文仿宋"/>
          <w:b/>
          <w:bCs/>
          <w:color w:val="auto"/>
          <w:sz w:val="21"/>
          <w:szCs w:val="21"/>
          <w:highlight w:val="none"/>
        </w:rPr>
      </w:pPr>
      <w:bookmarkStart w:id="518" w:name="_Toc152042342"/>
      <w:bookmarkStart w:id="519" w:name="_Toc144974534"/>
      <w:bookmarkStart w:id="520" w:name="_Toc979"/>
      <w:bookmarkStart w:id="521" w:name="_Toc455080142"/>
      <w:bookmarkStart w:id="522" w:name="_Toc9522"/>
      <w:bookmarkStart w:id="523" w:name="_Toc152045566"/>
      <w:r>
        <w:rPr>
          <w:rFonts w:hint="eastAsia" w:ascii="华文仿宋" w:hAnsi="华文仿宋" w:eastAsia="华文仿宋" w:cs="华文仿宋"/>
          <w:b/>
          <w:bCs/>
          <w:color w:val="auto"/>
          <w:sz w:val="21"/>
          <w:szCs w:val="21"/>
          <w:highlight w:val="none"/>
        </w:rPr>
        <w:t>7. 合同授予</w:t>
      </w:r>
      <w:bookmarkEnd w:id="518"/>
      <w:bookmarkEnd w:id="519"/>
      <w:bookmarkEnd w:id="520"/>
      <w:bookmarkEnd w:id="521"/>
      <w:bookmarkEnd w:id="522"/>
      <w:bookmarkEnd w:id="523"/>
    </w:p>
    <w:p w14:paraId="4F7049AD">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524" w:name="_Toc20777"/>
      <w:bookmarkStart w:id="525" w:name="_Toc7358"/>
      <w:bookmarkStart w:id="526" w:name="_Toc318450710"/>
      <w:bookmarkStart w:id="527" w:name="_Toc29664"/>
      <w:bookmarkStart w:id="528" w:name="_Toc11409"/>
      <w:bookmarkStart w:id="529" w:name="_Toc466298126"/>
      <w:bookmarkStart w:id="530" w:name="_Toc455867803"/>
      <w:bookmarkStart w:id="531" w:name="_Toc455080143"/>
      <w:bookmarkStart w:id="532" w:name="_Toc490667863"/>
      <w:bookmarkStart w:id="533" w:name="_Toc152042343"/>
      <w:bookmarkStart w:id="534" w:name="_Toc17660"/>
      <w:bookmarkStart w:id="535" w:name="_Toc9236"/>
      <w:bookmarkStart w:id="536" w:name="_Toc14528"/>
      <w:bookmarkStart w:id="537" w:name="_Toc28919"/>
      <w:bookmarkStart w:id="538" w:name="_Toc25316"/>
      <w:bookmarkStart w:id="539" w:name="_Toc22461"/>
      <w:bookmarkStart w:id="540" w:name="_Toc152045567"/>
      <w:bookmarkStart w:id="541" w:name="_Toc144974535"/>
      <w:bookmarkStart w:id="542" w:name="_Toc29686"/>
      <w:r>
        <w:rPr>
          <w:rFonts w:hint="eastAsia" w:ascii="华文仿宋" w:hAnsi="华文仿宋" w:eastAsia="华文仿宋" w:cs="华文仿宋"/>
          <w:b/>
          <w:bCs/>
          <w:color w:val="auto"/>
          <w:sz w:val="21"/>
          <w:szCs w:val="21"/>
          <w:highlight w:val="none"/>
        </w:rPr>
        <w:t>7.1 定标方式</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5062DA3A">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bookmarkStart w:id="543" w:name="_Toc7066"/>
      <w:bookmarkStart w:id="544" w:name="_Toc10868"/>
      <w:bookmarkStart w:id="545" w:name="_Toc28254"/>
      <w:bookmarkStart w:id="546" w:name="_Toc152045568"/>
      <w:bookmarkStart w:id="547" w:name="_Toc318450711"/>
      <w:bookmarkStart w:id="548" w:name="_Toc144974536"/>
      <w:bookmarkStart w:id="549" w:name="_Toc152042344"/>
      <w:r>
        <w:rPr>
          <w:rFonts w:hint="eastAsia" w:ascii="华文仿宋" w:hAnsi="华文仿宋" w:eastAsia="华文仿宋" w:cs="华文仿宋"/>
          <w:color w:val="auto"/>
          <w:szCs w:val="21"/>
          <w:highlight w:val="none"/>
        </w:rPr>
        <w:t>除供应商须知前附表规定磋商小组直接确定成交人外，采购人依据磋商小组推荐的成交候选人确定成交人，磋商小组推荐成交候选人的人数见供应商须知前附表。采购人</w:t>
      </w:r>
      <w:r>
        <w:rPr>
          <w:rFonts w:hint="eastAsia" w:ascii="华文仿宋" w:hAnsi="华文仿宋" w:eastAsia="华文仿宋" w:cs="华文仿宋"/>
          <w:color w:val="auto"/>
          <w:szCs w:val="21"/>
          <w:highlight w:val="none"/>
          <w:lang w:val="en-US" w:eastAsia="zh-CN"/>
        </w:rPr>
        <w:t>将</w:t>
      </w:r>
      <w:r>
        <w:rPr>
          <w:rFonts w:hint="eastAsia" w:ascii="华文仿宋" w:hAnsi="华文仿宋" w:eastAsia="华文仿宋" w:cs="华文仿宋"/>
          <w:color w:val="auto"/>
          <w:szCs w:val="21"/>
          <w:highlight w:val="none"/>
        </w:rPr>
        <w:t>依序确定排名第一的供应商为成交人，若第一成交候选人放弃成交、因不可抗力不能履行合同、不按照</w:t>
      </w:r>
      <w:r>
        <w:rPr>
          <w:rFonts w:hint="eastAsia" w:ascii="华文仿宋" w:hAnsi="华文仿宋" w:eastAsia="华文仿宋" w:cs="华文仿宋"/>
          <w:color w:val="auto"/>
          <w:szCs w:val="21"/>
          <w:highlight w:val="none"/>
          <w:lang w:eastAsia="zh-CN"/>
        </w:rPr>
        <w:t>竞争性磋商文件</w:t>
      </w:r>
      <w:r>
        <w:rPr>
          <w:rFonts w:hint="eastAsia" w:ascii="华文仿宋" w:hAnsi="华文仿宋" w:eastAsia="华文仿宋" w:cs="华文仿宋"/>
          <w:color w:val="auto"/>
          <w:szCs w:val="21"/>
          <w:highlight w:val="none"/>
        </w:rPr>
        <w:t>要求提交履约保证金，或者被查实存在影响成交结果的违法行为等情形，不符合成交条件的，采购人可以按照磋商小组提出的成交候选人名单排序依次确定其他成交候选人为成交人，也可以重新磋商。</w:t>
      </w:r>
    </w:p>
    <w:p w14:paraId="43E49E8E">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550" w:name="_Toc9775"/>
      <w:bookmarkStart w:id="551" w:name="_Toc9897"/>
      <w:bookmarkStart w:id="552" w:name="_Toc12115"/>
      <w:bookmarkStart w:id="553" w:name="_Toc455867804"/>
      <w:bookmarkStart w:id="554" w:name="_Toc15825"/>
      <w:bookmarkStart w:id="555" w:name="_Toc5428"/>
      <w:bookmarkStart w:id="556" w:name="_Toc28177"/>
      <w:bookmarkStart w:id="557" w:name="_Toc16163"/>
      <w:bookmarkStart w:id="558" w:name="_Toc466298127"/>
      <w:bookmarkStart w:id="559" w:name="_Toc455080144"/>
      <w:bookmarkStart w:id="560" w:name="_Toc5668"/>
      <w:bookmarkStart w:id="561" w:name="_Toc490667864"/>
      <w:r>
        <w:rPr>
          <w:rFonts w:hint="eastAsia" w:ascii="华文仿宋" w:hAnsi="华文仿宋" w:eastAsia="华文仿宋" w:cs="华文仿宋"/>
          <w:b/>
          <w:bCs/>
          <w:color w:val="auto"/>
          <w:sz w:val="21"/>
          <w:szCs w:val="21"/>
          <w:highlight w:val="none"/>
        </w:rPr>
        <w:t>7.2 成交通知</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55A206B1">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在本章第3.</w:t>
      </w:r>
      <w:r>
        <w:rPr>
          <w:rFonts w:hint="eastAsia" w:ascii="华文仿宋" w:hAnsi="华文仿宋" w:eastAsia="华文仿宋" w:cs="华文仿宋"/>
          <w:color w:val="auto"/>
          <w:szCs w:val="21"/>
          <w:highlight w:val="none"/>
          <w:lang w:val="en-US" w:eastAsia="zh-CN"/>
        </w:rPr>
        <w:t>4</w:t>
      </w:r>
      <w:r>
        <w:rPr>
          <w:rFonts w:hint="eastAsia" w:ascii="华文仿宋" w:hAnsi="华文仿宋" w:eastAsia="华文仿宋" w:cs="华文仿宋"/>
          <w:color w:val="auto"/>
          <w:szCs w:val="21"/>
          <w:highlight w:val="none"/>
        </w:rPr>
        <w:t>款规定的磋商有效期内，采购人以书面形式向成交人发出成交通知书，同时将成交结果通知未成交的供应商。</w:t>
      </w:r>
    </w:p>
    <w:p w14:paraId="5363DCF8">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val="0"/>
          <w:bCs w:val="0"/>
          <w:color w:val="auto"/>
          <w:sz w:val="21"/>
          <w:szCs w:val="21"/>
          <w:highlight w:val="none"/>
          <w:lang w:val="en-US" w:eastAsia="zh-CN"/>
        </w:rPr>
      </w:pPr>
      <w:bookmarkStart w:id="562" w:name="_Toc18179"/>
      <w:r>
        <w:rPr>
          <w:rFonts w:hint="eastAsia" w:ascii="华文仿宋" w:hAnsi="华文仿宋" w:eastAsia="华文仿宋" w:cs="华文仿宋"/>
          <w:b/>
          <w:bCs/>
          <w:color w:val="auto"/>
          <w:sz w:val="21"/>
          <w:szCs w:val="21"/>
          <w:highlight w:val="none"/>
          <w:lang w:val="en-US" w:eastAsia="zh-CN"/>
        </w:rPr>
        <w:t>7.3 履约保证金</w:t>
      </w:r>
      <w:bookmarkEnd w:id="562"/>
      <w:bookmarkStart w:id="563" w:name="_Toc12663"/>
      <w:bookmarkStart w:id="564" w:name="_Toc152042346"/>
      <w:bookmarkStart w:id="565" w:name="_Toc455867805"/>
      <w:bookmarkStart w:id="566" w:name="_Toc490667865"/>
      <w:bookmarkStart w:id="567" w:name="_Toc13147"/>
      <w:bookmarkStart w:id="568" w:name="_Toc152045570"/>
      <w:bookmarkStart w:id="569" w:name="_Toc15458"/>
      <w:bookmarkStart w:id="570" w:name="_Toc10082"/>
      <w:bookmarkStart w:id="571" w:name="_Toc26655"/>
      <w:bookmarkStart w:id="572" w:name="_Toc318450712"/>
      <w:bookmarkStart w:id="573" w:name="_Toc466298128"/>
      <w:bookmarkStart w:id="574" w:name="_Toc26915"/>
      <w:bookmarkStart w:id="575" w:name="_Toc144974538"/>
      <w:bookmarkStart w:id="576" w:name="_Toc455080145"/>
      <w:bookmarkStart w:id="577" w:name="_Toc8886"/>
      <w:bookmarkStart w:id="578" w:name="_Toc21271"/>
      <w:bookmarkStart w:id="579" w:name="_Toc24026"/>
      <w:bookmarkStart w:id="580" w:name="_Toc26760"/>
      <w:r>
        <w:rPr>
          <w:rFonts w:hint="eastAsia" w:ascii="华文仿宋" w:hAnsi="华文仿宋" w:eastAsia="华文仿宋" w:cs="华文仿宋"/>
          <w:b/>
          <w:bCs/>
          <w:color w:val="auto"/>
          <w:sz w:val="21"/>
          <w:szCs w:val="21"/>
          <w:highlight w:val="none"/>
          <w:lang w:val="en-US" w:eastAsia="zh-CN"/>
        </w:rPr>
        <w:t>：</w:t>
      </w:r>
      <w:r>
        <w:rPr>
          <w:rFonts w:hint="eastAsia" w:ascii="华文仿宋" w:hAnsi="华文仿宋" w:eastAsia="华文仿宋" w:cs="华文仿宋"/>
          <w:b w:val="0"/>
          <w:bCs w:val="0"/>
          <w:color w:val="auto"/>
          <w:sz w:val="21"/>
          <w:szCs w:val="21"/>
          <w:highlight w:val="none"/>
          <w:lang w:val="en-US" w:eastAsia="zh-CN"/>
        </w:rPr>
        <w:t>免收履约保证金</w:t>
      </w:r>
    </w:p>
    <w:p w14:paraId="0B3B18A6">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581" w:name="_Toc7000"/>
      <w:r>
        <w:rPr>
          <w:rFonts w:hint="eastAsia" w:ascii="华文仿宋" w:hAnsi="华文仿宋" w:eastAsia="华文仿宋" w:cs="华文仿宋"/>
          <w:b/>
          <w:bCs/>
          <w:color w:val="auto"/>
          <w:sz w:val="21"/>
          <w:szCs w:val="21"/>
          <w:highlight w:val="none"/>
        </w:rPr>
        <w:t>7.</w:t>
      </w:r>
      <w:r>
        <w:rPr>
          <w:rFonts w:hint="eastAsia" w:ascii="华文仿宋" w:hAnsi="华文仿宋" w:eastAsia="华文仿宋" w:cs="华文仿宋"/>
          <w:b/>
          <w:bCs/>
          <w:color w:val="auto"/>
          <w:sz w:val="21"/>
          <w:szCs w:val="21"/>
          <w:highlight w:val="none"/>
          <w:lang w:val="en-US" w:eastAsia="zh-CN"/>
        </w:rPr>
        <w:t>4</w:t>
      </w:r>
      <w:r>
        <w:rPr>
          <w:rFonts w:hint="eastAsia" w:ascii="华文仿宋" w:hAnsi="华文仿宋" w:eastAsia="华文仿宋" w:cs="华文仿宋"/>
          <w:b/>
          <w:bCs/>
          <w:color w:val="auto"/>
          <w:sz w:val="21"/>
          <w:szCs w:val="21"/>
          <w:highlight w:val="none"/>
        </w:rPr>
        <w:t xml:space="preserve"> 签订合同</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6FFA0296">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lang w:val="en-US" w:eastAsia="zh-CN"/>
        </w:rPr>
      </w:pPr>
      <w:r>
        <w:rPr>
          <w:rFonts w:hint="eastAsia" w:ascii="华文仿宋" w:hAnsi="华文仿宋" w:eastAsia="华文仿宋" w:cs="华文仿宋"/>
          <w:color w:val="auto"/>
          <w:szCs w:val="21"/>
          <w:highlight w:val="none"/>
        </w:rPr>
        <w:t>7.</w:t>
      </w:r>
      <w:r>
        <w:rPr>
          <w:rFonts w:hint="eastAsia" w:ascii="华文仿宋" w:hAnsi="华文仿宋" w:eastAsia="华文仿宋" w:cs="华文仿宋"/>
          <w:color w:val="auto"/>
          <w:szCs w:val="21"/>
          <w:highlight w:val="none"/>
          <w:lang w:val="en-US" w:eastAsia="zh-CN"/>
        </w:rPr>
        <w:t>4</w:t>
      </w:r>
      <w:r>
        <w:rPr>
          <w:rFonts w:hint="eastAsia" w:ascii="华文仿宋" w:hAnsi="华文仿宋" w:eastAsia="华文仿宋" w:cs="华文仿宋"/>
          <w:color w:val="auto"/>
          <w:szCs w:val="21"/>
          <w:highlight w:val="none"/>
        </w:rPr>
        <w:t>.1</w:t>
      </w:r>
      <w:r>
        <w:rPr>
          <w:rFonts w:hint="eastAsia" w:ascii="华文仿宋" w:hAnsi="华文仿宋" w:eastAsia="华文仿宋" w:cs="华文仿宋"/>
          <w:color w:val="auto"/>
          <w:szCs w:val="21"/>
          <w:highlight w:val="none"/>
          <w:lang w:eastAsia="zh-CN"/>
        </w:rPr>
        <w:t>采购人</w:t>
      </w:r>
      <w:r>
        <w:rPr>
          <w:rFonts w:hint="eastAsia" w:ascii="华文仿宋" w:hAnsi="华文仿宋" w:eastAsia="华文仿宋" w:cs="华文仿宋"/>
          <w:color w:val="auto"/>
          <w:szCs w:val="21"/>
          <w:highlight w:val="none"/>
        </w:rPr>
        <w:t>和</w:t>
      </w:r>
      <w:r>
        <w:rPr>
          <w:rFonts w:hint="eastAsia" w:ascii="华文仿宋" w:hAnsi="华文仿宋" w:eastAsia="华文仿宋" w:cs="华文仿宋"/>
          <w:color w:val="auto"/>
          <w:szCs w:val="21"/>
          <w:highlight w:val="none"/>
          <w:lang w:eastAsia="zh-CN"/>
        </w:rPr>
        <w:t>成交</w:t>
      </w:r>
      <w:r>
        <w:rPr>
          <w:rFonts w:hint="eastAsia" w:ascii="华文仿宋" w:hAnsi="华文仿宋" w:eastAsia="华文仿宋" w:cs="华文仿宋"/>
          <w:color w:val="auto"/>
          <w:szCs w:val="21"/>
          <w:highlight w:val="none"/>
        </w:rPr>
        <w:t>人应当自</w:t>
      </w:r>
      <w:r>
        <w:rPr>
          <w:rFonts w:hint="eastAsia" w:ascii="华文仿宋" w:hAnsi="华文仿宋" w:eastAsia="华文仿宋" w:cs="华文仿宋"/>
          <w:color w:val="auto"/>
          <w:szCs w:val="21"/>
          <w:highlight w:val="none"/>
          <w:lang w:eastAsia="zh-CN"/>
        </w:rPr>
        <w:t>成交</w:t>
      </w:r>
      <w:r>
        <w:rPr>
          <w:rFonts w:hint="eastAsia" w:ascii="华文仿宋" w:hAnsi="华文仿宋" w:eastAsia="华文仿宋" w:cs="华文仿宋"/>
          <w:color w:val="auto"/>
          <w:szCs w:val="21"/>
          <w:highlight w:val="none"/>
        </w:rPr>
        <w:t>通知书发出之日起</w:t>
      </w:r>
      <w:r>
        <w:rPr>
          <w:rFonts w:hint="eastAsia" w:ascii="华文仿宋" w:hAnsi="华文仿宋" w:eastAsia="华文仿宋" w:cs="华文仿宋"/>
          <w:color w:val="auto"/>
          <w:szCs w:val="21"/>
          <w:highlight w:val="none"/>
          <w:lang w:val="en-US" w:eastAsia="zh-CN"/>
        </w:rPr>
        <w:t>2-7个工作日</w:t>
      </w:r>
      <w:r>
        <w:rPr>
          <w:rFonts w:hint="eastAsia" w:ascii="华文仿宋" w:hAnsi="华文仿宋" w:eastAsia="华文仿宋" w:cs="华文仿宋"/>
          <w:color w:val="auto"/>
          <w:szCs w:val="21"/>
          <w:highlight w:val="none"/>
        </w:rPr>
        <w:t>内，根据</w:t>
      </w:r>
      <w:r>
        <w:rPr>
          <w:rFonts w:hint="eastAsia" w:ascii="华文仿宋" w:hAnsi="华文仿宋" w:eastAsia="华文仿宋" w:cs="华文仿宋"/>
          <w:color w:val="auto"/>
          <w:szCs w:val="21"/>
          <w:highlight w:val="none"/>
          <w:lang w:eastAsia="zh-CN"/>
        </w:rPr>
        <w:t>竞争性磋商</w:t>
      </w:r>
      <w:r>
        <w:rPr>
          <w:rFonts w:hint="eastAsia" w:ascii="华文仿宋" w:hAnsi="华文仿宋" w:eastAsia="华文仿宋" w:cs="华文仿宋"/>
          <w:color w:val="auto"/>
          <w:szCs w:val="21"/>
          <w:highlight w:val="none"/>
        </w:rPr>
        <w:t>文件和</w:t>
      </w:r>
      <w:r>
        <w:rPr>
          <w:rFonts w:hint="eastAsia" w:ascii="华文仿宋" w:hAnsi="华文仿宋" w:eastAsia="华文仿宋" w:cs="华文仿宋"/>
          <w:color w:val="auto"/>
          <w:szCs w:val="21"/>
          <w:highlight w:val="none"/>
          <w:lang w:eastAsia="zh-CN"/>
        </w:rPr>
        <w:t>成交</w:t>
      </w:r>
      <w:r>
        <w:rPr>
          <w:rFonts w:hint="eastAsia" w:ascii="华文仿宋" w:hAnsi="华文仿宋" w:eastAsia="华文仿宋" w:cs="华文仿宋"/>
          <w:color w:val="auto"/>
          <w:szCs w:val="21"/>
          <w:highlight w:val="none"/>
        </w:rPr>
        <w:t>人的投标文件订立书面合同</w:t>
      </w:r>
      <w:r>
        <w:rPr>
          <w:rFonts w:hint="eastAsia" w:ascii="华文仿宋" w:hAnsi="华文仿宋" w:eastAsia="华文仿宋" w:cs="华文仿宋"/>
          <w:color w:val="auto"/>
          <w:szCs w:val="21"/>
          <w:highlight w:val="none"/>
          <w:lang w:val="en-US" w:eastAsia="zh-CN"/>
        </w:rPr>
        <w:t>。对于到期成交供应商不签订合同又没有合理书面说明，视同放弃成交。</w:t>
      </w:r>
      <w:bookmarkStart w:id="582" w:name="_Toc13593"/>
      <w:bookmarkStart w:id="583" w:name="_Toc16866"/>
      <w:bookmarkStart w:id="584" w:name="_Toc455080146"/>
      <w:bookmarkStart w:id="585" w:name="_Toc152042350"/>
      <w:bookmarkStart w:id="586" w:name="_Toc144974542"/>
      <w:bookmarkStart w:id="587" w:name="_Toc152045574"/>
    </w:p>
    <w:p w14:paraId="2FCBCDBE">
      <w:pPr>
        <w:pageBreakBefore w:val="0"/>
        <w:widowControl w:val="0"/>
        <w:kinsoku/>
        <w:wordWrap w:val="0"/>
        <w:overflowPunct/>
        <w:topLinePunct/>
        <w:autoSpaceDE/>
        <w:autoSpaceDN/>
        <w:bidi w:val="0"/>
        <w:snapToGrid/>
        <w:spacing w:line="288" w:lineRule="auto"/>
        <w:outlineLvl w:val="1"/>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rPr>
        <w:t>8.重新招标</w:t>
      </w:r>
      <w:bookmarkEnd w:id="582"/>
      <w:bookmarkEnd w:id="583"/>
      <w:bookmarkEnd w:id="584"/>
    </w:p>
    <w:p w14:paraId="0C5DF254">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588" w:name="_Toc16556"/>
      <w:bookmarkStart w:id="589" w:name="_Toc10438"/>
      <w:r>
        <w:rPr>
          <w:rFonts w:hint="eastAsia" w:ascii="华文仿宋" w:hAnsi="华文仿宋" w:eastAsia="华文仿宋" w:cs="华文仿宋"/>
          <w:b/>
          <w:bCs/>
          <w:color w:val="auto"/>
          <w:sz w:val="21"/>
          <w:szCs w:val="21"/>
          <w:highlight w:val="none"/>
        </w:rPr>
        <w:t>8.1 重新招标</w:t>
      </w:r>
      <w:bookmarkEnd w:id="588"/>
      <w:bookmarkEnd w:id="589"/>
    </w:p>
    <w:p w14:paraId="06F11762">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bookmarkStart w:id="590" w:name="_Toc9985"/>
      <w:r>
        <w:rPr>
          <w:rFonts w:hint="eastAsia" w:ascii="华文仿宋" w:hAnsi="华文仿宋" w:eastAsia="华文仿宋" w:cs="华文仿宋"/>
          <w:color w:val="auto"/>
          <w:szCs w:val="21"/>
          <w:highlight w:val="none"/>
        </w:rPr>
        <w:t>有下列情形之一的，采购人将重新招标：</w:t>
      </w:r>
      <w:bookmarkEnd w:id="590"/>
    </w:p>
    <w:p w14:paraId="19C24D2C">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bookmarkStart w:id="591" w:name="_Toc25063"/>
      <w:r>
        <w:rPr>
          <w:rFonts w:hint="eastAsia" w:ascii="华文仿宋" w:hAnsi="华文仿宋" w:eastAsia="华文仿宋" w:cs="华文仿宋"/>
          <w:color w:val="auto"/>
          <w:szCs w:val="21"/>
          <w:highlight w:val="none"/>
        </w:rPr>
        <w:t xml:space="preserve">   （1）提交响应文件截止时间止，供应商少于</w:t>
      </w:r>
      <w:r>
        <w:rPr>
          <w:rFonts w:hint="eastAsia" w:ascii="华文仿宋" w:hAnsi="华文仿宋" w:eastAsia="华文仿宋" w:cs="华文仿宋"/>
          <w:color w:val="auto"/>
          <w:szCs w:val="21"/>
          <w:highlight w:val="none"/>
          <w:lang w:val="en-US" w:eastAsia="zh-CN"/>
        </w:rPr>
        <w:t>3</w:t>
      </w:r>
      <w:r>
        <w:rPr>
          <w:rFonts w:hint="eastAsia" w:ascii="华文仿宋" w:hAnsi="华文仿宋" w:eastAsia="华文仿宋" w:cs="华文仿宋"/>
          <w:color w:val="auto"/>
          <w:szCs w:val="21"/>
          <w:highlight w:val="none"/>
        </w:rPr>
        <w:t>个的；</w:t>
      </w:r>
      <w:bookmarkEnd w:id="591"/>
      <w:r>
        <w:rPr>
          <w:rFonts w:hint="eastAsia" w:ascii="华文仿宋" w:hAnsi="华文仿宋" w:eastAsia="华文仿宋" w:cs="华文仿宋"/>
          <w:color w:val="auto"/>
          <w:szCs w:val="21"/>
          <w:highlight w:val="none"/>
        </w:rPr>
        <w:t xml:space="preserve"> </w:t>
      </w:r>
    </w:p>
    <w:p w14:paraId="39B80850">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 xml:space="preserve">   </w:t>
      </w:r>
      <w:bookmarkStart w:id="592" w:name="_Toc17911"/>
      <w:r>
        <w:rPr>
          <w:rFonts w:hint="eastAsia" w:ascii="华文仿宋" w:hAnsi="华文仿宋" w:eastAsia="华文仿宋" w:cs="华文仿宋"/>
          <w:color w:val="auto"/>
          <w:szCs w:val="21"/>
          <w:highlight w:val="none"/>
        </w:rPr>
        <w:t>（2）经磋商小组评审后否决所有响应文件的。</w:t>
      </w:r>
      <w:bookmarkEnd w:id="592"/>
    </w:p>
    <w:p w14:paraId="76EBFF34">
      <w:pPr>
        <w:pStyle w:val="69"/>
        <w:pageBreakBefore w:val="0"/>
        <w:widowControl w:val="0"/>
        <w:kinsoku/>
        <w:wordWrap w:val="0"/>
        <w:overflowPunct/>
        <w:topLinePunct/>
        <w:autoSpaceDE/>
        <w:autoSpaceDN/>
        <w:bidi w:val="0"/>
        <w:snapToGrid/>
        <w:spacing w:before="0" w:beforeLines="0" w:line="288" w:lineRule="auto"/>
        <w:rPr>
          <w:rFonts w:hint="eastAsia" w:ascii="华文仿宋" w:hAnsi="华文仿宋" w:eastAsia="华文仿宋" w:cs="华文仿宋"/>
          <w:b/>
          <w:bCs/>
          <w:color w:val="auto"/>
          <w:sz w:val="21"/>
          <w:szCs w:val="21"/>
          <w:highlight w:val="none"/>
        </w:rPr>
      </w:pPr>
      <w:bookmarkStart w:id="593" w:name="_Toc9996"/>
      <w:bookmarkStart w:id="594" w:name="_Toc455080147"/>
      <w:bookmarkStart w:id="595" w:name="_Toc15195"/>
      <w:r>
        <w:rPr>
          <w:rFonts w:hint="eastAsia" w:ascii="华文仿宋" w:hAnsi="华文仿宋" w:eastAsia="华文仿宋" w:cs="华文仿宋"/>
          <w:b/>
          <w:bCs/>
          <w:color w:val="auto"/>
          <w:sz w:val="21"/>
          <w:szCs w:val="21"/>
          <w:highlight w:val="none"/>
        </w:rPr>
        <w:t>9.纪律和监督</w:t>
      </w:r>
      <w:bookmarkEnd w:id="585"/>
      <w:bookmarkEnd w:id="586"/>
      <w:bookmarkEnd w:id="587"/>
      <w:bookmarkEnd w:id="593"/>
      <w:bookmarkEnd w:id="594"/>
      <w:bookmarkEnd w:id="595"/>
    </w:p>
    <w:p w14:paraId="6A343832">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596" w:name="_Toc455867808"/>
      <w:bookmarkStart w:id="597" w:name="_Toc455080148"/>
      <w:bookmarkStart w:id="598" w:name="_Toc15592"/>
      <w:bookmarkStart w:id="599" w:name="_Toc27001"/>
      <w:bookmarkStart w:id="600" w:name="_Toc12992"/>
      <w:bookmarkStart w:id="601" w:name="_Toc318450714"/>
      <w:bookmarkStart w:id="602" w:name="_Toc152045575"/>
      <w:bookmarkStart w:id="603" w:name="_Toc27836"/>
      <w:bookmarkStart w:id="604" w:name="_Toc20009"/>
      <w:bookmarkStart w:id="605" w:name="_Toc466298131"/>
      <w:bookmarkStart w:id="606" w:name="_Toc15769"/>
      <w:bookmarkStart w:id="607" w:name="_Toc269"/>
      <w:bookmarkStart w:id="608" w:name="_Toc144974543"/>
      <w:bookmarkStart w:id="609" w:name="_Toc13970"/>
      <w:bookmarkStart w:id="610" w:name="_Toc490667868"/>
      <w:bookmarkStart w:id="611" w:name="_Toc1282"/>
      <w:bookmarkStart w:id="612" w:name="_Toc152042351"/>
      <w:bookmarkStart w:id="613" w:name="_Toc697"/>
      <w:bookmarkStart w:id="614" w:name="_Toc19159"/>
      <w:r>
        <w:rPr>
          <w:rFonts w:hint="eastAsia" w:ascii="华文仿宋" w:hAnsi="华文仿宋" w:eastAsia="华文仿宋" w:cs="华文仿宋"/>
          <w:b/>
          <w:bCs/>
          <w:color w:val="auto"/>
          <w:sz w:val="21"/>
          <w:szCs w:val="21"/>
          <w:highlight w:val="none"/>
        </w:rPr>
        <w:t>9.1 对</w:t>
      </w:r>
      <w:r>
        <w:rPr>
          <w:rFonts w:hint="eastAsia" w:ascii="华文仿宋" w:hAnsi="华文仿宋" w:eastAsia="华文仿宋" w:cs="华文仿宋"/>
          <w:b/>
          <w:bCs/>
          <w:color w:val="auto"/>
          <w:sz w:val="21"/>
          <w:szCs w:val="21"/>
          <w:highlight w:val="none"/>
          <w:lang w:eastAsia="zh-CN"/>
        </w:rPr>
        <w:t>采购人</w:t>
      </w:r>
      <w:r>
        <w:rPr>
          <w:rFonts w:hint="eastAsia" w:ascii="华文仿宋" w:hAnsi="华文仿宋" w:eastAsia="华文仿宋" w:cs="华文仿宋"/>
          <w:b/>
          <w:bCs/>
          <w:color w:val="auto"/>
          <w:sz w:val="21"/>
          <w:szCs w:val="21"/>
          <w:highlight w:val="none"/>
        </w:rPr>
        <w:t>的纪律要求</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2EDF4AEF">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采购人不得泄漏磋商活动中应当保密的情况和资料，不得与供应商串通损害国家利益、社会公共利益或者他人合法权益。</w:t>
      </w:r>
    </w:p>
    <w:p w14:paraId="2CD63B05">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615" w:name="_Toc18604"/>
      <w:bookmarkStart w:id="616" w:name="_Toc21646"/>
      <w:bookmarkStart w:id="617" w:name="_Toc318450715"/>
      <w:bookmarkStart w:id="618" w:name="_Toc455867809"/>
      <w:bookmarkStart w:id="619" w:name="_Toc466298132"/>
      <w:bookmarkStart w:id="620" w:name="_Toc455080149"/>
      <w:bookmarkStart w:id="621" w:name="_Toc20261"/>
      <w:bookmarkStart w:id="622" w:name="_Toc19167"/>
      <w:bookmarkStart w:id="623" w:name="_Toc3089"/>
      <w:bookmarkStart w:id="624" w:name="_Toc27698"/>
      <w:bookmarkStart w:id="625" w:name="_Toc152042352"/>
      <w:bookmarkStart w:id="626" w:name="_Toc18204"/>
      <w:bookmarkStart w:id="627" w:name="_Toc144974544"/>
      <w:bookmarkStart w:id="628" w:name="_Toc1743"/>
      <w:bookmarkStart w:id="629" w:name="_Toc490667869"/>
      <w:bookmarkStart w:id="630" w:name="_Toc152045576"/>
      <w:bookmarkStart w:id="631" w:name="_Toc7572"/>
      <w:bookmarkStart w:id="632" w:name="_Toc17040"/>
      <w:bookmarkStart w:id="633" w:name="_Toc24956"/>
      <w:r>
        <w:rPr>
          <w:rFonts w:hint="eastAsia" w:ascii="华文仿宋" w:hAnsi="华文仿宋" w:eastAsia="华文仿宋" w:cs="华文仿宋"/>
          <w:b/>
          <w:bCs/>
          <w:color w:val="auto"/>
          <w:sz w:val="21"/>
          <w:szCs w:val="21"/>
          <w:highlight w:val="none"/>
        </w:rPr>
        <w:t>9.2 对供应商的纪律要求</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02AD243C">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供应商不得相互串通或者与采购人串通，不得向采购人或者谈判小组行贿谋取成交，不得以他人名义或者以其他方式弄虚作假骗取成交；供应商不得以任何方式干扰、影响评审工作。</w:t>
      </w:r>
    </w:p>
    <w:p w14:paraId="13232713">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634" w:name="_Toc31001"/>
      <w:bookmarkStart w:id="635" w:name="_Toc12177"/>
      <w:bookmarkStart w:id="636" w:name="_Toc28813"/>
      <w:bookmarkStart w:id="637" w:name="_Toc7439"/>
      <w:bookmarkStart w:id="638" w:name="_Toc5777"/>
      <w:bookmarkStart w:id="639" w:name="_Toc19965"/>
      <w:bookmarkStart w:id="640" w:name="_Toc30153"/>
      <w:bookmarkStart w:id="641" w:name="_Toc318450716"/>
      <w:bookmarkStart w:id="642" w:name="_Toc25211"/>
      <w:bookmarkStart w:id="643" w:name="_Toc144974545"/>
      <w:bookmarkStart w:id="644" w:name="_Toc490667870"/>
      <w:bookmarkStart w:id="645" w:name="_Toc25241"/>
      <w:bookmarkStart w:id="646" w:name="_Toc455080150"/>
      <w:bookmarkStart w:id="647" w:name="_Toc32320"/>
      <w:bookmarkStart w:id="648" w:name="_Toc455867810"/>
      <w:bookmarkStart w:id="649" w:name="_Toc152045577"/>
      <w:bookmarkStart w:id="650" w:name="_Toc152042353"/>
      <w:bookmarkStart w:id="651" w:name="_Toc7107"/>
      <w:bookmarkStart w:id="652" w:name="_Toc466298133"/>
      <w:r>
        <w:rPr>
          <w:rFonts w:hint="eastAsia" w:ascii="华文仿宋" w:hAnsi="华文仿宋" w:eastAsia="华文仿宋" w:cs="华文仿宋"/>
          <w:b/>
          <w:bCs/>
          <w:color w:val="auto"/>
          <w:sz w:val="21"/>
          <w:szCs w:val="21"/>
          <w:highlight w:val="none"/>
        </w:rPr>
        <w:t>9.3 对磋商小组成员的纪律要求</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79775A8C">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3809D529">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653" w:name="_Toc24"/>
      <w:bookmarkStart w:id="654" w:name="_Toc7368"/>
      <w:bookmarkStart w:id="655" w:name="_Toc455080151"/>
      <w:bookmarkStart w:id="656" w:name="_Toc27559"/>
      <w:bookmarkStart w:id="657" w:name="_Toc455867811"/>
      <w:bookmarkStart w:id="658" w:name="_Toc318450717"/>
      <w:bookmarkStart w:id="659" w:name="_Toc20546"/>
      <w:bookmarkStart w:id="660" w:name="_Toc490667871"/>
      <w:bookmarkStart w:id="661" w:name="_Toc29544"/>
      <w:bookmarkStart w:id="662" w:name="_Toc1295"/>
      <w:bookmarkStart w:id="663" w:name="_Toc19485"/>
      <w:bookmarkStart w:id="664" w:name="_Toc9063"/>
      <w:bookmarkStart w:id="665" w:name="_Toc26462"/>
      <w:bookmarkStart w:id="666" w:name="_Toc235"/>
      <w:bookmarkStart w:id="667" w:name="_Toc466298134"/>
      <w:bookmarkStart w:id="668" w:name="_Toc152042354"/>
      <w:bookmarkStart w:id="669" w:name="_Toc152045578"/>
      <w:bookmarkStart w:id="670" w:name="_Toc23717"/>
      <w:bookmarkStart w:id="671" w:name="_Toc144974546"/>
      <w:r>
        <w:rPr>
          <w:rFonts w:hint="eastAsia" w:ascii="华文仿宋" w:hAnsi="华文仿宋" w:eastAsia="华文仿宋" w:cs="华文仿宋"/>
          <w:b/>
          <w:bCs/>
          <w:color w:val="auto"/>
          <w:sz w:val="21"/>
          <w:szCs w:val="21"/>
          <w:highlight w:val="none"/>
        </w:rPr>
        <w:t>9.4 对与评标活动有关的工作人员的纪律要求</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7553914">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bookmarkStart w:id="672" w:name="_Toc152042355"/>
      <w:r>
        <w:rPr>
          <w:rFonts w:hint="eastAsia" w:ascii="华文仿宋" w:hAnsi="华文仿宋" w:eastAsia="华文仿宋" w:cs="华文仿宋"/>
          <w:color w:val="auto"/>
          <w:szCs w:val="21"/>
          <w:highlight w:val="none"/>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672"/>
    </w:p>
    <w:p w14:paraId="28832D69">
      <w:pPr>
        <w:pStyle w:val="68"/>
        <w:pageBreakBefore w:val="0"/>
        <w:widowControl w:val="0"/>
        <w:kinsoku/>
        <w:wordWrap w:val="0"/>
        <w:overflowPunct/>
        <w:topLinePunct/>
        <w:autoSpaceDE/>
        <w:autoSpaceDN/>
        <w:bidi w:val="0"/>
        <w:snapToGrid/>
        <w:spacing w:line="288" w:lineRule="auto"/>
        <w:ind w:firstLine="422" w:firstLineChars="200"/>
        <w:outlineLvl w:val="2"/>
        <w:rPr>
          <w:rFonts w:hint="eastAsia" w:ascii="华文仿宋" w:hAnsi="华文仿宋" w:eastAsia="华文仿宋" w:cs="华文仿宋"/>
          <w:b/>
          <w:bCs/>
          <w:color w:val="auto"/>
          <w:sz w:val="21"/>
          <w:szCs w:val="21"/>
          <w:highlight w:val="none"/>
        </w:rPr>
      </w:pPr>
      <w:bookmarkStart w:id="673" w:name="_Toc466298135"/>
      <w:bookmarkStart w:id="674" w:name="_Toc152042356"/>
      <w:bookmarkStart w:id="675" w:name="_Toc3617"/>
      <w:bookmarkStart w:id="676" w:name="_Toc17735"/>
      <w:bookmarkStart w:id="677" w:name="_Toc11857"/>
      <w:bookmarkStart w:id="678" w:name="_Toc490667872"/>
      <w:bookmarkStart w:id="679" w:name="_Toc318450718"/>
      <w:bookmarkStart w:id="680" w:name="_Toc6199"/>
      <w:bookmarkStart w:id="681" w:name="_Toc455080152"/>
      <w:bookmarkStart w:id="682" w:name="_Toc31010"/>
      <w:bookmarkStart w:id="683" w:name="_Toc32675"/>
      <w:bookmarkStart w:id="684" w:name="_Toc3303"/>
      <w:bookmarkStart w:id="685" w:name="_Toc152045579"/>
      <w:bookmarkStart w:id="686" w:name="_Toc5504"/>
      <w:bookmarkStart w:id="687" w:name="_Toc1820"/>
      <w:bookmarkStart w:id="688" w:name="_Toc25751"/>
      <w:bookmarkStart w:id="689" w:name="_Toc455867812"/>
      <w:bookmarkStart w:id="690" w:name="_Toc8074"/>
      <w:r>
        <w:rPr>
          <w:rFonts w:hint="eastAsia" w:ascii="华文仿宋" w:hAnsi="华文仿宋" w:eastAsia="华文仿宋" w:cs="华文仿宋"/>
          <w:b/>
          <w:bCs/>
          <w:color w:val="auto"/>
          <w:sz w:val="21"/>
          <w:szCs w:val="21"/>
          <w:highlight w:val="none"/>
        </w:rPr>
        <w:t>9.5 投诉</w:t>
      </w:r>
      <w:bookmarkEnd w:id="671"/>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6F3419F2">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供应商和其他利害关系人认为本次磋商活动违反法律、法规和规章规定的，有权向有关行政监督部门投诉。</w:t>
      </w:r>
      <w:bookmarkStart w:id="691" w:name="_Toc152042357"/>
      <w:bookmarkStart w:id="692" w:name="_Toc14221"/>
      <w:bookmarkStart w:id="693" w:name="_Toc152045580"/>
      <w:bookmarkStart w:id="694" w:name="_Toc455080153"/>
      <w:bookmarkStart w:id="695" w:name="_Toc144974547"/>
      <w:bookmarkStart w:id="696" w:name="_Toc30776"/>
    </w:p>
    <w:p w14:paraId="26C13913">
      <w:pPr>
        <w:pStyle w:val="69"/>
        <w:pageBreakBefore w:val="0"/>
        <w:widowControl w:val="0"/>
        <w:kinsoku/>
        <w:wordWrap w:val="0"/>
        <w:overflowPunct/>
        <w:topLinePunct/>
        <w:autoSpaceDE/>
        <w:autoSpaceDN/>
        <w:bidi w:val="0"/>
        <w:snapToGrid/>
        <w:spacing w:before="0" w:beforeLines="0" w:line="288" w:lineRule="auto"/>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lang w:val="en-US" w:eastAsia="zh-CN"/>
        </w:rPr>
        <w:t>10.</w:t>
      </w:r>
      <w:r>
        <w:rPr>
          <w:rFonts w:hint="eastAsia" w:ascii="华文仿宋" w:hAnsi="华文仿宋" w:eastAsia="华文仿宋" w:cs="华文仿宋"/>
          <w:b/>
          <w:bCs/>
          <w:color w:val="auto"/>
          <w:sz w:val="21"/>
          <w:szCs w:val="21"/>
          <w:highlight w:val="none"/>
        </w:rPr>
        <w:t>需要补充的其他内容</w:t>
      </w:r>
      <w:bookmarkEnd w:id="691"/>
      <w:bookmarkEnd w:id="692"/>
      <w:bookmarkEnd w:id="693"/>
      <w:bookmarkEnd w:id="694"/>
      <w:bookmarkEnd w:id="695"/>
      <w:bookmarkEnd w:id="696"/>
    </w:p>
    <w:p w14:paraId="5C1114F4">
      <w:pPr>
        <w:pageBreakBefore w:val="0"/>
        <w:widowControl w:val="0"/>
        <w:kinsoku/>
        <w:wordWrap w:val="0"/>
        <w:overflowPunct/>
        <w:topLinePunct/>
        <w:autoSpaceDE/>
        <w:autoSpaceDN/>
        <w:bidi w:val="0"/>
        <w:snapToGrid/>
        <w:spacing w:line="288" w:lineRule="auto"/>
        <w:ind w:firstLine="420" w:firstLineChars="200"/>
        <w:rPr>
          <w:rFonts w:hint="eastAsia" w:ascii="华文仿宋" w:hAnsi="华文仿宋" w:eastAsia="华文仿宋" w:cs="华文仿宋"/>
          <w:color w:val="auto"/>
          <w:szCs w:val="21"/>
          <w:highlight w:val="none"/>
        </w:rPr>
      </w:pPr>
      <w:bookmarkStart w:id="697" w:name="_Toc5176"/>
      <w:bookmarkStart w:id="698" w:name="_Toc455867814"/>
      <w:bookmarkStart w:id="699" w:name="_Toc455080154"/>
      <w:bookmarkStart w:id="700" w:name="_Toc17627"/>
      <w:bookmarkStart w:id="701" w:name="_Toc22486"/>
      <w:bookmarkStart w:id="702" w:name="_Toc14763"/>
      <w:bookmarkStart w:id="703" w:name="_Toc490667874"/>
      <w:bookmarkStart w:id="704" w:name="_Toc466298137"/>
      <w:r>
        <w:rPr>
          <w:rFonts w:hint="eastAsia" w:ascii="华文仿宋" w:hAnsi="华文仿宋" w:eastAsia="华文仿宋" w:cs="华文仿宋"/>
          <w:color w:val="auto"/>
          <w:szCs w:val="21"/>
          <w:highlight w:val="none"/>
          <w:lang w:val="en-US" w:eastAsia="zh-CN"/>
        </w:rPr>
        <w:t>10.1</w:t>
      </w:r>
      <w:r>
        <w:rPr>
          <w:rFonts w:hint="eastAsia" w:ascii="华文仿宋" w:hAnsi="华文仿宋" w:eastAsia="华文仿宋" w:cs="华文仿宋"/>
          <w:color w:val="auto"/>
          <w:szCs w:val="21"/>
          <w:highlight w:val="none"/>
        </w:rPr>
        <w:t>需要补充的其他内容：见供应商须知前附表。</w:t>
      </w:r>
      <w:bookmarkEnd w:id="697"/>
      <w:bookmarkEnd w:id="698"/>
      <w:bookmarkEnd w:id="699"/>
      <w:bookmarkEnd w:id="700"/>
      <w:bookmarkEnd w:id="701"/>
      <w:bookmarkEnd w:id="702"/>
      <w:bookmarkEnd w:id="703"/>
      <w:bookmarkEnd w:id="704"/>
    </w:p>
    <w:p w14:paraId="0DCFF0FD">
      <w:pPr>
        <w:widowControl/>
        <w:spacing w:line="360" w:lineRule="auto"/>
        <w:ind w:firstLine="420" w:firstLineChars="200"/>
        <w:jc w:val="left"/>
        <w:rPr>
          <w:rFonts w:hint="eastAsia" w:ascii="华文仿宋" w:hAnsi="华文仿宋" w:eastAsia="华文仿宋" w:cs="华文仿宋"/>
          <w:bCs/>
          <w:color w:val="auto"/>
          <w:szCs w:val="21"/>
        </w:rPr>
      </w:pPr>
      <w:r>
        <w:rPr>
          <w:rFonts w:hint="eastAsia" w:ascii="华文仿宋" w:hAnsi="华文仿宋" w:eastAsia="华文仿宋" w:cs="华文仿宋"/>
          <w:bCs/>
          <w:color w:val="auto"/>
          <w:szCs w:val="21"/>
        </w:rPr>
        <w:t>1</w:t>
      </w:r>
      <w:r>
        <w:rPr>
          <w:rFonts w:hint="eastAsia" w:ascii="华文仿宋" w:hAnsi="华文仿宋" w:eastAsia="华文仿宋" w:cs="华文仿宋"/>
          <w:bCs/>
          <w:color w:val="auto"/>
          <w:szCs w:val="21"/>
          <w:lang w:val="en-US" w:eastAsia="zh-CN"/>
        </w:rPr>
        <w:t>0</w:t>
      </w:r>
      <w:r>
        <w:rPr>
          <w:rFonts w:hint="eastAsia" w:ascii="华文仿宋" w:hAnsi="华文仿宋" w:eastAsia="华文仿宋" w:cs="华文仿宋"/>
          <w:bCs/>
          <w:color w:val="auto"/>
          <w:szCs w:val="21"/>
        </w:rPr>
        <w:t>.2其它未尽事宜，按国家有关法律、法规执行。</w:t>
      </w:r>
    </w:p>
    <w:p w14:paraId="7D57445B">
      <w:pPr>
        <w:pStyle w:val="7"/>
        <w:rPr>
          <w:rFonts w:hint="eastAsia" w:ascii="华文仿宋" w:hAnsi="华文仿宋" w:eastAsia="华文仿宋" w:cs="华文仿宋"/>
          <w:color w:val="auto"/>
        </w:rPr>
      </w:pPr>
    </w:p>
    <w:p w14:paraId="52EDE8BC">
      <w:pPr>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br w:type="page"/>
      </w:r>
    </w:p>
    <w:p w14:paraId="3AB97B57">
      <w:pPr>
        <w:pageBreakBefore w:val="0"/>
        <w:widowControl w:val="0"/>
        <w:kinsoku/>
        <w:wordWrap w:val="0"/>
        <w:overflowPunct/>
        <w:topLinePunct/>
        <w:autoSpaceDE/>
        <w:autoSpaceDN/>
        <w:bidi w:val="0"/>
        <w:snapToGrid/>
        <w:spacing w:line="360" w:lineRule="auto"/>
        <w:jc w:val="center"/>
        <w:outlineLvl w:val="0"/>
        <w:rPr>
          <w:rFonts w:hint="eastAsia" w:ascii="华文仿宋" w:hAnsi="华文仿宋" w:eastAsia="华文仿宋" w:cs="华文仿宋"/>
          <w:b/>
          <w:bCs/>
          <w:color w:val="auto"/>
          <w:sz w:val="44"/>
          <w:szCs w:val="44"/>
          <w:highlight w:val="none"/>
        </w:rPr>
      </w:pPr>
      <w:bookmarkStart w:id="705" w:name="_Toc18139"/>
      <w:r>
        <w:rPr>
          <w:rFonts w:hint="eastAsia" w:ascii="华文仿宋" w:hAnsi="华文仿宋" w:eastAsia="华文仿宋" w:cs="华文仿宋"/>
          <w:b/>
          <w:bCs/>
          <w:color w:val="auto"/>
          <w:sz w:val="44"/>
          <w:szCs w:val="44"/>
          <w:highlight w:val="none"/>
        </w:rPr>
        <w:t>第三章</w:t>
      </w:r>
      <w:r>
        <w:rPr>
          <w:rFonts w:hint="eastAsia" w:ascii="华文仿宋" w:hAnsi="华文仿宋" w:eastAsia="华文仿宋" w:cs="华文仿宋"/>
          <w:b/>
          <w:bCs/>
          <w:color w:val="auto"/>
          <w:sz w:val="44"/>
          <w:szCs w:val="44"/>
          <w:highlight w:val="none"/>
          <w:lang w:val="en-US" w:eastAsia="zh-CN"/>
        </w:rPr>
        <w:t xml:space="preserve"> </w:t>
      </w:r>
      <w:r>
        <w:rPr>
          <w:rFonts w:hint="eastAsia" w:ascii="华文仿宋" w:hAnsi="华文仿宋" w:eastAsia="华文仿宋" w:cs="华文仿宋"/>
          <w:b/>
          <w:bCs/>
          <w:color w:val="auto"/>
          <w:sz w:val="44"/>
          <w:szCs w:val="44"/>
          <w:highlight w:val="none"/>
        </w:rPr>
        <w:t>评审办法（综合评分法）</w:t>
      </w:r>
      <w:bookmarkEnd w:id="705"/>
    </w:p>
    <w:p w14:paraId="6D556560">
      <w:pPr>
        <w:pageBreakBefore w:val="0"/>
        <w:kinsoku/>
        <w:wordWrap w:val="0"/>
        <w:overflowPunct/>
        <w:topLinePunct/>
        <w:bidi w:val="0"/>
        <w:spacing w:line="360" w:lineRule="auto"/>
        <w:jc w:val="center"/>
        <w:outlineLvl w:val="1"/>
        <w:rPr>
          <w:rFonts w:hint="eastAsia" w:ascii="华文仿宋" w:hAnsi="华文仿宋" w:eastAsia="华文仿宋" w:cs="华文仿宋"/>
          <w:color w:val="auto"/>
          <w:sz w:val="32"/>
          <w:szCs w:val="40"/>
          <w:highlight w:val="none"/>
        </w:rPr>
      </w:pPr>
      <w:r>
        <w:rPr>
          <w:rFonts w:hint="eastAsia" w:ascii="华文仿宋" w:hAnsi="华文仿宋" w:eastAsia="华文仿宋" w:cs="华文仿宋"/>
          <w:color w:val="auto"/>
          <w:sz w:val="32"/>
          <w:szCs w:val="40"/>
          <w:highlight w:val="none"/>
        </w:rPr>
        <w:t>评审办法前附表</w:t>
      </w:r>
    </w:p>
    <w:tbl>
      <w:tblPr>
        <w:tblStyle w:val="25"/>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999"/>
        <w:gridCol w:w="1910"/>
        <w:gridCol w:w="5772"/>
      </w:tblGrid>
      <w:tr w14:paraId="7EFA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56" w:type="dxa"/>
            <w:gridSpan w:val="2"/>
            <w:vAlign w:val="center"/>
          </w:tcPr>
          <w:p w14:paraId="04C552F6">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条款号</w:t>
            </w:r>
          </w:p>
        </w:tc>
        <w:tc>
          <w:tcPr>
            <w:tcW w:w="1910" w:type="dxa"/>
            <w:vAlign w:val="center"/>
          </w:tcPr>
          <w:p w14:paraId="16E7A0AA">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评审因素</w:t>
            </w:r>
          </w:p>
        </w:tc>
        <w:tc>
          <w:tcPr>
            <w:tcW w:w="5772" w:type="dxa"/>
            <w:vAlign w:val="center"/>
          </w:tcPr>
          <w:p w14:paraId="2B672C63">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评审标准</w:t>
            </w:r>
          </w:p>
        </w:tc>
      </w:tr>
      <w:tr w14:paraId="49CB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vMerge w:val="restart"/>
            <w:vAlign w:val="center"/>
          </w:tcPr>
          <w:p w14:paraId="6683867C">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2.1.1</w:t>
            </w:r>
          </w:p>
        </w:tc>
        <w:tc>
          <w:tcPr>
            <w:tcW w:w="999" w:type="dxa"/>
            <w:vMerge w:val="restart"/>
            <w:vAlign w:val="center"/>
          </w:tcPr>
          <w:p w14:paraId="3667573C">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资格评审标准</w:t>
            </w:r>
          </w:p>
        </w:tc>
        <w:tc>
          <w:tcPr>
            <w:tcW w:w="1910" w:type="dxa"/>
            <w:vAlign w:val="center"/>
          </w:tcPr>
          <w:p w14:paraId="05E6D651">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华文仿宋" w:hAnsi="华文仿宋" w:eastAsia="华文仿宋" w:cs="华文仿宋"/>
                <w:color w:val="auto"/>
                <w:kern w:val="2"/>
                <w:sz w:val="21"/>
                <w:szCs w:val="21"/>
                <w:highlight w:val="none"/>
                <w:lang w:val="en-US" w:eastAsia="zh-CN" w:bidi="ar-SA"/>
              </w:rPr>
            </w:pPr>
            <w:r>
              <w:rPr>
                <w:rFonts w:hint="eastAsia" w:ascii="华文仿宋" w:hAnsi="华文仿宋" w:eastAsia="华文仿宋" w:cs="华文仿宋"/>
                <w:color w:val="auto"/>
                <w:sz w:val="21"/>
                <w:szCs w:val="21"/>
                <w:highlight w:val="none"/>
              </w:rPr>
              <w:t>符合《中华人民共和国政府采购法》第22条规定</w:t>
            </w:r>
          </w:p>
        </w:tc>
        <w:tc>
          <w:tcPr>
            <w:tcW w:w="5772" w:type="dxa"/>
            <w:vAlign w:val="center"/>
          </w:tcPr>
          <w:p w14:paraId="29316036">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color w:val="auto"/>
                <w:kern w:val="2"/>
                <w:sz w:val="21"/>
                <w:szCs w:val="21"/>
                <w:highlight w:val="none"/>
                <w:lang w:val="en-US" w:eastAsia="zh-CN" w:bidi="ar-SA"/>
              </w:rPr>
            </w:pPr>
            <w:r>
              <w:rPr>
                <w:rFonts w:hint="eastAsia" w:ascii="华文仿宋" w:hAnsi="华文仿宋" w:eastAsia="华文仿宋" w:cs="华文仿宋"/>
                <w:color w:val="auto"/>
                <w:sz w:val="21"/>
                <w:szCs w:val="21"/>
                <w:highlight w:val="none"/>
              </w:rPr>
              <w:t>符合第二章“供应商须知”第1.5.1项规定</w:t>
            </w:r>
          </w:p>
        </w:tc>
      </w:tr>
      <w:tr w14:paraId="6267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vMerge w:val="continue"/>
            <w:vAlign w:val="center"/>
          </w:tcPr>
          <w:p w14:paraId="189D901F">
            <w:pPr>
              <w:keepNext w:val="0"/>
              <w:keepLines w:val="0"/>
              <w:pageBreakBefore w:val="0"/>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999" w:type="dxa"/>
            <w:vMerge w:val="continue"/>
            <w:vAlign w:val="center"/>
          </w:tcPr>
          <w:p w14:paraId="0ADF3DF5">
            <w:pPr>
              <w:keepNext w:val="0"/>
              <w:keepLines w:val="0"/>
              <w:pageBreakBefore w:val="0"/>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1910" w:type="dxa"/>
            <w:vAlign w:val="center"/>
          </w:tcPr>
          <w:p w14:paraId="6DDDB9B8">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kern w:val="2"/>
                <w:sz w:val="21"/>
                <w:szCs w:val="21"/>
                <w:highlight w:val="none"/>
                <w:lang w:val="en-US" w:eastAsia="zh-CN" w:bidi="ar-SA"/>
              </w:rPr>
            </w:pPr>
            <w:r>
              <w:rPr>
                <w:rFonts w:hint="eastAsia" w:ascii="华文仿宋" w:hAnsi="华文仿宋" w:eastAsia="华文仿宋" w:cs="华文仿宋"/>
                <w:color w:val="auto"/>
                <w:sz w:val="21"/>
                <w:szCs w:val="21"/>
                <w:highlight w:val="none"/>
                <w:lang w:val="en-US" w:eastAsia="zh-CN"/>
              </w:rPr>
              <w:t>落实政府采购政策</w:t>
            </w:r>
          </w:p>
        </w:tc>
        <w:tc>
          <w:tcPr>
            <w:tcW w:w="5772" w:type="dxa"/>
            <w:vAlign w:val="center"/>
          </w:tcPr>
          <w:p w14:paraId="6DE627A3">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color w:val="auto"/>
                <w:kern w:val="2"/>
                <w:sz w:val="21"/>
                <w:szCs w:val="21"/>
                <w:highlight w:val="none"/>
                <w:lang w:val="en-US" w:eastAsia="zh-CN" w:bidi="ar-SA"/>
              </w:rPr>
            </w:pPr>
            <w:r>
              <w:rPr>
                <w:rFonts w:hint="eastAsia" w:ascii="华文仿宋" w:hAnsi="华文仿宋" w:eastAsia="华文仿宋" w:cs="华文仿宋"/>
                <w:color w:val="auto"/>
                <w:sz w:val="21"/>
                <w:szCs w:val="21"/>
                <w:highlight w:val="none"/>
              </w:rPr>
              <w:t>符合第二章“</w:t>
            </w:r>
            <w:r>
              <w:rPr>
                <w:rFonts w:hint="eastAsia" w:ascii="华文仿宋" w:hAnsi="华文仿宋" w:eastAsia="华文仿宋" w:cs="华文仿宋"/>
                <w:color w:val="auto"/>
                <w:sz w:val="21"/>
                <w:szCs w:val="21"/>
                <w:highlight w:val="none"/>
                <w:lang w:eastAsia="zh-CN"/>
              </w:rPr>
              <w:t>投标人</w:t>
            </w:r>
            <w:r>
              <w:rPr>
                <w:rFonts w:hint="eastAsia" w:ascii="华文仿宋" w:hAnsi="华文仿宋" w:eastAsia="华文仿宋" w:cs="华文仿宋"/>
                <w:color w:val="auto"/>
                <w:sz w:val="21"/>
                <w:szCs w:val="21"/>
                <w:highlight w:val="none"/>
              </w:rPr>
              <w:t>须知”第</w:t>
            </w:r>
            <w:r>
              <w:rPr>
                <w:rFonts w:hint="eastAsia" w:ascii="华文仿宋" w:hAnsi="华文仿宋" w:eastAsia="华文仿宋" w:cs="华文仿宋"/>
                <w:color w:val="auto"/>
                <w:sz w:val="21"/>
                <w:szCs w:val="21"/>
                <w:highlight w:val="none"/>
                <w:lang w:val="en-US" w:eastAsia="zh-CN"/>
              </w:rPr>
              <w:t>1.5.1</w:t>
            </w:r>
            <w:r>
              <w:rPr>
                <w:rFonts w:hint="eastAsia" w:ascii="华文仿宋" w:hAnsi="华文仿宋" w:eastAsia="华文仿宋" w:cs="华文仿宋"/>
                <w:color w:val="auto"/>
                <w:sz w:val="21"/>
                <w:szCs w:val="21"/>
                <w:highlight w:val="none"/>
              </w:rPr>
              <w:t>项规定</w:t>
            </w:r>
          </w:p>
        </w:tc>
      </w:tr>
      <w:tr w14:paraId="6657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vMerge w:val="continue"/>
            <w:vAlign w:val="center"/>
          </w:tcPr>
          <w:p w14:paraId="2B583091">
            <w:pPr>
              <w:keepNext w:val="0"/>
              <w:keepLines w:val="0"/>
              <w:pageBreakBefore w:val="0"/>
              <w:widowControl/>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999" w:type="dxa"/>
            <w:vMerge w:val="continue"/>
            <w:vAlign w:val="center"/>
          </w:tcPr>
          <w:p w14:paraId="68004277">
            <w:pPr>
              <w:keepNext w:val="0"/>
              <w:keepLines w:val="0"/>
              <w:pageBreakBefore w:val="0"/>
              <w:widowControl/>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1910" w:type="dxa"/>
            <w:vAlign w:val="center"/>
          </w:tcPr>
          <w:p w14:paraId="4DB26FD6">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kern w:val="2"/>
                <w:sz w:val="21"/>
                <w:szCs w:val="21"/>
                <w:highlight w:val="none"/>
                <w:lang w:val="en-US" w:eastAsia="zh-CN" w:bidi="ar-SA"/>
              </w:rPr>
            </w:pPr>
            <w:r>
              <w:rPr>
                <w:rFonts w:hint="eastAsia" w:ascii="华文仿宋" w:hAnsi="华文仿宋" w:eastAsia="华文仿宋" w:cs="华文仿宋"/>
                <w:color w:val="auto"/>
                <w:sz w:val="21"/>
                <w:szCs w:val="21"/>
                <w:highlight w:val="none"/>
              </w:rPr>
              <w:t>其他要求</w:t>
            </w:r>
          </w:p>
        </w:tc>
        <w:tc>
          <w:tcPr>
            <w:tcW w:w="5772" w:type="dxa"/>
            <w:vAlign w:val="center"/>
          </w:tcPr>
          <w:p w14:paraId="20FC1466">
            <w:pPr>
              <w:keepNext w:val="0"/>
              <w:keepLines w:val="0"/>
              <w:pageBreakBefore w:val="0"/>
              <w:widowControl/>
              <w:kinsoku/>
              <w:wordWrap w:val="0"/>
              <w:overflowPunct/>
              <w:topLinePunct/>
              <w:autoSpaceDE/>
              <w:autoSpaceDN/>
              <w:bidi w:val="0"/>
              <w:adjustRightInd/>
              <w:snapToGrid/>
              <w:spacing w:line="360" w:lineRule="auto"/>
              <w:ind w:left="0" w:leftChars="0" w:right="0" w:rightChars="0" w:firstLine="0" w:firstLineChars="0"/>
              <w:jc w:val="left"/>
              <w:textAlignment w:val="auto"/>
              <w:rPr>
                <w:rFonts w:hint="eastAsia" w:ascii="华文仿宋" w:hAnsi="华文仿宋" w:eastAsia="华文仿宋" w:cs="华文仿宋"/>
                <w:color w:val="auto"/>
                <w:kern w:val="0"/>
                <w:sz w:val="21"/>
                <w:szCs w:val="21"/>
                <w:highlight w:val="none"/>
                <w:lang w:val="en-US" w:eastAsia="zh-CN" w:bidi="ar-SA"/>
              </w:rPr>
            </w:pPr>
            <w:r>
              <w:rPr>
                <w:rFonts w:hint="eastAsia" w:ascii="华文仿宋" w:hAnsi="华文仿宋" w:eastAsia="华文仿宋" w:cs="华文仿宋"/>
                <w:color w:val="auto"/>
                <w:kern w:val="0"/>
                <w:sz w:val="21"/>
                <w:szCs w:val="21"/>
                <w:highlight w:val="none"/>
              </w:rPr>
              <w:t>符合第二章“</w:t>
            </w:r>
            <w:r>
              <w:rPr>
                <w:rFonts w:hint="eastAsia" w:ascii="华文仿宋" w:hAnsi="华文仿宋" w:eastAsia="华文仿宋" w:cs="华文仿宋"/>
                <w:color w:val="auto"/>
                <w:kern w:val="0"/>
                <w:sz w:val="21"/>
                <w:szCs w:val="21"/>
                <w:highlight w:val="none"/>
                <w:lang w:eastAsia="zh-CN"/>
              </w:rPr>
              <w:t>供应商</w:t>
            </w:r>
            <w:r>
              <w:rPr>
                <w:rFonts w:hint="eastAsia" w:ascii="华文仿宋" w:hAnsi="华文仿宋" w:eastAsia="华文仿宋" w:cs="华文仿宋"/>
                <w:color w:val="auto"/>
                <w:kern w:val="0"/>
                <w:sz w:val="21"/>
                <w:szCs w:val="21"/>
                <w:highlight w:val="none"/>
              </w:rPr>
              <w:t>须知”第1.5.1项规定</w:t>
            </w:r>
          </w:p>
        </w:tc>
      </w:tr>
      <w:tr w14:paraId="5DB7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vMerge w:val="restart"/>
            <w:vAlign w:val="center"/>
          </w:tcPr>
          <w:p w14:paraId="04A68450">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color w:val="auto"/>
                <w:sz w:val="21"/>
                <w:szCs w:val="21"/>
                <w:highlight w:val="none"/>
              </w:rPr>
              <w:t>2.1.</w:t>
            </w:r>
            <w:r>
              <w:rPr>
                <w:rFonts w:hint="eastAsia" w:ascii="华文仿宋" w:hAnsi="华文仿宋" w:eastAsia="华文仿宋" w:cs="华文仿宋"/>
                <w:color w:val="auto"/>
                <w:sz w:val="21"/>
                <w:szCs w:val="21"/>
                <w:highlight w:val="none"/>
                <w:lang w:val="en-US" w:eastAsia="zh-CN"/>
              </w:rPr>
              <w:t>2</w:t>
            </w:r>
          </w:p>
        </w:tc>
        <w:tc>
          <w:tcPr>
            <w:tcW w:w="999" w:type="dxa"/>
            <w:vMerge w:val="restart"/>
            <w:vAlign w:val="center"/>
          </w:tcPr>
          <w:p w14:paraId="451A7478">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eastAsia="zh-CN"/>
              </w:rPr>
              <w:t>符合性</w:t>
            </w:r>
            <w:r>
              <w:rPr>
                <w:rFonts w:hint="eastAsia" w:ascii="华文仿宋" w:hAnsi="华文仿宋" w:eastAsia="华文仿宋" w:cs="华文仿宋"/>
                <w:color w:val="auto"/>
                <w:sz w:val="21"/>
                <w:szCs w:val="21"/>
                <w:highlight w:val="none"/>
              </w:rPr>
              <w:t>评审标准</w:t>
            </w:r>
          </w:p>
        </w:tc>
        <w:tc>
          <w:tcPr>
            <w:tcW w:w="1910" w:type="dxa"/>
            <w:vAlign w:val="center"/>
          </w:tcPr>
          <w:p w14:paraId="7A340842">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kern w:val="2"/>
                <w:sz w:val="21"/>
                <w:szCs w:val="21"/>
                <w:highlight w:val="none"/>
                <w:lang w:val="en-US" w:eastAsia="zh-CN" w:bidi="ar-SA"/>
              </w:rPr>
            </w:pPr>
            <w:r>
              <w:rPr>
                <w:rFonts w:hint="eastAsia" w:ascii="华文仿宋" w:hAnsi="华文仿宋" w:eastAsia="华文仿宋" w:cs="华文仿宋"/>
                <w:color w:val="auto"/>
                <w:sz w:val="21"/>
                <w:szCs w:val="21"/>
                <w:highlight w:val="none"/>
              </w:rPr>
              <w:t>供应商名称</w:t>
            </w:r>
          </w:p>
        </w:tc>
        <w:tc>
          <w:tcPr>
            <w:tcW w:w="5772" w:type="dxa"/>
            <w:vAlign w:val="center"/>
          </w:tcPr>
          <w:p w14:paraId="34AF4542">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color w:val="auto"/>
                <w:kern w:val="2"/>
                <w:sz w:val="21"/>
                <w:szCs w:val="21"/>
                <w:highlight w:val="none"/>
                <w:lang w:val="en-US" w:eastAsia="zh-CN" w:bidi="ar-SA"/>
              </w:rPr>
            </w:pPr>
            <w:r>
              <w:rPr>
                <w:rFonts w:hint="eastAsia" w:ascii="华文仿宋" w:hAnsi="华文仿宋" w:eastAsia="华文仿宋" w:cs="华文仿宋"/>
                <w:color w:val="auto"/>
                <w:sz w:val="21"/>
                <w:szCs w:val="21"/>
                <w:highlight w:val="none"/>
              </w:rPr>
              <w:t>与营业执照一致</w:t>
            </w:r>
          </w:p>
        </w:tc>
      </w:tr>
      <w:tr w14:paraId="035F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vMerge w:val="continue"/>
            <w:vAlign w:val="center"/>
          </w:tcPr>
          <w:p w14:paraId="191D9453">
            <w:pPr>
              <w:keepNext w:val="0"/>
              <w:keepLines w:val="0"/>
              <w:pageBreakBefore w:val="0"/>
              <w:widowControl/>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999" w:type="dxa"/>
            <w:vMerge w:val="continue"/>
            <w:vAlign w:val="center"/>
          </w:tcPr>
          <w:p w14:paraId="75B8AABC">
            <w:pPr>
              <w:keepNext w:val="0"/>
              <w:keepLines w:val="0"/>
              <w:pageBreakBefore w:val="0"/>
              <w:widowControl/>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1910" w:type="dxa"/>
            <w:vAlign w:val="center"/>
          </w:tcPr>
          <w:p w14:paraId="22AF5846">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kern w:val="2"/>
                <w:sz w:val="21"/>
                <w:szCs w:val="21"/>
                <w:highlight w:val="none"/>
                <w:lang w:val="en-US" w:eastAsia="zh-CN" w:bidi="ar-SA"/>
              </w:rPr>
            </w:pPr>
            <w:r>
              <w:rPr>
                <w:rFonts w:hint="eastAsia" w:ascii="华文仿宋" w:hAnsi="华文仿宋" w:eastAsia="华文仿宋" w:cs="华文仿宋"/>
                <w:color w:val="auto"/>
                <w:sz w:val="21"/>
                <w:szCs w:val="21"/>
                <w:highlight w:val="none"/>
                <w:lang w:val="en-US" w:eastAsia="zh-CN"/>
              </w:rPr>
              <w:t>磋商</w:t>
            </w:r>
            <w:r>
              <w:rPr>
                <w:rFonts w:hint="eastAsia" w:ascii="华文仿宋" w:hAnsi="华文仿宋" w:eastAsia="华文仿宋" w:cs="华文仿宋"/>
                <w:color w:val="auto"/>
                <w:sz w:val="21"/>
                <w:szCs w:val="21"/>
                <w:highlight w:val="none"/>
                <w:lang w:eastAsia="zh-CN"/>
              </w:rPr>
              <w:t>函</w:t>
            </w:r>
            <w:r>
              <w:rPr>
                <w:rFonts w:hint="eastAsia" w:ascii="华文仿宋" w:hAnsi="华文仿宋" w:eastAsia="华文仿宋" w:cs="华文仿宋"/>
                <w:color w:val="auto"/>
                <w:sz w:val="21"/>
                <w:szCs w:val="21"/>
                <w:highlight w:val="none"/>
              </w:rPr>
              <w:t>签字盖章</w:t>
            </w:r>
          </w:p>
        </w:tc>
        <w:tc>
          <w:tcPr>
            <w:tcW w:w="5772" w:type="dxa"/>
            <w:vAlign w:val="center"/>
          </w:tcPr>
          <w:p w14:paraId="52796DBD">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color w:val="auto"/>
                <w:kern w:val="2"/>
                <w:sz w:val="21"/>
                <w:szCs w:val="21"/>
                <w:highlight w:val="none"/>
                <w:lang w:val="en-US" w:eastAsia="zh-CN" w:bidi="ar-SA"/>
              </w:rPr>
            </w:pPr>
            <w:r>
              <w:rPr>
                <w:rFonts w:hint="eastAsia" w:ascii="华文仿宋" w:hAnsi="华文仿宋" w:eastAsia="华文仿宋" w:cs="华文仿宋"/>
                <w:color w:val="auto"/>
                <w:spacing w:val="-6"/>
                <w:sz w:val="21"/>
                <w:szCs w:val="21"/>
                <w:highlight w:val="none"/>
              </w:rPr>
              <w:t>符合</w:t>
            </w:r>
            <w:r>
              <w:rPr>
                <w:rFonts w:hint="eastAsia" w:ascii="华文仿宋" w:hAnsi="华文仿宋" w:eastAsia="华文仿宋" w:cs="华文仿宋"/>
                <w:color w:val="auto"/>
                <w:spacing w:val="-6"/>
                <w:sz w:val="21"/>
                <w:szCs w:val="21"/>
                <w:highlight w:val="none"/>
                <w:lang w:eastAsia="zh-CN"/>
              </w:rPr>
              <w:t>第六章</w:t>
            </w:r>
            <w:r>
              <w:rPr>
                <w:rFonts w:hint="eastAsia" w:ascii="华文仿宋" w:hAnsi="华文仿宋" w:eastAsia="华文仿宋" w:cs="华文仿宋"/>
                <w:color w:val="auto"/>
                <w:spacing w:val="-6"/>
                <w:sz w:val="21"/>
                <w:szCs w:val="21"/>
                <w:highlight w:val="none"/>
              </w:rPr>
              <w:t>“</w:t>
            </w:r>
            <w:r>
              <w:rPr>
                <w:rFonts w:hint="eastAsia" w:ascii="华文仿宋" w:hAnsi="华文仿宋" w:eastAsia="华文仿宋" w:cs="华文仿宋"/>
                <w:color w:val="auto"/>
                <w:spacing w:val="-6"/>
                <w:sz w:val="21"/>
                <w:szCs w:val="21"/>
                <w:highlight w:val="none"/>
                <w:lang w:eastAsia="zh-CN"/>
              </w:rPr>
              <w:t>竞争性磋商响应文件格式</w:t>
            </w:r>
            <w:r>
              <w:rPr>
                <w:rFonts w:hint="eastAsia" w:ascii="华文仿宋" w:hAnsi="华文仿宋" w:eastAsia="华文仿宋" w:cs="华文仿宋"/>
                <w:color w:val="auto"/>
                <w:spacing w:val="-6"/>
                <w:sz w:val="21"/>
                <w:szCs w:val="21"/>
                <w:highlight w:val="none"/>
              </w:rPr>
              <w:t>”</w:t>
            </w:r>
            <w:r>
              <w:rPr>
                <w:rFonts w:hint="eastAsia" w:ascii="华文仿宋" w:hAnsi="华文仿宋" w:eastAsia="华文仿宋" w:cs="华文仿宋"/>
                <w:color w:val="auto"/>
                <w:spacing w:val="-6"/>
                <w:sz w:val="21"/>
                <w:szCs w:val="21"/>
                <w:highlight w:val="none"/>
                <w:lang w:val="en-US" w:eastAsia="zh-CN"/>
              </w:rPr>
              <w:t>磋商</w:t>
            </w:r>
            <w:r>
              <w:rPr>
                <w:rFonts w:hint="eastAsia" w:ascii="华文仿宋" w:hAnsi="华文仿宋" w:eastAsia="华文仿宋" w:cs="华文仿宋"/>
                <w:color w:val="auto"/>
                <w:spacing w:val="-6"/>
                <w:sz w:val="21"/>
                <w:szCs w:val="21"/>
                <w:highlight w:val="none"/>
                <w:lang w:eastAsia="zh-CN"/>
              </w:rPr>
              <w:t>函签字盖章</w:t>
            </w:r>
            <w:r>
              <w:rPr>
                <w:rFonts w:hint="eastAsia" w:ascii="华文仿宋" w:hAnsi="华文仿宋" w:eastAsia="华文仿宋" w:cs="华文仿宋"/>
                <w:color w:val="auto"/>
                <w:spacing w:val="-6"/>
                <w:sz w:val="21"/>
                <w:szCs w:val="21"/>
                <w:highlight w:val="none"/>
              </w:rPr>
              <w:t>的要求</w:t>
            </w:r>
          </w:p>
        </w:tc>
      </w:tr>
      <w:tr w14:paraId="46FD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Merge w:val="continue"/>
            <w:vAlign w:val="center"/>
          </w:tcPr>
          <w:p w14:paraId="2BAA6A61">
            <w:pPr>
              <w:keepNext w:val="0"/>
              <w:keepLines w:val="0"/>
              <w:pageBreakBefore w:val="0"/>
              <w:widowControl/>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999" w:type="dxa"/>
            <w:vMerge w:val="continue"/>
            <w:vAlign w:val="center"/>
          </w:tcPr>
          <w:p w14:paraId="13AF1A9F">
            <w:pPr>
              <w:keepNext w:val="0"/>
              <w:keepLines w:val="0"/>
              <w:pageBreakBefore w:val="0"/>
              <w:widowControl/>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1910" w:type="dxa"/>
            <w:vAlign w:val="center"/>
          </w:tcPr>
          <w:p w14:paraId="37593AA7">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kern w:val="2"/>
                <w:sz w:val="21"/>
                <w:szCs w:val="21"/>
                <w:highlight w:val="none"/>
                <w:lang w:val="en-US" w:eastAsia="zh-CN" w:bidi="ar-SA"/>
              </w:rPr>
            </w:pPr>
            <w:r>
              <w:rPr>
                <w:rFonts w:hint="eastAsia" w:ascii="华文仿宋" w:hAnsi="华文仿宋" w:eastAsia="华文仿宋" w:cs="华文仿宋"/>
                <w:color w:val="auto"/>
                <w:sz w:val="21"/>
                <w:szCs w:val="21"/>
                <w:highlight w:val="none"/>
                <w:lang w:val="en-US" w:eastAsia="zh-CN"/>
              </w:rPr>
              <w:t>磋商</w:t>
            </w:r>
            <w:r>
              <w:rPr>
                <w:rFonts w:hint="eastAsia" w:ascii="华文仿宋" w:hAnsi="华文仿宋" w:eastAsia="华文仿宋" w:cs="华文仿宋"/>
                <w:color w:val="auto"/>
                <w:sz w:val="21"/>
                <w:szCs w:val="21"/>
                <w:highlight w:val="none"/>
              </w:rPr>
              <w:t>文件格式</w:t>
            </w:r>
          </w:p>
        </w:tc>
        <w:tc>
          <w:tcPr>
            <w:tcW w:w="5772" w:type="dxa"/>
            <w:vAlign w:val="center"/>
          </w:tcPr>
          <w:p w14:paraId="23F632B3">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color w:val="auto"/>
                <w:kern w:val="2"/>
                <w:sz w:val="21"/>
                <w:szCs w:val="21"/>
                <w:highlight w:val="none"/>
                <w:lang w:val="en-US" w:eastAsia="zh-CN" w:bidi="ar-SA"/>
              </w:rPr>
            </w:pPr>
            <w:r>
              <w:rPr>
                <w:rFonts w:hint="eastAsia" w:ascii="华文仿宋" w:hAnsi="华文仿宋" w:eastAsia="华文仿宋" w:cs="华文仿宋"/>
                <w:color w:val="auto"/>
                <w:sz w:val="21"/>
                <w:szCs w:val="21"/>
                <w:highlight w:val="none"/>
              </w:rPr>
              <w:t>符合</w:t>
            </w:r>
            <w:r>
              <w:rPr>
                <w:rFonts w:hint="eastAsia" w:ascii="华文仿宋" w:hAnsi="华文仿宋" w:eastAsia="华文仿宋" w:cs="华文仿宋"/>
                <w:color w:val="auto"/>
                <w:sz w:val="21"/>
                <w:szCs w:val="21"/>
                <w:highlight w:val="none"/>
                <w:lang w:eastAsia="zh-CN"/>
              </w:rPr>
              <w:t>第六章</w:t>
            </w: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eastAsia="zh-CN"/>
              </w:rPr>
              <w:t>竞争性磋商响应文件格式</w:t>
            </w:r>
            <w:r>
              <w:rPr>
                <w:rFonts w:hint="eastAsia" w:ascii="华文仿宋" w:hAnsi="华文仿宋" w:eastAsia="华文仿宋" w:cs="华文仿宋"/>
                <w:color w:val="auto"/>
                <w:sz w:val="21"/>
                <w:szCs w:val="21"/>
                <w:highlight w:val="none"/>
              </w:rPr>
              <w:t>”的要求</w:t>
            </w:r>
          </w:p>
        </w:tc>
      </w:tr>
      <w:tr w14:paraId="0302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vMerge w:val="continue"/>
            <w:vAlign w:val="center"/>
          </w:tcPr>
          <w:p w14:paraId="605C81F8">
            <w:pPr>
              <w:keepNext w:val="0"/>
              <w:keepLines w:val="0"/>
              <w:pageBreakBefore w:val="0"/>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999" w:type="dxa"/>
            <w:vMerge w:val="continue"/>
            <w:vAlign w:val="center"/>
          </w:tcPr>
          <w:p w14:paraId="296E4D2B">
            <w:pPr>
              <w:keepNext w:val="0"/>
              <w:keepLines w:val="0"/>
              <w:pageBreakBefore w:val="0"/>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1910" w:type="dxa"/>
            <w:vAlign w:val="center"/>
          </w:tcPr>
          <w:p w14:paraId="3429BB8C">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磋商</w:t>
            </w:r>
            <w:r>
              <w:rPr>
                <w:rFonts w:hint="eastAsia" w:ascii="华文仿宋" w:hAnsi="华文仿宋" w:eastAsia="华文仿宋" w:cs="华文仿宋"/>
                <w:color w:val="auto"/>
                <w:sz w:val="21"/>
                <w:szCs w:val="21"/>
                <w:highlight w:val="none"/>
              </w:rPr>
              <w:t>内容</w:t>
            </w:r>
          </w:p>
        </w:tc>
        <w:tc>
          <w:tcPr>
            <w:tcW w:w="5772" w:type="dxa"/>
            <w:vAlign w:val="center"/>
          </w:tcPr>
          <w:p w14:paraId="467C61CD">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符合第二章“供应商须知”第1.4.1项规定</w:t>
            </w:r>
          </w:p>
        </w:tc>
      </w:tr>
      <w:tr w14:paraId="1FA7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Merge w:val="continue"/>
            <w:vAlign w:val="center"/>
          </w:tcPr>
          <w:p w14:paraId="03F1C849">
            <w:pPr>
              <w:keepNext w:val="0"/>
              <w:keepLines w:val="0"/>
              <w:pageBreakBefore w:val="0"/>
              <w:widowControl/>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999" w:type="dxa"/>
            <w:vMerge w:val="continue"/>
            <w:vAlign w:val="center"/>
          </w:tcPr>
          <w:p w14:paraId="1EC43576">
            <w:pPr>
              <w:keepNext w:val="0"/>
              <w:keepLines w:val="0"/>
              <w:pageBreakBefore w:val="0"/>
              <w:widowControl/>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1910" w:type="dxa"/>
            <w:vAlign w:val="center"/>
          </w:tcPr>
          <w:p w14:paraId="6EA0B4F6">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color w:val="auto"/>
                <w:sz w:val="21"/>
                <w:szCs w:val="21"/>
                <w:highlight w:val="none"/>
                <w:lang w:eastAsia="zh-CN"/>
              </w:rPr>
              <w:t>合同履行期限</w:t>
            </w:r>
          </w:p>
        </w:tc>
        <w:tc>
          <w:tcPr>
            <w:tcW w:w="5772" w:type="dxa"/>
            <w:vAlign w:val="center"/>
          </w:tcPr>
          <w:p w14:paraId="015A1E82">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符合第二章“供应商须知”第1.4.2项规定</w:t>
            </w:r>
          </w:p>
        </w:tc>
      </w:tr>
      <w:tr w14:paraId="52BB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Merge w:val="continue"/>
            <w:vAlign w:val="center"/>
          </w:tcPr>
          <w:p w14:paraId="7FAC4E29">
            <w:pPr>
              <w:keepNext w:val="0"/>
              <w:keepLines w:val="0"/>
              <w:pageBreakBefore w:val="0"/>
              <w:widowControl/>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999" w:type="dxa"/>
            <w:vMerge w:val="continue"/>
            <w:vAlign w:val="center"/>
          </w:tcPr>
          <w:p w14:paraId="4FA80E06">
            <w:pPr>
              <w:keepNext w:val="0"/>
              <w:keepLines w:val="0"/>
              <w:pageBreakBefore w:val="0"/>
              <w:widowControl/>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1910" w:type="dxa"/>
            <w:vAlign w:val="center"/>
          </w:tcPr>
          <w:p w14:paraId="4750A23C">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kern w:val="2"/>
                <w:sz w:val="21"/>
                <w:szCs w:val="21"/>
                <w:highlight w:val="none"/>
                <w:lang w:val="en-US" w:eastAsia="zh-CN" w:bidi="ar-SA"/>
              </w:rPr>
            </w:pPr>
            <w:r>
              <w:rPr>
                <w:rFonts w:hint="eastAsia" w:ascii="华文仿宋" w:hAnsi="华文仿宋" w:eastAsia="华文仿宋" w:cs="华文仿宋"/>
                <w:color w:val="auto"/>
                <w:sz w:val="21"/>
                <w:szCs w:val="21"/>
                <w:highlight w:val="none"/>
              </w:rPr>
              <w:t>质量要求</w:t>
            </w:r>
          </w:p>
        </w:tc>
        <w:tc>
          <w:tcPr>
            <w:tcW w:w="5772" w:type="dxa"/>
            <w:vAlign w:val="center"/>
          </w:tcPr>
          <w:p w14:paraId="0DB1A75A">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color w:val="auto"/>
                <w:kern w:val="2"/>
                <w:sz w:val="21"/>
                <w:szCs w:val="21"/>
                <w:highlight w:val="none"/>
                <w:lang w:val="en-US" w:eastAsia="zh-CN" w:bidi="ar-SA"/>
              </w:rPr>
            </w:pPr>
            <w:r>
              <w:rPr>
                <w:rFonts w:hint="eastAsia" w:ascii="华文仿宋" w:hAnsi="华文仿宋" w:eastAsia="华文仿宋" w:cs="华文仿宋"/>
                <w:color w:val="auto"/>
                <w:sz w:val="21"/>
                <w:szCs w:val="21"/>
                <w:highlight w:val="none"/>
              </w:rPr>
              <w:t>符合第二章“供应商须知”第1.4.</w:t>
            </w:r>
            <w:r>
              <w:rPr>
                <w:rFonts w:hint="eastAsia" w:ascii="华文仿宋" w:hAnsi="华文仿宋" w:eastAsia="华文仿宋" w:cs="华文仿宋"/>
                <w:color w:val="auto"/>
                <w:sz w:val="21"/>
                <w:szCs w:val="21"/>
                <w:highlight w:val="none"/>
                <w:lang w:val="en-US" w:eastAsia="zh-CN"/>
              </w:rPr>
              <w:t>3</w:t>
            </w:r>
            <w:r>
              <w:rPr>
                <w:rFonts w:hint="eastAsia" w:ascii="华文仿宋" w:hAnsi="华文仿宋" w:eastAsia="华文仿宋" w:cs="华文仿宋"/>
                <w:color w:val="auto"/>
                <w:sz w:val="21"/>
                <w:szCs w:val="21"/>
                <w:highlight w:val="none"/>
              </w:rPr>
              <w:t>项规定</w:t>
            </w:r>
          </w:p>
        </w:tc>
      </w:tr>
      <w:tr w14:paraId="3303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vMerge w:val="continue"/>
            <w:vAlign w:val="center"/>
          </w:tcPr>
          <w:p w14:paraId="0CE19E38">
            <w:pPr>
              <w:keepNext w:val="0"/>
              <w:keepLines w:val="0"/>
              <w:pageBreakBefore w:val="0"/>
              <w:widowControl/>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999" w:type="dxa"/>
            <w:vMerge w:val="continue"/>
            <w:vAlign w:val="center"/>
          </w:tcPr>
          <w:p w14:paraId="73AB0BE9">
            <w:pPr>
              <w:keepNext w:val="0"/>
              <w:keepLines w:val="0"/>
              <w:pageBreakBefore w:val="0"/>
              <w:widowControl/>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1910" w:type="dxa"/>
            <w:vAlign w:val="center"/>
          </w:tcPr>
          <w:p w14:paraId="0C19CA93">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磋商有效期</w:t>
            </w:r>
          </w:p>
        </w:tc>
        <w:tc>
          <w:tcPr>
            <w:tcW w:w="5772" w:type="dxa"/>
            <w:vAlign w:val="center"/>
          </w:tcPr>
          <w:p w14:paraId="4255B3E5">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符合第二章“供应商须知”第3.3.1项规定</w:t>
            </w:r>
          </w:p>
        </w:tc>
      </w:tr>
      <w:tr w14:paraId="2000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vMerge w:val="continue"/>
            <w:vAlign w:val="center"/>
          </w:tcPr>
          <w:p w14:paraId="425D5341">
            <w:pPr>
              <w:keepNext w:val="0"/>
              <w:keepLines w:val="0"/>
              <w:pageBreakBefore w:val="0"/>
              <w:widowControl/>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999" w:type="dxa"/>
            <w:vMerge w:val="continue"/>
            <w:vAlign w:val="center"/>
          </w:tcPr>
          <w:p w14:paraId="0E46DDDC">
            <w:pPr>
              <w:keepNext w:val="0"/>
              <w:keepLines w:val="0"/>
              <w:pageBreakBefore w:val="0"/>
              <w:widowControl/>
              <w:kinsoku/>
              <w:wordWrap w:val="0"/>
              <w:overflowPunct/>
              <w:topLinePunct/>
              <w:autoSpaceDE/>
              <w:autoSpaceDN/>
              <w:bidi w:val="0"/>
              <w:adjustRightInd/>
              <w:snapToGrid/>
              <w:spacing w:line="360" w:lineRule="auto"/>
              <w:ind w:left="0" w:leftChars="0" w:right="0" w:rightChars="0"/>
              <w:jc w:val="center"/>
              <w:textAlignment w:val="auto"/>
              <w:rPr>
                <w:rFonts w:hint="eastAsia" w:ascii="华文仿宋" w:hAnsi="华文仿宋" w:eastAsia="华文仿宋" w:cs="华文仿宋"/>
                <w:color w:val="auto"/>
                <w:sz w:val="21"/>
                <w:szCs w:val="21"/>
                <w:highlight w:val="none"/>
              </w:rPr>
            </w:pPr>
          </w:p>
        </w:tc>
        <w:tc>
          <w:tcPr>
            <w:tcW w:w="1910" w:type="dxa"/>
            <w:vAlign w:val="center"/>
          </w:tcPr>
          <w:p w14:paraId="4D7A1C0A">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磋商报价</w:t>
            </w:r>
          </w:p>
        </w:tc>
        <w:tc>
          <w:tcPr>
            <w:tcW w:w="5772" w:type="dxa"/>
            <w:vAlign w:val="center"/>
          </w:tcPr>
          <w:p w14:paraId="730542FF">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报价不超过</w:t>
            </w:r>
            <w:r>
              <w:rPr>
                <w:rFonts w:hint="eastAsia" w:ascii="华文仿宋" w:hAnsi="华文仿宋" w:eastAsia="华文仿宋" w:cs="华文仿宋"/>
                <w:color w:val="auto"/>
                <w:sz w:val="21"/>
                <w:szCs w:val="21"/>
                <w:highlight w:val="none"/>
                <w:lang w:eastAsia="zh-CN"/>
              </w:rPr>
              <w:t>预算价（最高限价）</w:t>
            </w:r>
          </w:p>
        </w:tc>
      </w:tr>
      <w:tr w14:paraId="3D4F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56" w:type="dxa"/>
            <w:gridSpan w:val="2"/>
            <w:vAlign w:val="center"/>
          </w:tcPr>
          <w:p w14:paraId="5D7A22B7">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2.2</w:t>
            </w:r>
          </w:p>
        </w:tc>
        <w:tc>
          <w:tcPr>
            <w:tcW w:w="1910" w:type="dxa"/>
            <w:vAlign w:val="center"/>
          </w:tcPr>
          <w:p w14:paraId="2CF15087">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分值构成</w:t>
            </w:r>
          </w:p>
          <w:p w14:paraId="6673399C">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（100分）</w:t>
            </w:r>
          </w:p>
        </w:tc>
        <w:tc>
          <w:tcPr>
            <w:tcW w:w="5772" w:type="dxa"/>
            <w:vAlign w:val="center"/>
          </w:tcPr>
          <w:p w14:paraId="17258046">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商务部分：20 分</w:t>
            </w:r>
          </w:p>
          <w:p w14:paraId="23F7EF89">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技术部分：</w:t>
            </w:r>
            <w:r>
              <w:rPr>
                <w:rFonts w:hint="eastAsia" w:ascii="华文仿宋" w:hAnsi="华文仿宋" w:eastAsia="华文仿宋" w:cs="华文仿宋"/>
                <w:color w:val="auto"/>
                <w:sz w:val="21"/>
                <w:szCs w:val="21"/>
                <w:highlight w:val="none"/>
                <w:lang w:val="en-US" w:eastAsia="zh-CN"/>
              </w:rPr>
              <w:t>35</w:t>
            </w:r>
            <w:r>
              <w:rPr>
                <w:rFonts w:hint="eastAsia" w:ascii="华文仿宋" w:hAnsi="华文仿宋" w:eastAsia="华文仿宋" w:cs="华文仿宋"/>
                <w:color w:val="auto"/>
                <w:sz w:val="21"/>
                <w:szCs w:val="21"/>
                <w:highlight w:val="none"/>
              </w:rPr>
              <w:t xml:space="preserve"> 分</w:t>
            </w:r>
          </w:p>
          <w:p w14:paraId="244DAF71">
            <w:pPr>
              <w:keepNext w:val="0"/>
              <w:keepLines w:val="0"/>
              <w:pageBreakBefore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综合部分：</w:t>
            </w:r>
            <w:r>
              <w:rPr>
                <w:rFonts w:hint="eastAsia" w:ascii="华文仿宋" w:hAnsi="华文仿宋" w:eastAsia="华文仿宋" w:cs="华文仿宋"/>
                <w:color w:val="auto"/>
                <w:sz w:val="21"/>
                <w:szCs w:val="21"/>
                <w:highlight w:val="none"/>
                <w:lang w:val="en-US" w:eastAsia="zh-CN"/>
              </w:rPr>
              <w:t>45</w:t>
            </w:r>
            <w:r>
              <w:rPr>
                <w:rFonts w:hint="eastAsia" w:ascii="华文仿宋" w:hAnsi="华文仿宋" w:eastAsia="华文仿宋" w:cs="华文仿宋"/>
                <w:color w:val="auto"/>
                <w:sz w:val="21"/>
                <w:szCs w:val="21"/>
                <w:highlight w:val="none"/>
              </w:rPr>
              <w:t>分</w:t>
            </w:r>
          </w:p>
        </w:tc>
      </w:tr>
      <w:tr w14:paraId="6A9B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56" w:type="dxa"/>
            <w:gridSpan w:val="2"/>
            <w:vAlign w:val="center"/>
          </w:tcPr>
          <w:p w14:paraId="2BE5BFBB">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条款号</w:t>
            </w:r>
          </w:p>
        </w:tc>
        <w:tc>
          <w:tcPr>
            <w:tcW w:w="1910" w:type="dxa"/>
            <w:vAlign w:val="center"/>
          </w:tcPr>
          <w:p w14:paraId="4A30BF8F">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10" w:firstLineChars="5"/>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评分因素</w:t>
            </w:r>
          </w:p>
        </w:tc>
        <w:tc>
          <w:tcPr>
            <w:tcW w:w="5772" w:type="dxa"/>
            <w:vAlign w:val="center"/>
          </w:tcPr>
          <w:p w14:paraId="0635F676">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10" w:firstLineChars="5"/>
              <w:jc w:val="both"/>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评分标准</w:t>
            </w:r>
          </w:p>
        </w:tc>
      </w:tr>
      <w:tr w14:paraId="0C6D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vAlign w:val="center"/>
          </w:tcPr>
          <w:p w14:paraId="74AD647A">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2.2（1）</w:t>
            </w:r>
          </w:p>
        </w:tc>
        <w:tc>
          <w:tcPr>
            <w:tcW w:w="999" w:type="dxa"/>
            <w:vAlign w:val="center"/>
          </w:tcPr>
          <w:p w14:paraId="2B59AAB2">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商务</w:t>
            </w:r>
          </w:p>
          <w:p w14:paraId="321158A8">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部分</w:t>
            </w:r>
          </w:p>
          <w:p w14:paraId="6B0FDCD0">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10" w:firstLineChars="5"/>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（20</w:t>
            </w:r>
            <w:r>
              <w:rPr>
                <w:rFonts w:hint="eastAsia" w:ascii="华文仿宋" w:hAnsi="华文仿宋" w:eastAsia="华文仿宋" w:cs="华文仿宋"/>
                <w:color w:val="auto"/>
                <w:sz w:val="21"/>
                <w:szCs w:val="21"/>
                <w:highlight w:val="none"/>
              </w:rPr>
              <w:t>分</w:t>
            </w:r>
            <w:r>
              <w:rPr>
                <w:rFonts w:hint="eastAsia" w:ascii="华文仿宋" w:hAnsi="华文仿宋" w:eastAsia="华文仿宋" w:cs="华文仿宋"/>
                <w:color w:val="auto"/>
                <w:sz w:val="21"/>
                <w:szCs w:val="21"/>
                <w:highlight w:val="none"/>
                <w:lang w:val="en-US" w:eastAsia="zh-CN"/>
              </w:rPr>
              <w:t>）</w:t>
            </w:r>
          </w:p>
        </w:tc>
        <w:tc>
          <w:tcPr>
            <w:tcW w:w="1910" w:type="dxa"/>
            <w:vAlign w:val="center"/>
          </w:tcPr>
          <w:p w14:paraId="3763F03E">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10" w:firstLineChars="5"/>
              <w:jc w:val="center"/>
              <w:textAlignment w:val="auto"/>
              <w:rPr>
                <w:rFonts w:hint="eastAsia" w:ascii="华文仿宋" w:hAnsi="华文仿宋" w:eastAsia="华文仿宋" w:cs="华文仿宋"/>
                <w:color w:val="auto"/>
                <w:sz w:val="21"/>
                <w:szCs w:val="21"/>
                <w:highlight w:val="none"/>
              </w:rPr>
            </w:pPr>
          </w:p>
          <w:p w14:paraId="435A7C26">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10" w:firstLineChars="5"/>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磋商最终</w:t>
            </w:r>
          </w:p>
          <w:p w14:paraId="182B9E2E">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10" w:firstLineChars="5"/>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报价得分</w:t>
            </w:r>
          </w:p>
          <w:p w14:paraId="2738F1CD">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10" w:firstLineChars="5"/>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lang w:val="en-US" w:eastAsia="zh-CN"/>
              </w:rPr>
              <w:t>20</w:t>
            </w:r>
            <w:r>
              <w:rPr>
                <w:rFonts w:hint="eastAsia" w:ascii="华文仿宋" w:hAnsi="华文仿宋" w:eastAsia="华文仿宋" w:cs="华文仿宋"/>
                <w:color w:val="auto"/>
                <w:sz w:val="21"/>
                <w:szCs w:val="21"/>
                <w:highlight w:val="none"/>
              </w:rPr>
              <w:t>分）</w:t>
            </w:r>
          </w:p>
          <w:p w14:paraId="7DBFCAAA">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10" w:firstLineChars="5"/>
              <w:jc w:val="center"/>
              <w:textAlignment w:val="auto"/>
              <w:rPr>
                <w:rFonts w:hint="eastAsia" w:ascii="华文仿宋" w:hAnsi="华文仿宋" w:eastAsia="华文仿宋" w:cs="华文仿宋"/>
                <w:color w:val="auto"/>
                <w:sz w:val="21"/>
                <w:szCs w:val="21"/>
                <w:highlight w:val="none"/>
              </w:rPr>
            </w:pPr>
          </w:p>
        </w:tc>
        <w:tc>
          <w:tcPr>
            <w:tcW w:w="5772" w:type="dxa"/>
            <w:vAlign w:val="center"/>
          </w:tcPr>
          <w:p w14:paraId="7D3966C3">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left"/>
              <w:textAlignment w:val="auto"/>
              <w:rPr>
                <w:rFonts w:hint="eastAsia" w:ascii="华文仿宋" w:hAnsi="华文仿宋" w:eastAsia="华文仿宋" w:cs="华文仿宋"/>
                <w:color w:val="auto"/>
              </w:rPr>
            </w:pPr>
            <w:r>
              <w:rPr>
                <w:rFonts w:hint="eastAsia" w:ascii="华文仿宋" w:hAnsi="华文仿宋" w:eastAsia="华文仿宋" w:cs="华文仿宋"/>
                <w:color w:val="auto"/>
              </w:rPr>
              <w:t>价格分统一采用低价优先法计算，即满足</w:t>
            </w:r>
            <w:r>
              <w:rPr>
                <w:rFonts w:hint="eastAsia" w:ascii="华文仿宋" w:hAnsi="华文仿宋" w:eastAsia="华文仿宋" w:cs="华文仿宋"/>
                <w:color w:val="auto"/>
                <w:lang w:eastAsia="zh-CN"/>
              </w:rPr>
              <w:t>竞争性磋商文件</w:t>
            </w:r>
            <w:r>
              <w:rPr>
                <w:rFonts w:hint="eastAsia" w:ascii="华文仿宋" w:hAnsi="华文仿宋" w:eastAsia="华文仿宋" w:cs="华文仿宋"/>
                <w:color w:val="auto"/>
              </w:rPr>
              <w:t>要求且</w:t>
            </w:r>
            <w:r>
              <w:rPr>
                <w:rFonts w:hint="eastAsia" w:ascii="华文仿宋" w:hAnsi="华文仿宋" w:eastAsia="华文仿宋" w:cs="华文仿宋"/>
                <w:color w:val="auto"/>
                <w:lang w:eastAsia="zh-CN"/>
              </w:rPr>
              <w:t>最终报价</w:t>
            </w:r>
            <w:r>
              <w:rPr>
                <w:rFonts w:hint="eastAsia" w:ascii="华文仿宋" w:hAnsi="华文仿宋" w:eastAsia="华文仿宋" w:cs="华文仿宋"/>
                <w:color w:val="auto"/>
              </w:rPr>
              <w:t>最低的</w:t>
            </w:r>
            <w:r>
              <w:rPr>
                <w:rFonts w:hint="eastAsia" w:ascii="华文仿宋" w:hAnsi="华文仿宋" w:eastAsia="华文仿宋" w:cs="华文仿宋"/>
                <w:color w:val="auto"/>
                <w:lang w:eastAsia="zh-CN"/>
              </w:rPr>
              <w:t>最终</w:t>
            </w:r>
            <w:r>
              <w:rPr>
                <w:rFonts w:hint="eastAsia" w:ascii="华文仿宋" w:hAnsi="华文仿宋" w:eastAsia="华文仿宋" w:cs="华文仿宋"/>
                <w:color w:val="auto"/>
              </w:rPr>
              <w:t>报价为评标基准价，其价格分满分</w:t>
            </w:r>
            <w:r>
              <w:rPr>
                <w:rFonts w:hint="eastAsia" w:ascii="华文仿宋" w:hAnsi="华文仿宋" w:eastAsia="华文仿宋" w:cs="华文仿宋"/>
                <w:color w:val="auto"/>
                <w:lang w:val="en-US" w:eastAsia="zh-CN"/>
              </w:rPr>
              <w:t>20</w:t>
            </w:r>
            <w:r>
              <w:rPr>
                <w:rFonts w:hint="eastAsia" w:ascii="华文仿宋" w:hAnsi="华文仿宋" w:eastAsia="华文仿宋" w:cs="华文仿宋"/>
                <w:color w:val="auto"/>
              </w:rPr>
              <w:t>分。其他供应商的价格分统一按照下列公式计算：</w:t>
            </w:r>
          </w:p>
          <w:p w14:paraId="19EA28A2">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left"/>
              <w:textAlignment w:val="auto"/>
              <w:rPr>
                <w:rFonts w:hint="eastAsia" w:ascii="华文仿宋" w:hAnsi="华文仿宋" w:eastAsia="华文仿宋" w:cs="华文仿宋"/>
                <w:color w:val="auto"/>
                <w:lang w:val="en-US" w:eastAsia="zh-CN"/>
              </w:rPr>
            </w:pPr>
            <w:r>
              <w:rPr>
                <w:rFonts w:hint="eastAsia" w:ascii="华文仿宋" w:hAnsi="华文仿宋" w:eastAsia="华文仿宋" w:cs="华文仿宋"/>
                <w:color w:val="auto"/>
                <w:lang w:eastAsia="zh-CN"/>
              </w:rPr>
              <w:t>最终</w:t>
            </w:r>
            <w:r>
              <w:rPr>
                <w:rFonts w:hint="eastAsia" w:ascii="华文仿宋" w:hAnsi="华文仿宋" w:eastAsia="华文仿宋" w:cs="华文仿宋"/>
                <w:color w:val="auto"/>
              </w:rPr>
              <w:t>报价得分=（评标基准价/</w:t>
            </w:r>
            <w:r>
              <w:rPr>
                <w:rFonts w:hint="eastAsia" w:ascii="华文仿宋" w:hAnsi="华文仿宋" w:eastAsia="华文仿宋" w:cs="华文仿宋"/>
                <w:color w:val="auto"/>
                <w:lang w:eastAsia="zh-CN"/>
              </w:rPr>
              <w:t>最终</w:t>
            </w:r>
            <w:r>
              <w:rPr>
                <w:rFonts w:hint="eastAsia" w:ascii="华文仿宋" w:hAnsi="华文仿宋" w:eastAsia="华文仿宋" w:cs="华文仿宋"/>
                <w:color w:val="auto"/>
              </w:rPr>
              <w:t>报价）×</w:t>
            </w:r>
            <w:r>
              <w:rPr>
                <w:rFonts w:hint="eastAsia" w:ascii="华文仿宋" w:hAnsi="华文仿宋" w:eastAsia="华文仿宋" w:cs="华文仿宋"/>
                <w:color w:val="auto"/>
                <w:lang w:val="en-US" w:eastAsia="zh-CN"/>
              </w:rPr>
              <w:t>20</w:t>
            </w:r>
          </w:p>
          <w:p w14:paraId="126503EA">
            <w:pPr>
              <w:pStyle w:val="23"/>
              <w:keepNext w:val="0"/>
              <w:keepLines w:val="0"/>
              <w:pageBreakBefore w:val="0"/>
              <w:widowControl w:val="0"/>
              <w:kinsoku/>
              <w:wordWrap w:val="0"/>
              <w:overflowPunct/>
              <w:topLinePunct/>
              <w:autoSpaceDE/>
              <w:autoSpaceDN/>
              <w:bidi w:val="0"/>
              <w:adjustRightInd/>
              <w:snapToGrid/>
              <w:spacing w:before="0" w:after="0" w:line="240" w:lineRule="auto"/>
              <w:ind w:left="0" w:leftChars="0" w:right="0" w:rightChars="0" w:firstLine="0" w:firstLineChars="0"/>
              <w:textAlignment w:val="auto"/>
              <w:rPr>
                <w:rFonts w:hint="eastAsia" w:ascii="华文仿宋" w:hAnsi="华文仿宋" w:eastAsia="华文仿宋" w:cs="华文仿宋"/>
                <w:color w:val="auto"/>
                <w:lang w:eastAsia="zh-CN"/>
              </w:rPr>
            </w:pPr>
            <w:r>
              <w:rPr>
                <w:rFonts w:hint="eastAsia" w:ascii="华文仿宋" w:hAnsi="华文仿宋" w:eastAsia="华文仿宋" w:cs="华文仿宋"/>
                <w:color w:val="auto"/>
              </w:rPr>
              <w:t>注：</w:t>
            </w:r>
            <w:r>
              <w:rPr>
                <w:rFonts w:hint="eastAsia" w:ascii="华文仿宋" w:hAnsi="华文仿宋" w:eastAsia="华文仿宋" w:cs="华文仿宋"/>
                <w:color w:val="auto"/>
                <w:lang w:val="en-US" w:eastAsia="zh-CN"/>
              </w:rPr>
              <w:t>1.</w:t>
            </w:r>
            <w:r>
              <w:rPr>
                <w:rFonts w:hint="eastAsia" w:ascii="华文仿宋" w:hAnsi="华文仿宋" w:eastAsia="华文仿宋" w:cs="华文仿宋"/>
                <w:color w:val="auto"/>
              </w:rPr>
              <w:t>价格分计算保留小数点后二位</w:t>
            </w:r>
            <w:r>
              <w:rPr>
                <w:rFonts w:hint="eastAsia" w:ascii="华文仿宋" w:hAnsi="华文仿宋" w:eastAsia="华文仿宋" w:cs="华文仿宋"/>
                <w:color w:val="auto"/>
                <w:lang w:eastAsia="zh-CN"/>
              </w:rPr>
              <w:t>；</w:t>
            </w:r>
          </w:p>
          <w:p w14:paraId="656929F2">
            <w:pPr>
              <w:pStyle w:val="23"/>
              <w:keepNext w:val="0"/>
              <w:keepLines w:val="0"/>
              <w:pageBreakBefore w:val="0"/>
              <w:widowControl w:val="0"/>
              <w:kinsoku/>
              <w:wordWrap w:val="0"/>
              <w:overflowPunct/>
              <w:topLinePunct/>
              <w:autoSpaceDE/>
              <w:autoSpaceDN/>
              <w:bidi w:val="0"/>
              <w:adjustRightInd/>
              <w:snapToGrid/>
              <w:spacing w:before="0" w:after="0" w:line="240" w:lineRule="auto"/>
              <w:ind w:left="0" w:leftChars="0" w:right="0" w:rightChars="0" w:firstLine="0" w:firstLineChars="0"/>
              <w:textAlignment w:val="auto"/>
              <w:rPr>
                <w:rFonts w:hint="eastAsia" w:ascii="华文仿宋" w:hAnsi="华文仿宋" w:eastAsia="华文仿宋" w:cs="华文仿宋"/>
                <w:color w:val="auto"/>
                <w:lang w:val="en-US" w:eastAsia="zh-CN"/>
              </w:rPr>
            </w:pPr>
            <w:r>
              <w:rPr>
                <w:rFonts w:hint="eastAsia" w:ascii="华文仿宋" w:hAnsi="华文仿宋" w:eastAsia="华文仿宋" w:cs="华文仿宋"/>
                <w:b/>
                <w:bCs/>
                <w:color w:val="auto"/>
                <w:lang w:val="en-US" w:eastAsia="zh-CN"/>
              </w:rPr>
              <w:t>2.</w:t>
            </w:r>
            <w:r>
              <w:rPr>
                <w:rFonts w:hint="eastAsia" w:ascii="华文仿宋" w:hAnsi="华文仿宋" w:eastAsia="华文仿宋" w:cs="华文仿宋"/>
                <w:color w:val="auto"/>
                <w:sz w:val="21"/>
                <w:szCs w:val="21"/>
                <w:lang w:val="en-US" w:eastAsia="zh-CN"/>
              </w:rPr>
              <w:t>根据信财购〔2020〕4 号文中六、防范投标企业串标围标及恶意低价行为措施方面，</w:t>
            </w:r>
            <w:r>
              <w:rPr>
                <w:rFonts w:hint="eastAsia" w:ascii="华文仿宋" w:hAnsi="华文仿宋" w:eastAsia="华文仿宋" w:cs="华文仿宋"/>
                <w:b/>
                <w:bCs/>
                <w:color w:val="auto"/>
                <w:lang w:val="en-US" w:eastAsia="zh-CN"/>
              </w:rPr>
              <w:t>磋商小组发现投标人的报价明显低于其他通过符合性审查投标人的投标报价（建议比控制价低30%的），有可能影响服务质量或不能诚信履约的，应当要求其在评标现场合理的时间内按评标委员会要求的内容及格式提供书面说明，必要时提交相关证明材料，投标人不能证明其报价合理性的或未按评标委员会要求的内容及格式提供书面说明的或提交的相关书面说明材料经评标委员会一致认为无法证明其报价合理性的或经评标委员会一致认为低于成本价的，评标委员会应当将其作为无效标处理。</w:t>
            </w:r>
          </w:p>
        </w:tc>
      </w:tr>
      <w:tr w14:paraId="1613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Merge w:val="restart"/>
            <w:vAlign w:val="center"/>
          </w:tcPr>
          <w:p w14:paraId="30D55624">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b w:val="0"/>
                <w:bCs w:val="0"/>
                <w:color w:val="auto"/>
                <w:kern w:val="2"/>
                <w:sz w:val="21"/>
                <w:szCs w:val="21"/>
                <w:highlight w:val="none"/>
                <w:lang w:val="en-US" w:eastAsia="zh-CN" w:bidi="ar-SA"/>
              </w:rPr>
            </w:pPr>
            <w:r>
              <w:rPr>
                <w:rFonts w:hint="eastAsia" w:ascii="华文仿宋" w:hAnsi="华文仿宋" w:eastAsia="华文仿宋" w:cs="华文仿宋"/>
                <w:b w:val="0"/>
                <w:bCs w:val="0"/>
                <w:color w:val="auto"/>
                <w:kern w:val="2"/>
                <w:sz w:val="21"/>
                <w:szCs w:val="21"/>
                <w:highlight w:val="none"/>
                <w:lang w:val="en-US" w:eastAsia="zh-CN" w:bidi="ar-SA"/>
              </w:rPr>
              <w:t>2.2（2）</w:t>
            </w:r>
          </w:p>
        </w:tc>
        <w:tc>
          <w:tcPr>
            <w:tcW w:w="999" w:type="dxa"/>
            <w:vMerge w:val="restart"/>
            <w:vAlign w:val="center"/>
          </w:tcPr>
          <w:p w14:paraId="54BFEB1B">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pacing w:val="1"/>
                <w:kern w:val="0"/>
                <w:sz w:val="21"/>
                <w:szCs w:val="21"/>
              </w:rPr>
            </w:pPr>
            <w:r>
              <w:rPr>
                <w:rFonts w:hint="eastAsia" w:ascii="华文仿宋" w:hAnsi="华文仿宋" w:eastAsia="华文仿宋" w:cs="华文仿宋"/>
                <w:color w:val="auto"/>
                <w:spacing w:val="1"/>
                <w:kern w:val="0"/>
                <w:sz w:val="21"/>
                <w:szCs w:val="21"/>
              </w:rPr>
              <w:t>技术</w:t>
            </w:r>
          </w:p>
          <w:p w14:paraId="4BFDC9AB">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pacing w:val="1"/>
                <w:kern w:val="0"/>
                <w:sz w:val="21"/>
                <w:szCs w:val="21"/>
              </w:rPr>
            </w:pPr>
            <w:r>
              <w:rPr>
                <w:rFonts w:hint="eastAsia" w:ascii="华文仿宋" w:hAnsi="华文仿宋" w:eastAsia="华文仿宋" w:cs="华文仿宋"/>
                <w:color w:val="auto"/>
                <w:spacing w:val="1"/>
                <w:kern w:val="0"/>
                <w:sz w:val="21"/>
                <w:szCs w:val="21"/>
              </w:rPr>
              <w:t>部分</w:t>
            </w:r>
          </w:p>
          <w:p w14:paraId="7FDAED23">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b w:val="0"/>
                <w:bCs w:val="0"/>
                <w:color w:val="auto"/>
                <w:kern w:val="2"/>
                <w:sz w:val="21"/>
                <w:szCs w:val="21"/>
                <w:highlight w:val="none"/>
                <w:lang w:val="en-US" w:eastAsia="zh-CN" w:bidi="ar-SA"/>
              </w:rPr>
            </w:pPr>
            <w:r>
              <w:rPr>
                <w:rFonts w:hint="eastAsia" w:ascii="华文仿宋" w:hAnsi="华文仿宋" w:eastAsia="华文仿宋" w:cs="华文仿宋"/>
                <w:color w:val="auto"/>
                <w:spacing w:val="1"/>
                <w:kern w:val="0"/>
                <w:sz w:val="21"/>
                <w:szCs w:val="21"/>
              </w:rPr>
              <w:t>（</w:t>
            </w:r>
            <w:r>
              <w:rPr>
                <w:rFonts w:hint="eastAsia" w:ascii="华文仿宋" w:hAnsi="华文仿宋" w:eastAsia="华文仿宋" w:cs="华文仿宋"/>
                <w:color w:val="auto"/>
                <w:spacing w:val="1"/>
                <w:kern w:val="0"/>
                <w:sz w:val="21"/>
                <w:szCs w:val="21"/>
                <w:lang w:val="en-US" w:eastAsia="zh-CN"/>
              </w:rPr>
              <w:t>35</w:t>
            </w:r>
            <w:r>
              <w:rPr>
                <w:rFonts w:hint="eastAsia" w:ascii="华文仿宋" w:hAnsi="华文仿宋" w:eastAsia="华文仿宋" w:cs="华文仿宋"/>
                <w:color w:val="auto"/>
                <w:spacing w:val="1"/>
                <w:kern w:val="0"/>
                <w:sz w:val="21"/>
                <w:szCs w:val="21"/>
              </w:rPr>
              <w:t>分）</w:t>
            </w:r>
          </w:p>
        </w:tc>
        <w:tc>
          <w:tcPr>
            <w:tcW w:w="1910" w:type="dxa"/>
            <w:vAlign w:val="center"/>
          </w:tcPr>
          <w:p w14:paraId="313E7F87">
            <w:pPr>
              <w:keepNext w:val="0"/>
              <w:keepLines w:val="0"/>
              <w:pageBreakBefore w:val="0"/>
              <w:widowControl w:val="0"/>
              <w:kinsoku/>
              <w:overflowPunct/>
              <w:autoSpaceDE w:val="0"/>
              <w:autoSpaceDN w:val="0"/>
              <w:bidi w:val="0"/>
              <w:adjustRightInd/>
              <w:snapToGrid/>
              <w:spacing w:line="240" w:lineRule="auto"/>
              <w:ind w:left="0" w:leftChars="0" w:right="0" w:rightChars="0"/>
              <w:jc w:val="center"/>
              <w:textAlignment w:val="auto"/>
              <w:rPr>
                <w:rFonts w:hint="eastAsia" w:ascii="华文仿宋" w:hAnsi="华文仿宋" w:eastAsia="华文仿宋" w:cs="华文仿宋"/>
                <w:color w:val="auto"/>
                <w:spacing w:val="8"/>
                <w:lang w:val="en-US" w:eastAsia="zh-CN"/>
              </w:rPr>
            </w:pPr>
            <w:r>
              <w:rPr>
                <w:rFonts w:hint="eastAsia" w:ascii="华文仿宋" w:hAnsi="华文仿宋" w:eastAsia="华文仿宋" w:cs="华文仿宋"/>
                <w:color w:val="auto"/>
                <w:spacing w:val="8"/>
                <w:lang w:val="en-US" w:eastAsia="zh-CN"/>
              </w:rPr>
              <w:t>防治资质（5分）</w:t>
            </w:r>
          </w:p>
        </w:tc>
        <w:tc>
          <w:tcPr>
            <w:tcW w:w="5772" w:type="dxa"/>
            <w:vAlign w:val="center"/>
          </w:tcPr>
          <w:p w14:paraId="2D45C018">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textAlignment w:val="auto"/>
              <w:rPr>
                <w:rFonts w:hint="eastAsia" w:ascii="华文仿宋" w:hAnsi="华文仿宋" w:eastAsia="华文仿宋" w:cs="华文仿宋"/>
                <w:color w:val="auto"/>
                <w:spacing w:val="9"/>
                <w:lang w:val="en-US" w:eastAsia="zh-CN"/>
              </w:rPr>
            </w:pPr>
            <w:r>
              <w:rPr>
                <w:rFonts w:hint="eastAsia" w:ascii="华文仿宋" w:hAnsi="华文仿宋" w:eastAsia="华文仿宋" w:cs="华文仿宋"/>
                <w:color w:val="auto"/>
                <w:spacing w:val="9"/>
                <w:lang w:val="en-US" w:eastAsia="zh-CN"/>
              </w:rPr>
              <w:t>具有林业有害生物防治资质证书甲级（一级）得5分，乙级（二级）得2分。</w:t>
            </w:r>
          </w:p>
        </w:tc>
      </w:tr>
      <w:tr w14:paraId="7CF2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vMerge w:val="continue"/>
            <w:vAlign w:val="center"/>
          </w:tcPr>
          <w:p w14:paraId="4701295F">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b w:val="0"/>
                <w:bCs w:val="0"/>
                <w:color w:val="auto"/>
                <w:kern w:val="2"/>
                <w:sz w:val="21"/>
                <w:szCs w:val="21"/>
                <w:highlight w:val="none"/>
                <w:lang w:val="en-US" w:eastAsia="zh-CN" w:bidi="ar-SA"/>
              </w:rPr>
            </w:pPr>
          </w:p>
        </w:tc>
        <w:tc>
          <w:tcPr>
            <w:tcW w:w="999" w:type="dxa"/>
            <w:vMerge w:val="continue"/>
            <w:vAlign w:val="center"/>
          </w:tcPr>
          <w:p w14:paraId="59BDA9F6">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b w:val="0"/>
                <w:bCs w:val="0"/>
                <w:color w:val="auto"/>
                <w:kern w:val="2"/>
                <w:sz w:val="21"/>
                <w:szCs w:val="21"/>
                <w:highlight w:val="none"/>
                <w:lang w:val="en-US" w:eastAsia="zh-CN" w:bidi="ar-SA"/>
              </w:rPr>
            </w:pPr>
          </w:p>
        </w:tc>
        <w:tc>
          <w:tcPr>
            <w:tcW w:w="1910" w:type="dxa"/>
            <w:vAlign w:val="center"/>
          </w:tcPr>
          <w:p w14:paraId="6ECAEBAD">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rPr>
                <w:rFonts w:hint="eastAsia" w:ascii="华文仿宋" w:hAnsi="华文仿宋" w:eastAsia="华文仿宋" w:cs="华文仿宋"/>
                <w:color w:val="auto"/>
                <w:spacing w:val="8"/>
              </w:rPr>
            </w:pPr>
            <w:r>
              <w:rPr>
                <w:rFonts w:hint="eastAsia" w:ascii="华文仿宋" w:hAnsi="华文仿宋" w:eastAsia="华文仿宋" w:cs="华文仿宋"/>
                <w:color w:val="auto"/>
                <w:spacing w:val="4"/>
              </w:rPr>
              <w:t>飞防方案（</w:t>
            </w:r>
            <w:r>
              <w:rPr>
                <w:rFonts w:hint="eastAsia" w:ascii="华文仿宋" w:hAnsi="华文仿宋" w:eastAsia="华文仿宋" w:cs="华文仿宋"/>
                <w:color w:val="auto"/>
                <w:spacing w:val="4"/>
                <w:lang w:val="en-US" w:eastAsia="zh-CN"/>
              </w:rPr>
              <w:t>2</w:t>
            </w:r>
            <w:r>
              <w:rPr>
                <w:rFonts w:hint="eastAsia" w:ascii="华文仿宋" w:hAnsi="华文仿宋" w:eastAsia="华文仿宋" w:cs="华文仿宋"/>
                <w:color w:val="auto"/>
                <w:spacing w:val="4"/>
              </w:rPr>
              <w:t>0</w:t>
            </w:r>
            <w:r>
              <w:rPr>
                <w:rFonts w:hint="eastAsia" w:ascii="华文仿宋" w:hAnsi="华文仿宋" w:eastAsia="华文仿宋" w:cs="华文仿宋"/>
                <w:color w:val="auto"/>
                <w:spacing w:val="-33"/>
              </w:rPr>
              <w:t xml:space="preserve"> </w:t>
            </w:r>
            <w:r>
              <w:rPr>
                <w:rFonts w:hint="eastAsia" w:ascii="华文仿宋" w:hAnsi="华文仿宋" w:eastAsia="华文仿宋" w:cs="华文仿宋"/>
                <w:color w:val="auto"/>
                <w:spacing w:val="4"/>
              </w:rPr>
              <w:t>分）</w:t>
            </w:r>
          </w:p>
        </w:tc>
        <w:tc>
          <w:tcPr>
            <w:tcW w:w="5772" w:type="dxa"/>
            <w:vAlign w:val="center"/>
          </w:tcPr>
          <w:p w14:paraId="53FAB908">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textAlignment w:val="auto"/>
              <w:rPr>
                <w:rFonts w:hint="eastAsia" w:ascii="华文仿宋" w:hAnsi="华文仿宋" w:eastAsia="华文仿宋" w:cs="华文仿宋"/>
                <w:color w:val="auto"/>
                <w:spacing w:val="9"/>
              </w:rPr>
            </w:pPr>
            <w:r>
              <w:rPr>
                <w:rFonts w:hint="eastAsia" w:ascii="华文仿宋" w:hAnsi="华文仿宋" w:eastAsia="华文仿宋" w:cs="华文仿宋"/>
                <w:color w:val="auto"/>
                <w:spacing w:val="11"/>
              </w:rPr>
              <w:t>投标人提供飞防作业方案，</w:t>
            </w:r>
            <w:r>
              <w:rPr>
                <w:rFonts w:hint="eastAsia" w:ascii="华文仿宋" w:hAnsi="华文仿宋" w:eastAsia="华文仿宋" w:cs="华文仿宋"/>
                <w:color w:val="auto"/>
                <w:spacing w:val="-57"/>
              </w:rPr>
              <w:t xml:space="preserve"> </w:t>
            </w:r>
            <w:r>
              <w:rPr>
                <w:rFonts w:hint="eastAsia" w:ascii="华文仿宋" w:hAnsi="华文仿宋" w:eastAsia="华文仿宋" w:cs="华文仿宋"/>
                <w:color w:val="auto"/>
                <w:spacing w:val="11"/>
              </w:rPr>
              <w:t>内容包括空域</w:t>
            </w:r>
            <w:r>
              <w:rPr>
                <w:rFonts w:hint="eastAsia" w:ascii="华文仿宋" w:hAnsi="华文仿宋" w:eastAsia="华文仿宋" w:cs="华文仿宋"/>
                <w:color w:val="auto"/>
                <w:spacing w:val="11"/>
                <w:lang w:val="en-US" w:eastAsia="zh-CN"/>
              </w:rPr>
              <w:t>安全</w:t>
            </w:r>
            <w:r>
              <w:rPr>
                <w:rFonts w:hint="eastAsia" w:ascii="华文仿宋" w:hAnsi="华文仿宋" w:eastAsia="华文仿宋" w:cs="华文仿宋"/>
                <w:color w:val="auto"/>
                <w:spacing w:val="11"/>
              </w:rPr>
              <w:t>、地面</w:t>
            </w:r>
            <w:r>
              <w:rPr>
                <w:rFonts w:hint="eastAsia" w:ascii="华文仿宋" w:hAnsi="华文仿宋" w:eastAsia="华文仿宋" w:cs="华文仿宋"/>
                <w:color w:val="auto"/>
                <w:spacing w:val="13"/>
                <w:lang w:val="en-US" w:eastAsia="zh-CN"/>
              </w:rPr>
              <w:t>安全</w:t>
            </w:r>
            <w:r>
              <w:rPr>
                <w:rFonts w:hint="eastAsia" w:ascii="华文仿宋" w:hAnsi="华文仿宋" w:eastAsia="华文仿宋" w:cs="华文仿宋"/>
                <w:color w:val="auto"/>
                <w:spacing w:val="13"/>
              </w:rPr>
              <w:t>、精准施药、协调配合、进度推进、安全作</w:t>
            </w:r>
            <w:r>
              <w:rPr>
                <w:rFonts w:hint="eastAsia" w:ascii="华文仿宋" w:hAnsi="华文仿宋" w:eastAsia="华文仿宋" w:cs="华文仿宋"/>
                <w:color w:val="auto"/>
                <w:spacing w:val="12"/>
              </w:rPr>
              <w:t>业和</w:t>
            </w:r>
            <w:r>
              <w:rPr>
                <w:rFonts w:hint="eastAsia" w:ascii="华文仿宋" w:hAnsi="华文仿宋" w:eastAsia="华文仿宋" w:cs="华文仿宋"/>
                <w:color w:val="auto"/>
                <w:spacing w:val="6"/>
              </w:rPr>
              <w:t>污染控制，</w:t>
            </w:r>
            <w:r>
              <w:rPr>
                <w:rFonts w:hint="eastAsia" w:ascii="华文仿宋" w:hAnsi="华文仿宋" w:eastAsia="华文仿宋" w:cs="华文仿宋"/>
                <w:color w:val="auto"/>
                <w:spacing w:val="13"/>
              </w:rPr>
              <w:t>优</w:t>
            </w:r>
            <w:r>
              <w:rPr>
                <w:rFonts w:hint="eastAsia" w:ascii="华文仿宋" w:hAnsi="华文仿宋" w:eastAsia="华文仿宋" w:cs="华文仿宋"/>
                <w:color w:val="auto"/>
                <w:spacing w:val="-18"/>
              </w:rPr>
              <w:t xml:space="preserve"> </w:t>
            </w:r>
            <w:r>
              <w:rPr>
                <w:rFonts w:hint="eastAsia" w:ascii="华文仿宋" w:hAnsi="华文仿宋" w:eastAsia="华文仿宋" w:cs="华文仿宋"/>
                <w:color w:val="auto"/>
                <w:spacing w:val="13"/>
                <w:lang w:val="en-US" w:eastAsia="zh-CN"/>
              </w:rPr>
              <w:t>10</w:t>
            </w:r>
            <w:r>
              <w:rPr>
                <w:rFonts w:hint="eastAsia" w:ascii="华文仿宋" w:hAnsi="华文仿宋" w:eastAsia="华文仿宋" w:cs="华文仿宋"/>
                <w:color w:val="auto"/>
                <w:spacing w:val="13"/>
              </w:rPr>
              <w:t>-</w:t>
            </w:r>
            <w:r>
              <w:rPr>
                <w:rFonts w:hint="eastAsia" w:ascii="华文仿宋" w:hAnsi="华文仿宋" w:eastAsia="华文仿宋" w:cs="华文仿宋"/>
                <w:color w:val="auto"/>
                <w:spacing w:val="13"/>
                <w:lang w:val="en-US" w:eastAsia="zh-CN"/>
              </w:rPr>
              <w:t>20</w:t>
            </w:r>
            <w:r>
              <w:rPr>
                <w:rFonts w:hint="eastAsia" w:ascii="华文仿宋" w:hAnsi="华文仿宋" w:eastAsia="华文仿宋" w:cs="华文仿宋"/>
                <w:color w:val="auto"/>
              </w:rPr>
              <w:t xml:space="preserve"> 分；</w:t>
            </w:r>
            <w:r>
              <w:rPr>
                <w:rFonts w:hint="eastAsia" w:ascii="华文仿宋" w:hAnsi="华文仿宋" w:eastAsia="华文仿宋" w:cs="华文仿宋"/>
                <w:color w:val="auto"/>
                <w:spacing w:val="-37"/>
              </w:rPr>
              <w:t xml:space="preserve"> </w:t>
            </w:r>
            <w:r>
              <w:rPr>
                <w:rFonts w:hint="eastAsia" w:ascii="华文仿宋" w:hAnsi="华文仿宋" w:eastAsia="华文仿宋" w:cs="华文仿宋"/>
                <w:color w:val="auto"/>
              </w:rPr>
              <w:t>良得</w:t>
            </w:r>
            <w:r>
              <w:rPr>
                <w:rFonts w:hint="eastAsia" w:ascii="华文仿宋" w:hAnsi="华文仿宋" w:eastAsia="华文仿宋" w:cs="华文仿宋"/>
                <w:color w:val="auto"/>
                <w:spacing w:val="-37"/>
              </w:rPr>
              <w:t xml:space="preserve"> </w:t>
            </w:r>
            <w:r>
              <w:rPr>
                <w:rFonts w:hint="eastAsia" w:ascii="华文仿宋" w:hAnsi="华文仿宋" w:eastAsia="华文仿宋" w:cs="华文仿宋"/>
                <w:color w:val="auto"/>
                <w:lang w:val="en-US" w:eastAsia="zh-CN"/>
              </w:rPr>
              <w:t>5</w:t>
            </w:r>
            <w:r>
              <w:rPr>
                <w:rFonts w:hint="eastAsia" w:ascii="华文仿宋" w:hAnsi="华文仿宋" w:eastAsia="华文仿宋" w:cs="华文仿宋"/>
                <w:color w:val="auto"/>
              </w:rPr>
              <w:t>-</w:t>
            </w:r>
            <w:r>
              <w:rPr>
                <w:rFonts w:hint="eastAsia" w:ascii="华文仿宋" w:hAnsi="华文仿宋" w:eastAsia="华文仿宋" w:cs="华文仿宋"/>
                <w:color w:val="auto"/>
                <w:lang w:val="en-US" w:eastAsia="zh-CN"/>
              </w:rPr>
              <w:t>9</w:t>
            </w:r>
            <w:r>
              <w:rPr>
                <w:rFonts w:hint="eastAsia" w:ascii="华文仿宋" w:hAnsi="华文仿宋" w:eastAsia="华文仿宋" w:cs="华文仿宋"/>
                <w:color w:val="auto"/>
                <w:spacing w:val="-36"/>
              </w:rPr>
              <w:t xml:space="preserve"> </w:t>
            </w:r>
            <w:r>
              <w:rPr>
                <w:rFonts w:hint="eastAsia" w:ascii="华文仿宋" w:hAnsi="华文仿宋" w:eastAsia="华文仿宋" w:cs="华文仿宋"/>
                <w:color w:val="auto"/>
              </w:rPr>
              <w:t>分；差得</w:t>
            </w:r>
            <w:r>
              <w:rPr>
                <w:rFonts w:hint="eastAsia" w:ascii="华文仿宋" w:hAnsi="华文仿宋" w:eastAsia="华文仿宋" w:cs="华文仿宋"/>
                <w:color w:val="auto"/>
                <w:spacing w:val="-37"/>
              </w:rPr>
              <w:t xml:space="preserve"> </w:t>
            </w:r>
            <w:r>
              <w:rPr>
                <w:rFonts w:hint="eastAsia" w:ascii="华文仿宋" w:hAnsi="华文仿宋" w:eastAsia="华文仿宋" w:cs="华文仿宋"/>
                <w:color w:val="auto"/>
              </w:rPr>
              <w:t>0-</w:t>
            </w:r>
            <w:r>
              <w:rPr>
                <w:rFonts w:hint="eastAsia" w:ascii="华文仿宋" w:hAnsi="华文仿宋" w:eastAsia="华文仿宋" w:cs="华文仿宋"/>
                <w:color w:val="auto"/>
                <w:lang w:val="en-US" w:eastAsia="zh-CN"/>
              </w:rPr>
              <w:t>4</w:t>
            </w:r>
            <w:r>
              <w:rPr>
                <w:rFonts w:hint="eastAsia" w:ascii="华文仿宋" w:hAnsi="华文仿宋" w:eastAsia="华文仿宋" w:cs="华文仿宋"/>
                <w:color w:val="auto"/>
              </w:rPr>
              <w:t>分</w:t>
            </w:r>
          </w:p>
        </w:tc>
      </w:tr>
      <w:tr w14:paraId="38AA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vMerge w:val="continue"/>
            <w:vAlign w:val="center"/>
          </w:tcPr>
          <w:p w14:paraId="231403A7">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b w:val="0"/>
                <w:bCs w:val="0"/>
                <w:color w:val="auto"/>
                <w:kern w:val="2"/>
                <w:sz w:val="21"/>
                <w:szCs w:val="21"/>
                <w:highlight w:val="none"/>
                <w:lang w:val="en-US" w:eastAsia="zh-CN" w:bidi="ar-SA"/>
              </w:rPr>
            </w:pPr>
          </w:p>
        </w:tc>
        <w:tc>
          <w:tcPr>
            <w:tcW w:w="999" w:type="dxa"/>
            <w:vMerge w:val="continue"/>
            <w:vAlign w:val="center"/>
          </w:tcPr>
          <w:p w14:paraId="01674BF8">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textAlignment w:val="auto"/>
              <w:rPr>
                <w:rFonts w:hint="eastAsia" w:ascii="华文仿宋" w:hAnsi="华文仿宋" w:eastAsia="华文仿宋" w:cs="华文仿宋"/>
                <w:b w:val="0"/>
                <w:bCs w:val="0"/>
                <w:color w:val="auto"/>
                <w:kern w:val="2"/>
                <w:sz w:val="21"/>
                <w:szCs w:val="21"/>
                <w:highlight w:val="none"/>
                <w:lang w:val="en-US" w:eastAsia="zh-CN" w:bidi="ar-SA"/>
              </w:rPr>
            </w:pPr>
          </w:p>
        </w:tc>
        <w:tc>
          <w:tcPr>
            <w:tcW w:w="1910" w:type="dxa"/>
            <w:vAlign w:val="center"/>
          </w:tcPr>
          <w:p w14:paraId="0A9CF020">
            <w:pPr>
              <w:keepNext w:val="0"/>
              <w:keepLines w:val="0"/>
              <w:pageBreakBefore w:val="0"/>
              <w:widowControl w:val="0"/>
              <w:kinsoku/>
              <w:overflowPunct/>
              <w:autoSpaceDE w:val="0"/>
              <w:autoSpaceDN w:val="0"/>
              <w:bidi w:val="0"/>
              <w:adjustRightInd/>
              <w:snapToGrid/>
              <w:spacing w:line="240" w:lineRule="auto"/>
              <w:ind w:left="0" w:leftChars="0" w:right="0" w:rightChars="0"/>
              <w:jc w:val="center"/>
              <w:textAlignment w:val="auto"/>
              <w:rPr>
                <w:rFonts w:hint="eastAsia" w:ascii="华文仿宋" w:hAnsi="华文仿宋" w:eastAsia="华文仿宋" w:cs="华文仿宋"/>
                <w:b/>
                <w:bCs/>
                <w:color w:val="auto"/>
                <w:szCs w:val="21"/>
                <w:highlight w:val="none"/>
              </w:rPr>
            </w:pPr>
            <w:r>
              <w:rPr>
                <w:rFonts w:hint="eastAsia" w:ascii="华文仿宋" w:hAnsi="华文仿宋" w:eastAsia="华文仿宋" w:cs="华文仿宋"/>
                <w:color w:val="auto"/>
                <w:spacing w:val="8"/>
              </w:rPr>
              <w:t>拟投入设备情况</w:t>
            </w:r>
            <w:r>
              <w:rPr>
                <w:rFonts w:hint="eastAsia" w:ascii="华文仿宋" w:hAnsi="华文仿宋" w:eastAsia="华文仿宋" w:cs="华文仿宋"/>
                <w:color w:val="auto"/>
                <w:spacing w:val="3"/>
              </w:rPr>
              <w:t xml:space="preserve"> </w:t>
            </w:r>
            <w:r>
              <w:rPr>
                <w:rFonts w:hint="eastAsia" w:ascii="华文仿宋" w:hAnsi="华文仿宋" w:eastAsia="华文仿宋" w:cs="华文仿宋"/>
                <w:color w:val="auto"/>
                <w:spacing w:val="-1"/>
              </w:rPr>
              <w:t>（10</w:t>
            </w:r>
            <w:r>
              <w:rPr>
                <w:rFonts w:hint="eastAsia" w:ascii="华文仿宋" w:hAnsi="华文仿宋" w:eastAsia="华文仿宋" w:cs="华文仿宋"/>
                <w:color w:val="auto"/>
                <w:spacing w:val="-35"/>
              </w:rPr>
              <w:t xml:space="preserve"> </w:t>
            </w:r>
            <w:r>
              <w:rPr>
                <w:rFonts w:hint="eastAsia" w:ascii="华文仿宋" w:hAnsi="华文仿宋" w:eastAsia="华文仿宋" w:cs="华文仿宋"/>
                <w:color w:val="auto"/>
                <w:spacing w:val="-1"/>
              </w:rPr>
              <w:t>分）</w:t>
            </w:r>
          </w:p>
        </w:tc>
        <w:tc>
          <w:tcPr>
            <w:tcW w:w="5772" w:type="dxa"/>
            <w:vAlign w:val="center"/>
          </w:tcPr>
          <w:p w14:paraId="44D6626B">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textAlignment w:val="auto"/>
              <w:rPr>
                <w:rFonts w:hint="eastAsia" w:ascii="华文仿宋" w:hAnsi="华文仿宋" w:eastAsia="华文仿宋" w:cs="华文仿宋"/>
                <w:b w:val="0"/>
                <w:bCs w:val="0"/>
                <w:color w:val="auto"/>
                <w:kern w:val="2"/>
                <w:sz w:val="21"/>
                <w:szCs w:val="21"/>
                <w:highlight w:val="none"/>
                <w:lang w:val="en-US" w:eastAsia="zh-CN" w:bidi="ar-SA"/>
              </w:rPr>
            </w:pPr>
            <w:r>
              <w:rPr>
                <w:rFonts w:hint="eastAsia" w:ascii="华文仿宋" w:hAnsi="华文仿宋" w:eastAsia="华文仿宋" w:cs="华文仿宋"/>
                <w:color w:val="auto"/>
                <w:spacing w:val="9"/>
              </w:rPr>
              <w:t>直升机：投标人每提供</w:t>
            </w:r>
            <w:r>
              <w:rPr>
                <w:rFonts w:hint="eastAsia" w:ascii="华文仿宋" w:hAnsi="华文仿宋" w:eastAsia="华文仿宋" w:cs="华文仿宋"/>
                <w:color w:val="auto"/>
                <w:spacing w:val="-15"/>
              </w:rPr>
              <w:t xml:space="preserve"> </w:t>
            </w:r>
            <w:r>
              <w:rPr>
                <w:rFonts w:hint="eastAsia" w:ascii="华文仿宋" w:hAnsi="华文仿宋" w:eastAsia="华文仿宋" w:cs="华文仿宋"/>
                <w:color w:val="auto"/>
                <w:spacing w:val="9"/>
              </w:rPr>
              <w:t>1</w:t>
            </w:r>
            <w:r>
              <w:rPr>
                <w:rFonts w:hint="eastAsia" w:ascii="华文仿宋" w:hAnsi="华文仿宋" w:eastAsia="华文仿宋" w:cs="华文仿宋"/>
                <w:color w:val="auto"/>
                <w:spacing w:val="-34"/>
              </w:rPr>
              <w:t xml:space="preserve"> </w:t>
            </w:r>
            <w:r>
              <w:rPr>
                <w:rFonts w:hint="eastAsia" w:ascii="华文仿宋" w:hAnsi="华文仿宋" w:eastAsia="华文仿宋" w:cs="华文仿宋"/>
                <w:color w:val="auto"/>
                <w:spacing w:val="9"/>
              </w:rPr>
              <w:t>架直升机的，得</w:t>
            </w:r>
            <w:r>
              <w:rPr>
                <w:rFonts w:hint="eastAsia" w:ascii="华文仿宋" w:hAnsi="华文仿宋" w:eastAsia="华文仿宋" w:cs="华文仿宋"/>
                <w:color w:val="auto"/>
                <w:spacing w:val="-31"/>
              </w:rPr>
              <w:t xml:space="preserve"> </w:t>
            </w:r>
            <w:r>
              <w:rPr>
                <w:rFonts w:hint="eastAsia" w:ascii="华文仿宋" w:hAnsi="华文仿宋" w:eastAsia="华文仿宋" w:cs="华文仿宋"/>
                <w:color w:val="auto"/>
                <w:spacing w:val="9"/>
              </w:rPr>
              <w:t>5</w:t>
            </w:r>
            <w:r>
              <w:rPr>
                <w:rFonts w:hint="eastAsia" w:ascii="华文仿宋" w:hAnsi="华文仿宋" w:eastAsia="华文仿宋" w:cs="华文仿宋"/>
                <w:color w:val="auto"/>
                <w:spacing w:val="-33"/>
              </w:rPr>
              <w:t xml:space="preserve"> </w:t>
            </w:r>
            <w:r>
              <w:rPr>
                <w:rFonts w:hint="eastAsia" w:ascii="华文仿宋" w:hAnsi="华文仿宋" w:eastAsia="华文仿宋" w:cs="华文仿宋"/>
                <w:color w:val="auto"/>
                <w:spacing w:val="9"/>
              </w:rPr>
              <w:t>分；此项</w:t>
            </w:r>
            <w:r>
              <w:rPr>
                <w:rFonts w:hint="eastAsia" w:ascii="华文仿宋" w:hAnsi="华文仿宋" w:eastAsia="华文仿宋" w:cs="华文仿宋"/>
                <w:color w:val="auto"/>
                <w:spacing w:val="6"/>
              </w:rPr>
              <w:t>最多得</w:t>
            </w:r>
            <w:r>
              <w:rPr>
                <w:rFonts w:hint="eastAsia" w:ascii="华文仿宋" w:hAnsi="华文仿宋" w:eastAsia="华文仿宋" w:cs="华文仿宋"/>
                <w:color w:val="auto"/>
                <w:spacing w:val="-10"/>
              </w:rPr>
              <w:t xml:space="preserve"> </w:t>
            </w:r>
            <w:r>
              <w:rPr>
                <w:rFonts w:hint="eastAsia" w:ascii="华文仿宋" w:hAnsi="华文仿宋" w:eastAsia="华文仿宋" w:cs="华文仿宋"/>
                <w:color w:val="auto"/>
                <w:spacing w:val="6"/>
              </w:rPr>
              <w:t>10</w:t>
            </w:r>
            <w:r>
              <w:rPr>
                <w:rFonts w:hint="eastAsia" w:ascii="华文仿宋" w:hAnsi="华文仿宋" w:eastAsia="华文仿宋" w:cs="华文仿宋"/>
                <w:color w:val="auto"/>
                <w:spacing w:val="-38"/>
              </w:rPr>
              <w:t xml:space="preserve"> </w:t>
            </w:r>
            <w:r>
              <w:rPr>
                <w:rFonts w:hint="eastAsia" w:ascii="华文仿宋" w:hAnsi="华文仿宋" w:eastAsia="华文仿宋" w:cs="华文仿宋"/>
                <w:color w:val="auto"/>
                <w:spacing w:val="6"/>
              </w:rPr>
              <w:t>分。（提供适航证、国籍登记证、电台执照</w:t>
            </w:r>
            <w:r>
              <w:rPr>
                <w:rFonts w:hint="eastAsia" w:ascii="华文仿宋" w:hAnsi="华文仿宋" w:eastAsia="华文仿宋" w:cs="华文仿宋"/>
                <w:color w:val="auto"/>
                <w:spacing w:val="13"/>
              </w:rPr>
              <w:t>扫描件，非自主产权直升机还需提供租赁合同等证明</w:t>
            </w:r>
            <w:r>
              <w:rPr>
                <w:rFonts w:hint="eastAsia" w:ascii="华文仿宋" w:hAnsi="华文仿宋" w:eastAsia="华文仿宋" w:cs="华文仿宋"/>
                <w:color w:val="auto"/>
                <w:spacing w:val="7"/>
              </w:rPr>
              <w:t>材料，否则不得分。）</w:t>
            </w:r>
          </w:p>
        </w:tc>
      </w:tr>
      <w:tr w14:paraId="463C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vMerge w:val="restart"/>
            <w:vAlign w:val="center"/>
          </w:tcPr>
          <w:p w14:paraId="4C8177AC">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p>
          <w:p w14:paraId="23FF51A3">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p>
          <w:p w14:paraId="5F12F7DF">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p>
          <w:p w14:paraId="5C045706">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p>
          <w:p w14:paraId="7FDAF6D5">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p>
          <w:p w14:paraId="0C76BAA5">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p>
          <w:p w14:paraId="4EA3E9ED">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p>
          <w:p w14:paraId="4BB362F1">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2.</w:t>
            </w:r>
            <w:r>
              <w:rPr>
                <w:rFonts w:hint="eastAsia" w:ascii="华文仿宋" w:hAnsi="华文仿宋" w:eastAsia="华文仿宋" w:cs="华文仿宋"/>
                <w:color w:val="auto"/>
                <w:sz w:val="21"/>
                <w:szCs w:val="21"/>
                <w:highlight w:val="none"/>
                <w:lang w:val="en-US" w:eastAsia="zh-CN"/>
              </w:rPr>
              <w:t>2</w:t>
            </w:r>
            <w:r>
              <w:rPr>
                <w:rFonts w:hint="eastAsia" w:ascii="华文仿宋" w:hAnsi="华文仿宋" w:eastAsia="华文仿宋" w:cs="华文仿宋"/>
                <w:color w:val="auto"/>
                <w:sz w:val="21"/>
                <w:szCs w:val="21"/>
                <w:highlight w:val="none"/>
              </w:rPr>
              <w:t>（3）</w:t>
            </w:r>
          </w:p>
        </w:tc>
        <w:tc>
          <w:tcPr>
            <w:tcW w:w="999" w:type="dxa"/>
            <w:vMerge w:val="restart"/>
            <w:vAlign w:val="center"/>
          </w:tcPr>
          <w:p w14:paraId="0159CBAC">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综合</w:t>
            </w:r>
          </w:p>
          <w:p w14:paraId="590213EB">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部分</w:t>
            </w:r>
          </w:p>
          <w:p w14:paraId="61A26100">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val="en-US" w:eastAsia="zh-CN"/>
              </w:rPr>
              <w:t>45</w:t>
            </w:r>
            <w:r>
              <w:rPr>
                <w:rFonts w:hint="eastAsia" w:ascii="华文仿宋" w:hAnsi="华文仿宋" w:eastAsia="华文仿宋" w:cs="华文仿宋"/>
                <w:color w:val="auto"/>
                <w:sz w:val="21"/>
                <w:szCs w:val="21"/>
                <w:highlight w:val="none"/>
              </w:rPr>
              <w:t>分）</w:t>
            </w:r>
          </w:p>
        </w:tc>
        <w:tc>
          <w:tcPr>
            <w:tcW w:w="1910" w:type="dxa"/>
            <w:vAlign w:val="center"/>
          </w:tcPr>
          <w:p w14:paraId="756F9BC1">
            <w:pPr>
              <w:pStyle w:val="58"/>
              <w:keepNext w:val="0"/>
              <w:keepLines w:val="0"/>
              <w:pageBreakBefore w:val="0"/>
              <w:widowControl w:val="0"/>
              <w:tabs>
                <w:tab w:val="left" w:pos="635"/>
              </w:tabs>
              <w:kinsoku/>
              <w:wordWrap w:val="0"/>
              <w:overflowPunct/>
              <w:topLinePunct/>
              <w:bidi w:val="0"/>
              <w:adjustRightInd/>
              <w:snapToGrid/>
              <w:spacing w:line="240" w:lineRule="auto"/>
              <w:ind w:left="0" w:leftChars="0" w:right="0" w:rightChars="0" w:firstLine="0" w:firstLineChars="0"/>
              <w:jc w:val="center"/>
              <w:textAlignment w:val="auto"/>
              <w:rPr>
                <w:rFonts w:hint="eastAsia" w:ascii="华文仿宋" w:hAnsi="华文仿宋" w:eastAsia="华文仿宋" w:cs="华文仿宋"/>
                <w:b w:val="0"/>
                <w:bCs w:val="0"/>
                <w:color w:val="auto"/>
                <w:kern w:val="2"/>
                <w:sz w:val="21"/>
                <w:szCs w:val="21"/>
                <w:highlight w:val="none"/>
                <w:lang w:val="en-US" w:eastAsia="zh-CN" w:bidi="ar-SA"/>
              </w:rPr>
            </w:pPr>
            <w:r>
              <w:rPr>
                <w:rFonts w:hint="eastAsia" w:ascii="华文仿宋" w:hAnsi="华文仿宋" w:eastAsia="华文仿宋" w:cs="华文仿宋"/>
                <w:b w:val="0"/>
                <w:bCs w:val="0"/>
                <w:color w:val="auto"/>
                <w:kern w:val="2"/>
                <w:sz w:val="21"/>
                <w:szCs w:val="21"/>
                <w:highlight w:val="none"/>
                <w:lang w:val="en-US" w:eastAsia="zh-CN" w:bidi="ar-SA"/>
              </w:rPr>
              <w:t>企业业绩</w:t>
            </w:r>
          </w:p>
          <w:p w14:paraId="2F52D9F6">
            <w:pPr>
              <w:pStyle w:val="58"/>
              <w:keepNext w:val="0"/>
              <w:keepLines w:val="0"/>
              <w:pageBreakBefore w:val="0"/>
              <w:widowControl w:val="0"/>
              <w:tabs>
                <w:tab w:val="left" w:pos="635"/>
              </w:tabs>
              <w:kinsoku/>
              <w:wordWrap w:val="0"/>
              <w:overflowPunct/>
              <w:topLinePunct/>
              <w:bidi w:val="0"/>
              <w:adjustRightInd/>
              <w:snapToGrid/>
              <w:spacing w:line="240" w:lineRule="auto"/>
              <w:ind w:left="0" w:leftChars="0" w:right="0" w:rightChars="0" w:firstLine="0" w:firstLineChars="0"/>
              <w:jc w:val="center"/>
              <w:textAlignment w:val="auto"/>
              <w:rPr>
                <w:rFonts w:hint="eastAsia" w:ascii="华文仿宋" w:hAnsi="华文仿宋" w:eastAsia="华文仿宋" w:cs="华文仿宋"/>
                <w:b w:val="0"/>
                <w:bCs w:val="0"/>
                <w:color w:val="auto"/>
                <w:kern w:val="2"/>
                <w:sz w:val="21"/>
                <w:szCs w:val="21"/>
                <w:highlight w:val="none"/>
                <w:lang w:val="en-US" w:eastAsia="zh-CN" w:bidi="ar-SA"/>
              </w:rPr>
            </w:pPr>
            <w:r>
              <w:rPr>
                <w:rFonts w:hint="eastAsia" w:ascii="华文仿宋" w:hAnsi="华文仿宋" w:eastAsia="华文仿宋" w:cs="华文仿宋"/>
                <w:b w:val="0"/>
                <w:bCs w:val="0"/>
                <w:color w:val="auto"/>
                <w:kern w:val="2"/>
                <w:sz w:val="21"/>
                <w:szCs w:val="21"/>
                <w:highlight w:val="none"/>
                <w:lang w:val="en-US" w:eastAsia="zh-CN" w:bidi="ar-SA"/>
              </w:rPr>
              <w:t>（15分）</w:t>
            </w:r>
          </w:p>
        </w:tc>
        <w:tc>
          <w:tcPr>
            <w:tcW w:w="5772" w:type="dxa"/>
            <w:vAlign w:val="center"/>
          </w:tcPr>
          <w:p w14:paraId="56A2FE17">
            <w:pPr>
              <w:keepNext w:val="0"/>
              <w:keepLines w:val="0"/>
              <w:pageBreakBefore w:val="0"/>
              <w:widowControl w:val="0"/>
              <w:kinsoku/>
              <w:wordWrap w:val="0"/>
              <w:overflowPunct/>
              <w:topLinePunct/>
              <w:bidi w:val="0"/>
              <w:adjustRightInd/>
              <w:snapToGrid/>
              <w:spacing w:line="240" w:lineRule="auto"/>
              <w:ind w:left="0" w:leftChars="0" w:right="0" w:rightChars="0" w:firstLine="0" w:firstLineChars="0"/>
              <w:textAlignment w:val="auto"/>
              <w:rPr>
                <w:rFonts w:hint="eastAsia" w:ascii="华文仿宋" w:hAnsi="华文仿宋" w:eastAsia="华文仿宋" w:cs="华文仿宋"/>
                <w:b w:val="0"/>
                <w:bCs w:val="0"/>
                <w:color w:val="auto"/>
                <w:kern w:val="2"/>
                <w:sz w:val="21"/>
                <w:szCs w:val="21"/>
                <w:highlight w:val="none"/>
                <w:lang w:val="en-US" w:eastAsia="zh-CN" w:bidi="ar-SA"/>
              </w:rPr>
            </w:pPr>
            <w:r>
              <w:rPr>
                <w:rFonts w:hint="eastAsia" w:ascii="华文仿宋" w:hAnsi="华文仿宋" w:eastAsia="华文仿宋" w:cs="华文仿宋"/>
                <w:color w:val="auto"/>
                <w:spacing w:val="6"/>
              </w:rPr>
              <w:t>投标人自2022年1月1日（以合同签订时间为准）以来，承揽过类似项目（农、林业病虫害</w:t>
            </w:r>
            <w:r>
              <w:rPr>
                <w:rFonts w:hint="eastAsia" w:ascii="华文仿宋" w:hAnsi="华文仿宋" w:eastAsia="华文仿宋" w:cs="华文仿宋"/>
                <w:color w:val="auto"/>
                <w:spacing w:val="6"/>
                <w:lang w:val="en-US" w:eastAsia="zh-CN"/>
              </w:rPr>
              <w:t>等飞防</w:t>
            </w:r>
            <w:r>
              <w:rPr>
                <w:rFonts w:hint="eastAsia" w:ascii="华文仿宋" w:hAnsi="华文仿宋" w:eastAsia="华文仿宋" w:cs="华文仿宋"/>
                <w:color w:val="auto"/>
                <w:spacing w:val="6"/>
              </w:rPr>
              <w:t>业绩），每有一项业绩得3分，最多得15分。</w:t>
            </w:r>
            <w:r>
              <w:rPr>
                <w:rFonts w:hint="eastAsia" w:ascii="华文仿宋" w:hAnsi="华文仿宋" w:eastAsia="华文仿宋" w:cs="华文仿宋"/>
                <w:b/>
                <w:bCs/>
                <w:color w:val="auto"/>
                <w:spacing w:val="6"/>
              </w:rPr>
              <w:t>注：须提供项目合同和中标通知书扫描件，否则不得分。</w:t>
            </w:r>
          </w:p>
        </w:tc>
      </w:tr>
      <w:tr w14:paraId="7F23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vMerge w:val="continue"/>
            <w:vAlign w:val="center"/>
          </w:tcPr>
          <w:p w14:paraId="30E048BE">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p>
        </w:tc>
        <w:tc>
          <w:tcPr>
            <w:tcW w:w="999" w:type="dxa"/>
            <w:vMerge w:val="continue"/>
            <w:vAlign w:val="center"/>
          </w:tcPr>
          <w:p w14:paraId="32D1273B">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p>
        </w:tc>
        <w:tc>
          <w:tcPr>
            <w:tcW w:w="1910" w:type="dxa"/>
            <w:vAlign w:val="center"/>
          </w:tcPr>
          <w:p w14:paraId="1550C3B4">
            <w:pPr>
              <w:pStyle w:val="58"/>
              <w:keepNext w:val="0"/>
              <w:keepLines w:val="0"/>
              <w:pageBreakBefore w:val="0"/>
              <w:widowControl w:val="0"/>
              <w:tabs>
                <w:tab w:val="left" w:pos="635"/>
              </w:tabs>
              <w:kinsoku/>
              <w:wordWrap w:val="0"/>
              <w:overflowPunct/>
              <w:topLinePunct/>
              <w:bidi w:val="0"/>
              <w:adjustRightInd/>
              <w:snapToGrid/>
              <w:spacing w:line="240" w:lineRule="auto"/>
              <w:ind w:left="0" w:leftChars="0" w:right="0" w:rightChars="0" w:firstLine="0" w:firstLineChars="0"/>
              <w:jc w:val="center"/>
              <w:textAlignment w:val="auto"/>
              <w:rPr>
                <w:rFonts w:hint="eastAsia" w:ascii="华文仿宋" w:hAnsi="华文仿宋" w:eastAsia="华文仿宋" w:cs="华文仿宋"/>
                <w:b w:val="0"/>
                <w:bCs w:val="0"/>
                <w:color w:val="auto"/>
                <w:kern w:val="2"/>
                <w:sz w:val="21"/>
                <w:szCs w:val="21"/>
                <w:highlight w:val="none"/>
                <w:lang w:val="en-US" w:eastAsia="zh-CN" w:bidi="ar-SA"/>
              </w:rPr>
            </w:pPr>
            <w:r>
              <w:rPr>
                <w:rFonts w:hint="eastAsia" w:ascii="华文仿宋" w:hAnsi="华文仿宋" w:eastAsia="华文仿宋" w:cs="华文仿宋"/>
                <w:b w:val="0"/>
                <w:bCs w:val="0"/>
                <w:color w:val="auto"/>
                <w:kern w:val="2"/>
                <w:sz w:val="21"/>
                <w:szCs w:val="21"/>
                <w:highlight w:val="none"/>
                <w:lang w:val="en-US" w:eastAsia="zh-CN" w:bidi="ar-SA"/>
              </w:rPr>
              <w:t>企业荣誉</w:t>
            </w:r>
          </w:p>
          <w:p w14:paraId="0E40CE03">
            <w:pPr>
              <w:keepNext w:val="0"/>
              <w:keepLines w:val="0"/>
              <w:pageBreakBefore w:val="0"/>
              <w:widowControl w:val="0"/>
              <w:kinsoku/>
              <w:overflowPunct/>
              <w:bidi w:val="0"/>
              <w:adjustRightInd/>
              <w:snapToGrid/>
              <w:spacing w:line="240" w:lineRule="auto"/>
              <w:jc w:val="center"/>
              <w:textAlignment w:val="auto"/>
              <w:rPr>
                <w:rFonts w:hint="eastAsia" w:ascii="华文仿宋" w:hAnsi="华文仿宋" w:eastAsia="华文仿宋" w:cs="华文仿宋"/>
                <w:color w:val="auto"/>
                <w:spacing w:val="5"/>
              </w:rPr>
            </w:pPr>
            <w:r>
              <w:rPr>
                <w:rFonts w:hint="eastAsia" w:ascii="华文仿宋" w:hAnsi="华文仿宋" w:eastAsia="华文仿宋" w:cs="华文仿宋"/>
                <w:b w:val="0"/>
                <w:bCs w:val="0"/>
                <w:color w:val="auto"/>
                <w:kern w:val="2"/>
                <w:sz w:val="21"/>
                <w:szCs w:val="21"/>
                <w:highlight w:val="none"/>
                <w:lang w:val="en-US" w:eastAsia="zh-CN" w:bidi="ar-SA"/>
              </w:rPr>
              <w:t>（5分）</w:t>
            </w:r>
          </w:p>
        </w:tc>
        <w:tc>
          <w:tcPr>
            <w:tcW w:w="5772" w:type="dxa"/>
            <w:vAlign w:val="center"/>
          </w:tcPr>
          <w:p w14:paraId="27C889BA">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textAlignment w:val="auto"/>
              <w:rPr>
                <w:rFonts w:hint="eastAsia" w:ascii="华文仿宋" w:hAnsi="华文仿宋" w:eastAsia="华文仿宋" w:cs="华文仿宋"/>
                <w:color w:val="auto"/>
                <w:spacing w:val="13"/>
                <w:lang w:val="en-US" w:eastAsia="zh-CN"/>
              </w:rPr>
            </w:pPr>
            <w:r>
              <w:rPr>
                <w:rFonts w:hint="eastAsia" w:ascii="华文仿宋" w:hAnsi="华文仿宋" w:eastAsia="华文仿宋" w:cs="华文仿宋"/>
                <w:color w:val="auto"/>
                <w:spacing w:val="13"/>
                <w:lang w:val="en-US" w:eastAsia="zh-CN"/>
              </w:rPr>
              <w:t>具有</w:t>
            </w:r>
            <w:r>
              <w:rPr>
                <w:rFonts w:hint="eastAsia" w:ascii="华文仿宋" w:hAnsi="华文仿宋" w:eastAsia="华文仿宋" w:cs="华文仿宋"/>
                <w:color w:val="auto"/>
                <w:spacing w:val="13"/>
              </w:rPr>
              <w:t>河南省植保站办颁发的河南省专业化星级服务示范组织和植保优秀组织</w:t>
            </w:r>
            <w:r>
              <w:rPr>
                <w:rFonts w:hint="eastAsia" w:ascii="华文仿宋" w:hAnsi="华文仿宋" w:eastAsia="华文仿宋" w:cs="华文仿宋"/>
                <w:color w:val="auto"/>
                <w:spacing w:val="13"/>
                <w:lang w:eastAsia="zh-CN"/>
              </w:rPr>
              <w:t>，</w:t>
            </w:r>
            <w:r>
              <w:rPr>
                <w:rFonts w:hint="eastAsia" w:ascii="华文仿宋" w:hAnsi="华文仿宋" w:eastAsia="华文仿宋" w:cs="华文仿宋"/>
                <w:color w:val="auto"/>
                <w:spacing w:val="13"/>
                <w:lang w:val="en-US" w:eastAsia="zh-CN"/>
              </w:rPr>
              <w:t>3星级得5分，2星级得3分，1星级得1分，</w:t>
            </w:r>
            <w:r>
              <w:rPr>
                <w:rFonts w:hint="eastAsia" w:ascii="华文仿宋" w:hAnsi="华文仿宋" w:eastAsia="华文仿宋" w:cs="华文仿宋"/>
                <w:color w:val="auto"/>
                <w:spacing w:val="5"/>
              </w:rPr>
              <w:t>缺项不得分</w:t>
            </w:r>
            <w:r>
              <w:rPr>
                <w:rFonts w:hint="eastAsia" w:ascii="华文仿宋" w:hAnsi="华文仿宋" w:eastAsia="华文仿宋" w:cs="华文仿宋"/>
                <w:color w:val="auto"/>
                <w:spacing w:val="13"/>
                <w:lang w:val="en-US" w:eastAsia="zh-CN"/>
              </w:rPr>
              <w:t>。</w:t>
            </w:r>
          </w:p>
        </w:tc>
      </w:tr>
      <w:tr w14:paraId="62B0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vMerge w:val="continue"/>
            <w:vAlign w:val="center"/>
          </w:tcPr>
          <w:p w14:paraId="35184C48">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p>
        </w:tc>
        <w:tc>
          <w:tcPr>
            <w:tcW w:w="999" w:type="dxa"/>
            <w:vMerge w:val="continue"/>
            <w:vAlign w:val="center"/>
          </w:tcPr>
          <w:p w14:paraId="05DF07BD">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p>
        </w:tc>
        <w:tc>
          <w:tcPr>
            <w:tcW w:w="1910" w:type="dxa"/>
            <w:vAlign w:val="center"/>
          </w:tcPr>
          <w:p w14:paraId="76F59E51">
            <w:pPr>
              <w:keepNext w:val="0"/>
              <w:keepLines w:val="0"/>
              <w:pageBreakBefore w:val="0"/>
              <w:widowControl w:val="0"/>
              <w:kinsoku/>
              <w:overflowPunct/>
              <w:bidi w:val="0"/>
              <w:adjustRightInd/>
              <w:snapToGrid/>
              <w:spacing w:line="240" w:lineRule="auto"/>
              <w:jc w:val="center"/>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spacing w:val="5"/>
              </w:rPr>
              <w:t>应急预案（5</w:t>
            </w:r>
            <w:r>
              <w:rPr>
                <w:rFonts w:hint="eastAsia" w:ascii="华文仿宋" w:hAnsi="华文仿宋" w:eastAsia="华文仿宋" w:cs="华文仿宋"/>
                <w:color w:val="auto"/>
                <w:spacing w:val="-33"/>
              </w:rPr>
              <w:t xml:space="preserve"> </w:t>
            </w:r>
            <w:r>
              <w:rPr>
                <w:rFonts w:hint="eastAsia" w:ascii="华文仿宋" w:hAnsi="华文仿宋" w:eastAsia="华文仿宋" w:cs="华文仿宋"/>
                <w:color w:val="auto"/>
                <w:spacing w:val="5"/>
              </w:rPr>
              <w:t>分）</w:t>
            </w:r>
          </w:p>
        </w:tc>
        <w:tc>
          <w:tcPr>
            <w:tcW w:w="5772" w:type="dxa"/>
            <w:vAlign w:val="center"/>
          </w:tcPr>
          <w:p w14:paraId="628BD1CB">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spacing w:val="13"/>
              </w:rPr>
              <w:t>根据投标人对飞防过程中可能发生的突发事件是否制</w:t>
            </w:r>
            <w:r>
              <w:rPr>
                <w:rFonts w:hint="eastAsia" w:ascii="华文仿宋" w:hAnsi="华文仿宋" w:eastAsia="华文仿宋" w:cs="华文仿宋"/>
                <w:color w:val="auto"/>
              </w:rPr>
              <w:t xml:space="preserve"> </w:t>
            </w:r>
            <w:r>
              <w:rPr>
                <w:rFonts w:hint="eastAsia" w:ascii="华文仿宋" w:hAnsi="华文仿宋" w:eastAsia="华文仿宋" w:cs="华文仿宋"/>
                <w:color w:val="auto"/>
                <w:spacing w:val="13"/>
              </w:rPr>
              <w:t>定应急预案、应急预案是否完备，综合对比，优</w:t>
            </w:r>
            <w:r>
              <w:rPr>
                <w:rFonts w:hint="eastAsia" w:ascii="华文仿宋" w:hAnsi="华文仿宋" w:eastAsia="华文仿宋" w:cs="华文仿宋"/>
                <w:color w:val="auto"/>
                <w:spacing w:val="-18"/>
              </w:rPr>
              <w:t xml:space="preserve"> </w:t>
            </w:r>
            <w:r>
              <w:rPr>
                <w:rFonts w:hint="eastAsia" w:ascii="华文仿宋" w:hAnsi="华文仿宋" w:eastAsia="华文仿宋" w:cs="华文仿宋"/>
                <w:color w:val="auto"/>
                <w:spacing w:val="13"/>
              </w:rPr>
              <w:t>4-5</w:t>
            </w:r>
            <w:r>
              <w:rPr>
                <w:rFonts w:hint="eastAsia" w:ascii="华文仿宋" w:hAnsi="华文仿宋" w:eastAsia="华文仿宋" w:cs="华文仿宋"/>
                <w:color w:val="auto"/>
              </w:rPr>
              <w:t xml:space="preserve"> 分；</w:t>
            </w:r>
            <w:r>
              <w:rPr>
                <w:rFonts w:hint="eastAsia" w:ascii="华文仿宋" w:hAnsi="华文仿宋" w:eastAsia="华文仿宋" w:cs="华文仿宋"/>
                <w:color w:val="auto"/>
                <w:spacing w:val="-37"/>
              </w:rPr>
              <w:t xml:space="preserve"> </w:t>
            </w:r>
            <w:r>
              <w:rPr>
                <w:rFonts w:hint="eastAsia" w:ascii="华文仿宋" w:hAnsi="华文仿宋" w:eastAsia="华文仿宋" w:cs="华文仿宋"/>
                <w:color w:val="auto"/>
              </w:rPr>
              <w:t>良得</w:t>
            </w:r>
            <w:r>
              <w:rPr>
                <w:rFonts w:hint="eastAsia" w:ascii="华文仿宋" w:hAnsi="华文仿宋" w:eastAsia="华文仿宋" w:cs="华文仿宋"/>
                <w:color w:val="auto"/>
                <w:spacing w:val="-37"/>
              </w:rPr>
              <w:t xml:space="preserve"> </w:t>
            </w:r>
            <w:r>
              <w:rPr>
                <w:rFonts w:hint="eastAsia" w:ascii="华文仿宋" w:hAnsi="华文仿宋" w:eastAsia="华文仿宋" w:cs="华文仿宋"/>
                <w:color w:val="auto"/>
              </w:rPr>
              <w:t>2-3</w:t>
            </w:r>
            <w:r>
              <w:rPr>
                <w:rFonts w:hint="eastAsia" w:ascii="华文仿宋" w:hAnsi="华文仿宋" w:eastAsia="华文仿宋" w:cs="华文仿宋"/>
                <w:color w:val="auto"/>
                <w:spacing w:val="-36"/>
              </w:rPr>
              <w:t xml:space="preserve"> </w:t>
            </w:r>
            <w:r>
              <w:rPr>
                <w:rFonts w:hint="eastAsia" w:ascii="华文仿宋" w:hAnsi="华文仿宋" w:eastAsia="华文仿宋" w:cs="华文仿宋"/>
                <w:color w:val="auto"/>
              </w:rPr>
              <w:t>分；差得</w:t>
            </w:r>
            <w:r>
              <w:rPr>
                <w:rFonts w:hint="eastAsia" w:ascii="华文仿宋" w:hAnsi="华文仿宋" w:eastAsia="华文仿宋" w:cs="华文仿宋"/>
                <w:color w:val="auto"/>
                <w:spacing w:val="-37"/>
              </w:rPr>
              <w:t xml:space="preserve"> </w:t>
            </w:r>
            <w:r>
              <w:rPr>
                <w:rFonts w:hint="eastAsia" w:ascii="华文仿宋" w:hAnsi="华文仿宋" w:eastAsia="华文仿宋" w:cs="华文仿宋"/>
                <w:color w:val="auto"/>
              </w:rPr>
              <w:t>0-1</w:t>
            </w:r>
            <w:r>
              <w:rPr>
                <w:rFonts w:hint="eastAsia" w:ascii="华文仿宋" w:hAnsi="华文仿宋" w:eastAsia="华文仿宋" w:cs="华文仿宋"/>
                <w:color w:val="auto"/>
                <w:spacing w:val="-36"/>
              </w:rPr>
              <w:t xml:space="preserve"> </w:t>
            </w:r>
            <w:r>
              <w:rPr>
                <w:rFonts w:hint="eastAsia" w:ascii="华文仿宋" w:hAnsi="华文仿宋" w:eastAsia="华文仿宋" w:cs="华文仿宋"/>
                <w:color w:val="auto"/>
              </w:rPr>
              <w:t>分</w:t>
            </w:r>
          </w:p>
        </w:tc>
      </w:tr>
      <w:tr w14:paraId="58DF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Merge w:val="continue"/>
            <w:vAlign w:val="center"/>
          </w:tcPr>
          <w:p w14:paraId="1CE51E93">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p>
        </w:tc>
        <w:tc>
          <w:tcPr>
            <w:tcW w:w="999" w:type="dxa"/>
            <w:vMerge w:val="continue"/>
            <w:vAlign w:val="center"/>
          </w:tcPr>
          <w:p w14:paraId="2F429E59">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p>
        </w:tc>
        <w:tc>
          <w:tcPr>
            <w:tcW w:w="1910" w:type="dxa"/>
            <w:vAlign w:val="center"/>
          </w:tcPr>
          <w:p w14:paraId="47E688D5">
            <w:pPr>
              <w:pStyle w:val="58"/>
              <w:tabs>
                <w:tab w:val="left" w:pos="635"/>
              </w:tabs>
              <w:jc w:val="center"/>
              <w:rPr>
                <w:rFonts w:hint="eastAsia" w:ascii="华文仿宋" w:hAnsi="华文仿宋" w:eastAsia="华文仿宋" w:cs="华文仿宋"/>
                <w:color w:val="auto"/>
                <w:kern w:val="2"/>
                <w:sz w:val="21"/>
                <w:szCs w:val="24"/>
                <w:highlight w:val="none"/>
                <w:lang w:val="en-US" w:eastAsia="zh-CN" w:bidi="ar-SA"/>
              </w:rPr>
            </w:pPr>
            <w:r>
              <w:rPr>
                <w:rFonts w:hint="eastAsia" w:ascii="华文仿宋" w:hAnsi="华文仿宋" w:eastAsia="华文仿宋" w:cs="华文仿宋"/>
                <w:color w:val="auto"/>
                <w:spacing w:val="5"/>
              </w:rPr>
              <w:t>服务承诺(</w:t>
            </w:r>
            <w:r>
              <w:rPr>
                <w:rFonts w:hint="eastAsia" w:ascii="华文仿宋" w:hAnsi="华文仿宋" w:eastAsia="华文仿宋" w:cs="华文仿宋"/>
                <w:color w:val="auto"/>
                <w:spacing w:val="5"/>
                <w:lang w:val="en-US" w:eastAsia="zh-CN"/>
              </w:rPr>
              <w:t>5</w:t>
            </w:r>
            <w:r>
              <w:rPr>
                <w:rFonts w:hint="eastAsia" w:ascii="华文仿宋" w:hAnsi="华文仿宋" w:eastAsia="华文仿宋" w:cs="华文仿宋"/>
                <w:color w:val="auto"/>
                <w:spacing w:val="-34"/>
              </w:rPr>
              <w:t xml:space="preserve"> </w:t>
            </w:r>
            <w:r>
              <w:rPr>
                <w:rFonts w:hint="eastAsia" w:ascii="华文仿宋" w:hAnsi="华文仿宋" w:eastAsia="华文仿宋" w:cs="华文仿宋"/>
                <w:color w:val="auto"/>
                <w:spacing w:val="5"/>
              </w:rPr>
              <w:t>分)</w:t>
            </w:r>
          </w:p>
        </w:tc>
        <w:tc>
          <w:tcPr>
            <w:tcW w:w="5772" w:type="dxa"/>
            <w:vAlign w:val="center"/>
          </w:tcPr>
          <w:p w14:paraId="21CCFEDE">
            <w:pPr>
              <w:numPr>
                <w:ilvl w:val="0"/>
                <w:numId w:val="0"/>
              </w:numPr>
              <w:ind w:leftChars="0"/>
              <w:rPr>
                <w:rFonts w:hint="eastAsia" w:ascii="华文仿宋" w:hAnsi="华文仿宋" w:eastAsia="华文仿宋" w:cs="华文仿宋"/>
                <w:color w:val="auto"/>
                <w:kern w:val="2"/>
                <w:sz w:val="21"/>
                <w:szCs w:val="24"/>
                <w:highlight w:val="none"/>
                <w:lang w:val="en-US" w:eastAsia="zh-CN" w:bidi="ar-SA"/>
              </w:rPr>
            </w:pPr>
            <w:r>
              <w:rPr>
                <w:rFonts w:hint="eastAsia" w:ascii="华文仿宋" w:hAnsi="华文仿宋" w:eastAsia="华文仿宋" w:cs="华文仿宋"/>
                <w:color w:val="auto"/>
                <w:spacing w:val="13"/>
              </w:rPr>
              <w:t>根据供应商提供的服务承诺、响应时间、飞</w:t>
            </w:r>
            <w:r>
              <w:rPr>
                <w:rFonts w:hint="eastAsia" w:ascii="华文仿宋" w:hAnsi="华文仿宋" w:eastAsia="华文仿宋" w:cs="华文仿宋"/>
                <w:color w:val="auto"/>
                <w:spacing w:val="12"/>
              </w:rPr>
              <w:t>防施药后</w:t>
            </w:r>
            <w:r>
              <w:rPr>
                <w:rFonts w:hint="eastAsia" w:ascii="华文仿宋" w:hAnsi="华文仿宋" w:eastAsia="华文仿宋" w:cs="华文仿宋"/>
                <w:color w:val="auto"/>
              </w:rPr>
              <w:t xml:space="preserve"> </w:t>
            </w:r>
            <w:r>
              <w:rPr>
                <w:rFonts w:hint="eastAsia" w:ascii="华文仿宋" w:hAnsi="华文仿宋" w:eastAsia="华文仿宋" w:cs="华文仿宋"/>
                <w:color w:val="auto"/>
                <w:spacing w:val="3"/>
              </w:rPr>
              <w:t>期服务和优惠措施进行综合比较，优</w:t>
            </w:r>
            <w:r>
              <w:rPr>
                <w:rFonts w:hint="eastAsia" w:ascii="华文仿宋" w:hAnsi="华文仿宋" w:eastAsia="华文仿宋" w:cs="华文仿宋"/>
                <w:color w:val="auto"/>
                <w:spacing w:val="-40"/>
              </w:rPr>
              <w:t xml:space="preserve"> </w:t>
            </w:r>
            <w:r>
              <w:rPr>
                <w:rFonts w:hint="eastAsia" w:ascii="华文仿宋" w:hAnsi="华文仿宋" w:eastAsia="华文仿宋" w:cs="华文仿宋"/>
                <w:color w:val="auto"/>
                <w:spacing w:val="3"/>
                <w:lang w:val="en-US" w:eastAsia="zh-CN"/>
              </w:rPr>
              <w:t>3</w:t>
            </w:r>
            <w:r>
              <w:rPr>
                <w:rFonts w:hint="eastAsia" w:ascii="华文仿宋" w:hAnsi="华文仿宋" w:eastAsia="华文仿宋" w:cs="华文仿宋"/>
                <w:color w:val="auto"/>
                <w:spacing w:val="3"/>
              </w:rPr>
              <w:t>-</w:t>
            </w:r>
            <w:r>
              <w:rPr>
                <w:rFonts w:hint="eastAsia" w:ascii="华文仿宋" w:hAnsi="华文仿宋" w:eastAsia="华文仿宋" w:cs="华文仿宋"/>
                <w:color w:val="auto"/>
                <w:spacing w:val="3"/>
                <w:lang w:val="en-US" w:eastAsia="zh-CN"/>
              </w:rPr>
              <w:t>5</w:t>
            </w:r>
            <w:r>
              <w:rPr>
                <w:rFonts w:hint="eastAsia" w:ascii="华文仿宋" w:hAnsi="华文仿宋" w:eastAsia="华文仿宋" w:cs="华文仿宋"/>
                <w:color w:val="auto"/>
                <w:spacing w:val="3"/>
              </w:rPr>
              <w:t>分；良</w:t>
            </w:r>
            <w:r>
              <w:rPr>
                <w:rFonts w:hint="eastAsia" w:ascii="华文仿宋" w:hAnsi="华文仿宋" w:eastAsia="华文仿宋" w:cs="华文仿宋"/>
                <w:color w:val="auto"/>
                <w:spacing w:val="2"/>
              </w:rPr>
              <w:t>得</w:t>
            </w:r>
            <w:r>
              <w:rPr>
                <w:rFonts w:hint="eastAsia" w:ascii="华文仿宋" w:hAnsi="华文仿宋" w:eastAsia="华文仿宋" w:cs="华文仿宋"/>
                <w:color w:val="auto"/>
                <w:spacing w:val="-42"/>
                <w:lang w:val="en-US" w:eastAsia="zh-CN"/>
              </w:rPr>
              <w:t>1</w:t>
            </w:r>
            <w:r>
              <w:rPr>
                <w:rFonts w:hint="eastAsia" w:ascii="华文仿宋" w:hAnsi="华文仿宋" w:eastAsia="华文仿宋" w:cs="华文仿宋"/>
                <w:color w:val="auto"/>
                <w:spacing w:val="2"/>
              </w:rPr>
              <w:t>-</w:t>
            </w:r>
            <w:r>
              <w:rPr>
                <w:rFonts w:hint="eastAsia" w:ascii="华文仿宋" w:hAnsi="华文仿宋" w:eastAsia="华文仿宋" w:cs="华文仿宋"/>
                <w:color w:val="auto"/>
                <w:spacing w:val="2"/>
                <w:lang w:val="en-US" w:eastAsia="zh-CN"/>
              </w:rPr>
              <w:t>2</w:t>
            </w:r>
            <w:r>
              <w:rPr>
                <w:rFonts w:hint="eastAsia" w:ascii="华文仿宋" w:hAnsi="华文仿宋" w:eastAsia="华文仿宋" w:cs="华文仿宋"/>
                <w:color w:val="auto"/>
              </w:rPr>
              <w:t xml:space="preserve"> </w:t>
            </w:r>
            <w:r>
              <w:rPr>
                <w:rFonts w:hint="eastAsia" w:ascii="华文仿宋" w:hAnsi="华文仿宋" w:eastAsia="华文仿宋" w:cs="华文仿宋"/>
                <w:color w:val="auto"/>
                <w:spacing w:val="5"/>
              </w:rPr>
              <w:t>分；差得</w:t>
            </w:r>
            <w:r>
              <w:rPr>
                <w:rFonts w:hint="eastAsia" w:ascii="华文仿宋" w:hAnsi="华文仿宋" w:eastAsia="华文仿宋" w:cs="华文仿宋"/>
                <w:color w:val="auto"/>
                <w:spacing w:val="-15"/>
              </w:rPr>
              <w:t xml:space="preserve"> </w:t>
            </w:r>
            <w:r>
              <w:rPr>
                <w:rFonts w:hint="eastAsia" w:ascii="华文仿宋" w:hAnsi="华文仿宋" w:eastAsia="华文仿宋" w:cs="华文仿宋"/>
                <w:color w:val="auto"/>
                <w:spacing w:val="5"/>
                <w:lang w:val="en-US" w:eastAsia="zh-CN"/>
              </w:rPr>
              <w:t>0</w:t>
            </w:r>
            <w:r>
              <w:rPr>
                <w:rFonts w:hint="eastAsia" w:ascii="华文仿宋" w:hAnsi="华文仿宋" w:eastAsia="华文仿宋" w:cs="华文仿宋"/>
                <w:color w:val="auto"/>
                <w:spacing w:val="5"/>
              </w:rPr>
              <w:t>-</w:t>
            </w:r>
            <w:r>
              <w:rPr>
                <w:rFonts w:hint="eastAsia" w:ascii="华文仿宋" w:hAnsi="华文仿宋" w:eastAsia="华文仿宋" w:cs="华文仿宋"/>
                <w:color w:val="auto"/>
                <w:spacing w:val="5"/>
                <w:lang w:val="en-US" w:eastAsia="zh-CN"/>
              </w:rPr>
              <w:t>1</w:t>
            </w:r>
            <w:r>
              <w:rPr>
                <w:rFonts w:hint="eastAsia" w:ascii="华文仿宋" w:hAnsi="华文仿宋" w:eastAsia="华文仿宋" w:cs="华文仿宋"/>
                <w:color w:val="auto"/>
                <w:spacing w:val="5"/>
              </w:rPr>
              <w:t xml:space="preserve"> 分，缺项不得分</w:t>
            </w:r>
            <w:r>
              <w:rPr>
                <w:rFonts w:hint="eastAsia" w:ascii="华文仿宋" w:hAnsi="华文仿宋" w:eastAsia="华文仿宋" w:cs="华文仿宋"/>
                <w:color w:val="auto"/>
                <w:spacing w:val="5"/>
                <w:lang w:eastAsia="zh-CN"/>
              </w:rPr>
              <w:t>。</w:t>
            </w:r>
          </w:p>
        </w:tc>
      </w:tr>
      <w:tr w14:paraId="6130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vMerge w:val="continue"/>
            <w:vAlign w:val="center"/>
          </w:tcPr>
          <w:p w14:paraId="684912B2">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p>
        </w:tc>
        <w:tc>
          <w:tcPr>
            <w:tcW w:w="999" w:type="dxa"/>
            <w:vMerge w:val="continue"/>
            <w:vAlign w:val="center"/>
          </w:tcPr>
          <w:p w14:paraId="40180929">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p>
        </w:tc>
        <w:tc>
          <w:tcPr>
            <w:tcW w:w="1910" w:type="dxa"/>
            <w:vAlign w:val="center"/>
          </w:tcPr>
          <w:p w14:paraId="0494B8CD">
            <w:pPr>
              <w:spacing w:line="340" w:lineRule="exact"/>
              <w:jc w:val="center"/>
              <w:rPr>
                <w:rFonts w:hint="eastAsia" w:ascii="华文仿宋" w:hAnsi="华文仿宋" w:eastAsia="华文仿宋" w:cs="华文仿宋"/>
                <w:color w:val="auto"/>
                <w:spacing w:val="1"/>
                <w:kern w:val="2"/>
                <w:sz w:val="21"/>
                <w:szCs w:val="21"/>
                <w:lang w:val="en-US" w:eastAsia="zh-CN" w:bidi="ar-SA"/>
              </w:rPr>
            </w:pPr>
            <w:r>
              <w:rPr>
                <w:rFonts w:hint="eastAsia" w:ascii="华文仿宋" w:hAnsi="华文仿宋" w:eastAsia="华文仿宋" w:cs="华文仿宋"/>
                <w:color w:val="auto"/>
                <w:spacing w:val="7"/>
              </w:rPr>
              <w:t>响应文件编制情况</w:t>
            </w:r>
            <w:r>
              <w:rPr>
                <w:rFonts w:hint="eastAsia" w:ascii="华文仿宋" w:hAnsi="华文仿宋" w:eastAsia="华文仿宋" w:cs="华文仿宋"/>
                <w:color w:val="auto"/>
                <w:spacing w:val="1"/>
              </w:rPr>
              <w:t xml:space="preserve"> </w:t>
            </w:r>
            <w:r>
              <w:rPr>
                <w:rFonts w:hint="eastAsia" w:ascii="华文仿宋" w:hAnsi="华文仿宋" w:eastAsia="华文仿宋" w:cs="华文仿宋"/>
                <w:color w:val="auto"/>
                <w:spacing w:val="-2"/>
              </w:rPr>
              <w:t>（5</w:t>
            </w:r>
            <w:r>
              <w:rPr>
                <w:rFonts w:hint="eastAsia" w:ascii="华文仿宋" w:hAnsi="华文仿宋" w:eastAsia="华文仿宋" w:cs="华文仿宋"/>
                <w:color w:val="auto"/>
                <w:spacing w:val="-36"/>
              </w:rPr>
              <w:t xml:space="preserve"> </w:t>
            </w:r>
            <w:r>
              <w:rPr>
                <w:rFonts w:hint="eastAsia" w:ascii="华文仿宋" w:hAnsi="华文仿宋" w:eastAsia="华文仿宋" w:cs="华文仿宋"/>
                <w:color w:val="auto"/>
                <w:spacing w:val="-2"/>
              </w:rPr>
              <w:t>分）</w:t>
            </w:r>
          </w:p>
        </w:tc>
        <w:tc>
          <w:tcPr>
            <w:tcW w:w="5772" w:type="dxa"/>
            <w:vAlign w:val="center"/>
          </w:tcPr>
          <w:p w14:paraId="211983F3">
            <w:pPr>
              <w:spacing w:line="340" w:lineRule="exact"/>
              <w:jc w:val="both"/>
              <w:rPr>
                <w:rFonts w:hint="eastAsia" w:ascii="华文仿宋" w:hAnsi="华文仿宋" w:eastAsia="华文仿宋" w:cs="华文仿宋"/>
                <w:color w:val="auto"/>
                <w:lang w:val="en-US" w:eastAsia="zh-CN"/>
              </w:rPr>
            </w:pPr>
            <w:r>
              <w:rPr>
                <w:rFonts w:hint="eastAsia" w:ascii="华文仿宋" w:hAnsi="华文仿宋" w:eastAsia="华文仿宋" w:cs="华文仿宋"/>
                <w:color w:val="auto"/>
                <w:spacing w:val="10"/>
              </w:rPr>
              <w:t>评委根据响应文件编制的详实、合理、符合性及响应</w:t>
            </w:r>
            <w:r>
              <w:rPr>
                <w:rFonts w:hint="eastAsia" w:ascii="华文仿宋" w:hAnsi="华文仿宋" w:eastAsia="华文仿宋" w:cs="华文仿宋"/>
                <w:color w:val="auto"/>
                <w:spacing w:val="16"/>
              </w:rPr>
              <w:t xml:space="preserve"> </w:t>
            </w:r>
            <w:r>
              <w:rPr>
                <w:rFonts w:hint="eastAsia" w:ascii="华文仿宋" w:hAnsi="华文仿宋" w:eastAsia="华文仿宋" w:cs="华文仿宋"/>
                <w:color w:val="auto"/>
                <w:spacing w:val="3"/>
              </w:rPr>
              <w:t>程度等综合印象对各供应商进行综合评价，优</w:t>
            </w:r>
            <w:r>
              <w:rPr>
                <w:rFonts w:hint="eastAsia" w:ascii="华文仿宋" w:hAnsi="华文仿宋" w:eastAsia="华文仿宋" w:cs="华文仿宋"/>
                <w:color w:val="auto"/>
                <w:spacing w:val="-40"/>
              </w:rPr>
              <w:t xml:space="preserve"> </w:t>
            </w:r>
            <w:r>
              <w:rPr>
                <w:rFonts w:hint="eastAsia" w:ascii="华文仿宋" w:hAnsi="华文仿宋" w:eastAsia="华文仿宋" w:cs="华文仿宋"/>
                <w:color w:val="auto"/>
                <w:spacing w:val="3"/>
              </w:rPr>
              <w:t>4-5</w:t>
            </w:r>
            <w:r>
              <w:rPr>
                <w:rFonts w:hint="eastAsia" w:ascii="华文仿宋" w:hAnsi="华文仿宋" w:eastAsia="华文仿宋" w:cs="华文仿宋"/>
                <w:color w:val="auto"/>
                <w:spacing w:val="-36"/>
              </w:rPr>
              <w:t xml:space="preserve"> </w:t>
            </w:r>
            <w:r>
              <w:rPr>
                <w:rFonts w:hint="eastAsia" w:ascii="华文仿宋" w:hAnsi="华文仿宋" w:eastAsia="华文仿宋" w:cs="华文仿宋"/>
                <w:color w:val="auto"/>
                <w:spacing w:val="3"/>
              </w:rPr>
              <w:t>分；</w:t>
            </w:r>
            <w:r>
              <w:rPr>
                <w:rFonts w:hint="eastAsia" w:ascii="华文仿宋" w:hAnsi="华文仿宋" w:eastAsia="华文仿宋" w:cs="华文仿宋"/>
                <w:color w:val="auto"/>
              </w:rPr>
              <w:t xml:space="preserve"> </w:t>
            </w:r>
            <w:r>
              <w:rPr>
                <w:rFonts w:hint="eastAsia" w:ascii="华文仿宋" w:hAnsi="华文仿宋" w:eastAsia="华文仿宋" w:cs="华文仿宋"/>
                <w:color w:val="auto"/>
                <w:spacing w:val="2"/>
              </w:rPr>
              <w:t>良得</w:t>
            </w:r>
            <w:r>
              <w:rPr>
                <w:rFonts w:hint="eastAsia" w:ascii="华文仿宋" w:hAnsi="华文仿宋" w:eastAsia="华文仿宋" w:cs="华文仿宋"/>
                <w:color w:val="auto"/>
                <w:spacing w:val="-37"/>
              </w:rPr>
              <w:t xml:space="preserve"> </w:t>
            </w:r>
            <w:r>
              <w:rPr>
                <w:rFonts w:hint="eastAsia" w:ascii="华文仿宋" w:hAnsi="华文仿宋" w:eastAsia="华文仿宋" w:cs="华文仿宋"/>
                <w:color w:val="auto"/>
                <w:spacing w:val="2"/>
              </w:rPr>
              <w:t>2-3</w:t>
            </w:r>
            <w:r>
              <w:rPr>
                <w:rFonts w:hint="eastAsia" w:ascii="华文仿宋" w:hAnsi="华文仿宋" w:eastAsia="华文仿宋" w:cs="华文仿宋"/>
                <w:color w:val="auto"/>
                <w:spacing w:val="-36"/>
              </w:rPr>
              <w:t xml:space="preserve"> </w:t>
            </w:r>
            <w:r>
              <w:rPr>
                <w:rFonts w:hint="eastAsia" w:ascii="华文仿宋" w:hAnsi="华文仿宋" w:eastAsia="华文仿宋" w:cs="华文仿宋"/>
                <w:color w:val="auto"/>
                <w:spacing w:val="2"/>
              </w:rPr>
              <w:t>分；差得</w:t>
            </w:r>
            <w:r>
              <w:rPr>
                <w:rFonts w:hint="eastAsia" w:ascii="华文仿宋" w:hAnsi="华文仿宋" w:eastAsia="华文仿宋" w:cs="华文仿宋"/>
                <w:color w:val="auto"/>
                <w:spacing w:val="-39"/>
              </w:rPr>
              <w:t xml:space="preserve"> </w:t>
            </w:r>
            <w:r>
              <w:rPr>
                <w:rFonts w:hint="eastAsia" w:ascii="华文仿宋" w:hAnsi="华文仿宋" w:eastAsia="华文仿宋" w:cs="华文仿宋"/>
                <w:color w:val="auto"/>
                <w:spacing w:val="2"/>
              </w:rPr>
              <w:t>0-1</w:t>
            </w:r>
            <w:r>
              <w:rPr>
                <w:rFonts w:hint="eastAsia" w:ascii="华文仿宋" w:hAnsi="华文仿宋" w:eastAsia="华文仿宋" w:cs="华文仿宋"/>
                <w:color w:val="auto"/>
                <w:spacing w:val="-36"/>
              </w:rPr>
              <w:t xml:space="preserve"> </w:t>
            </w:r>
            <w:r>
              <w:rPr>
                <w:rFonts w:hint="eastAsia" w:ascii="华文仿宋" w:hAnsi="华文仿宋" w:eastAsia="华文仿宋" w:cs="华文仿宋"/>
                <w:color w:val="auto"/>
                <w:spacing w:val="2"/>
              </w:rPr>
              <w:t>分</w:t>
            </w:r>
          </w:p>
        </w:tc>
      </w:tr>
      <w:tr w14:paraId="3898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vMerge w:val="continue"/>
            <w:vAlign w:val="center"/>
          </w:tcPr>
          <w:p w14:paraId="65AFD8CC">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p>
        </w:tc>
        <w:tc>
          <w:tcPr>
            <w:tcW w:w="999" w:type="dxa"/>
            <w:vMerge w:val="continue"/>
            <w:vAlign w:val="center"/>
          </w:tcPr>
          <w:p w14:paraId="6B513769">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华文仿宋" w:hAnsi="华文仿宋" w:eastAsia="华文仿宋" w:cs="华文仿宋"/>
                <w:color w:val="auto"/>
                <w:sz w:val="21"/>
                <w:szCs w:val="21"/>
                <w:highlight w:val="none"/>
              </w:rPr>
            </w:pPr>
          </w:p>
        </w:tc>
        <w:tc>
          <w:tcPr>
            <w:tcW w:w="1910" w:type="dxa"/>
            <w:vAlign w:val="center"/>
          </w:tcPr>
          <w:p w14:paraId="7D535D0D">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spacing w:val="5"/>
              </w:rPr>
              <w:t>人员配置（1</w:t>
            </w:r>
            <w:r>
              <w:rPr>
                <w:rFonts w:hint="eastAsia" w:ascii="华文仿宋" w:hAnsi="华文仿宋" w:eastAsia="华文仿宋" w:cs="华文仿宋"/>
                <w:color w:val="auto"/>
                <w:spacing w:val="5"/>
                <w:lang w:val="en-US" w:eastAsia="zh-CN"/>
              </w:rPr>
              <w:t>0</w:t>
            </w:r>
            <w:r>
              <w:rPr>
                <w:rFonts w:hint="eastAsia" w:ascii="华文仿宋" w:hAnsi="华文仿宋" w:eastAsia="华文仿宋" w:cs="华文仿宋"/>
                <w:color w:val="auto"/>
                <w:spacing w:val="-37"/>
              </w:rPr>
              <w:t xml:space="preserve"> </w:t>
            </w:r>
            <w:r>
              <w:rPr>
                <w:rFonts w:hint="eastAsia" w:ascii="华文仿宋" w:hAnsi="华文仿宋" w:eastAsia="华文仿宋" w:cs="华文仿宋"/>
                <w:color w:val="auto"/>
                <w:spacing w:val="5"/>
              </w:rPr>
              <w:t>分）</w:t>
            </w:r>
          </w:p>
        </w:tc>
        <w:tc>
          <w:tcPr>
            <w:tcW w:w="5772" w:type="dxa"/>
            <w:vAlign w:val="center"/>
          </w:tcPr>
          <w:p w14:paraId="52AA378A">
            <w:pPr>
              <w:pStyle w:val="74"/>
              <w:spacing w:before="138" w:line="355" w:lineRule="auto"/>
              <w:ind w:left="9" w:right="102" w:firstLine="5"/>
              <w:rPr>
                <w:rFonts w:hint="eastAsia" w:ascii="华文仿宋" w:hAnsi="华文仿宋" w:eastAsia="华文仿宋" w:cs="华文仿宋"/>
                <w:color w:val="auto"/>
              </w:rPr>
            </w:pPr>
            <w:r>
              <w:rPr>
                <w:rFonts w:hint="eastAsia" w:ascii="华文仿宋" w:hAnsi="华文仿宋" w:eastAsia="华文仿宋" w:cs="华文仿宋"/>
                <w:color w:val="auto"/>
                <w:spacing w:val="5"/>
              </w:rPr>
              <w:t>飞行员：投标人每提供</w:t>
            </w:r>
            <w:r>
              <w:rPr>
                <w:rFonts w:hint="eastAsia" w:ascii="华文仿宋" w:hAnsi="华文仿宋" w:eastAsia="华文仿宋" w:cs="华文仿宋"/>
                <w:color w:val="auto"/>
                <w:spacing w:val="-18"/>
              </w:rPr>
              <w:t xml:space="preserve"> </w:t>
            </w:r>
            <w:r>
              <w:rPr>
                <w:rFonts w:hint="eastAsia" w:ascii="华文仿宋" w:hAnsi="华文仿宋" w:eastAsia="华文仿宋" w:cs="华文仿宋"/>
                <w:color w:val="auto"/>
                <w:spacing w:val="5"/>
              </w:rPr>
              <w:t>1</w:t>
            </w:r>
            <w:r>
              <w:rPr>
                <w:rFonts w:hint="eastAsia" w:ascii="华文仿宋" w:hAnsi="华文仿宋" w:eastAsia="华文仿宋" w:cs="华文仿宋"/>
                <w:color w:val="auto"/>
                <w:spacing w:val="-38"/>
              </w:rPr>
              <w:t xml:space="preserve"> </w:t>
            </w:r>
            <w:r>
              <w:rPr>
                <w:rFonts w:hint="eastAsia" w:ascii="华文仿宋" w:hAnsi="华文仿宋" w:eastAsia="华文仿宋" w:cs="华文仿宋"/>
                <w:color w:val="auto"/>
                <w:spacing w:val="5"/>
              </w:rPr>
              <w:t>名飞行员执照得</w:t>
            </w:r>
            <w:r>
              <w:rPr>
                <w:rFonts w:hint="eastAsia" w:ascii="华文仿宋" w:hAnsi="华文仿宋" w:eastAsia="华文仿宋" w:cs="华文仿宋"/>
                <w:color w:val="auto"/>
                <w:spacing w:val="-32"/>
                <w:lang w:val="en-US" w:eastAsia="zh-CN"/>
              </w:rPr>
              <w:t>2</w:t>
            </w:r>
            <w:r>
              <w:rPr>
                <w:rFonts w:hint="eastAsia" w:ascii="华文仿宋" w:hAnsi="华文仿宋" w:eastAsia="华文仿宋" w:cs="华文仿宋"/>
                <w:color w:val="auto"/>
                <w:spacing w:val="-38"/>
              </w:rPr>
              <w:t xml:space="preserve"> </w:t>
            </w:r>
            <w:r>
              <w:rPr>
                <w:rFonts w:hint="eastAsia" w:ascii="华文仿宋" w:hAnsi="华文仿宋" w:eastAsia="华文仿宋" w:cs="华文仿宋"/>
                <w:color w:val="auto"/>
                <w:spacing w:val="5"/>
              </w:rPr>
              <w:t>分，最多</w:t>
            </w:r>
            <w:r>
              <w:rPr>
                <w:rFonts w:hint="eastAsia" w:ascii="华文仿宋" w:hAnsi="华文仿宋" w:eastAsia="华文仿宋" w:cs="华文仿宋"/>
                <w:color w:val="auto"/>
                <w:spacing w:val="-4"/>
              </w:rPr>
              <w:t>得</w:t>
            </w:r>
            <w:r>
              <w:rPr>
                <w:rFonts w:hint="eastAsia" w:ascii="华文仿宋" w:hAnsi="华文仿宋" w:eastAsia="华文仿宋" w:cs="华文仿宋"/>
                <w:color w:val="auto"/>
                <w:spacing w:val="-20"/>
              </w:rPr>
              <w:t xml:space="preserve"> </w:t>
            </w:r>
            <w:r>
              <w:rPr>
                <w:rFonts w:hint="eastAsia" w:ascii="华文仿宋" w:hAnsi="华文仿宋" w:eastAsia="华文仿宋" w:cs="华文仿宋"/>
                <w:color w:val="auto"/>
                <w:spacing w:val="-4"/>
                <w:lang w:val="en-US" w:eastAsia="zh-CN"/>
              </w:rPr>
              <w:t>8</w:t>
            </w:r>
            <w:r>
              <w:rPr>
                <w:rFonts w:hint="eastAsia" w:ascii="华文仿宋" w:hAnsi="华文仿宋" w:eastAsia="华文仿宋" w:cs="华文仿宋"/>
                <w:color w:val="auto"/>
                <w:spacing w:val="-38"/>
              </w:rPr>
              <w:t xml:space="preserve"> </w:t>
            </w:r>
            <w:r>
              <w:rPr>
                <w:rFonts w:hint="eastAsia" w:ascii="华文仿宋" w:hAnsi="华文仿宋" w:eastAsia="华文仿宋" w:cs="华文仿宋"/>
                <w:color w:val="auto"/>
                <w:spacing w:val="-4"/>
              </w:rPr>
              <w:t>分。</w:t>
            </w:r>
          </w:p>
          <w:p w14:paraId="54921E40">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spacing w:val="6"/>
              </w:rPr>
              <w:t>飞行维护人员：投标人每提供</w:t>
            </w:r>
            <w:r>
              <w:rPr>
                <w:rFonts w:hint="eastAsia" w:ascii="华文仿宋" w:hAnsi="华文仿宋" w:eastAsia="华文仿宋" w:cs="华文仿宋"/>
                <w:color w:val="auto"/>
                <w:spacing w:val="-11"/>
              </w:rPr>
              <w:t xml:space="preserve"> </w:t>
            </w:r>
            <w:r>
              <w:rPr>
                <w:rFonts w:hint="eastAsia" w:ascii="华文仿宋" w:hAnsi="华文仿宋" w:eastAsia="华文仿宋" w:cs="华文仿宋"/>
                <w:color w:val="auto"/>
                <w:spacing w:val="6"/>
              </w:rPr>
              <w:t>1</w:t>
            </w:r>
            <w:r>
              <w:rPr>
                <w:rFonts w:hint="eastAsia" w:ascii="华文仿宋" w:hAnsi="华文仿宋" w:eastAsia="华文仿宋" w:cs="华文仿宋"/>
                <w:color w:val="auto"/>
                <w:spacing w:val="-38"/>
              </w:rPr>
              <w:t xml:space="preserve"> </w:t>
            </w:r>
            <w:r>
              <w:rPr>
                <w:rFonts w:hint="eastAsia" w:ascii="华文仿宋" w:hAnsi="华文仿宋" w:eastAsia="华文仿宋" w:cs="华文仿宋"/>
                <w:color w:val="auto"/>
                <w:spacing w:val="6"/>
              </w:rPr>
              <w:t>份飞机维修执照，得</w:t>
            </w:r>
            <w:r>
              <w:rPr>
                <w:rFonts w:hint="eastAsia" w:ascii="华文仿宋" w:hAnsi="华文仿宋" w:eastAsia="华文仿宋" w:cs="华文仿宋"/>
                <w:color w:val="auto"/>
              </w:rPr>
              <w:t xml:space="preserve"> </w:t>
            </w:r>
            <w:r>
              <w:rPr>
                <w:rFonts w:hint="eastAsia" w:ascii="华文仿宋" w:hAnsi="华文仿宋" w:eastAsia="华文仿宋" w:cs="华文仿宋"/>
                <w:color w:val="auto"/>
                <w:spacing w:val="1"/>
              </w:rPr>
              <w:t>1</w:t>
            </w:r>
            <w:r>
              <w:rPr>
                <w:rFonts w:hint="eastAsia" w:ascii="华文仿宋" w:hAnsi="华文仿宋" w:eastAsia="华文仿宋" w:cs="华文仿宋"/>
                <w:color w:val="auto"/>
                <w:spacing w:val="-38"/>
              </w:rPr>
              <w:t xml:space="preserve"> </w:t>
            </w:r>
            <w:r>
              <w:rPr>
                <w:rFonts w:hint="eastAsia" w:ascii="华文仿宋" w:hAnsi="华文仿宋" w:eastAsia="华文仿宋" w:cs="华文仿宋"/>
                <w:color w:val="auto"/>
                <w:spacing w:val="1"/>
              </w:rPr>
              <w:t>分，最多得</w:t>
            </w:r>
            <w:r>
              <w:rPr>
                <w:rFonts w:hint="eastAsia" w:ascii="华文仿宋" w:hAnsi="华文仿宋" w:eastAsia="华文仿宋" w:cs="华文仿宋"/>
                <w:color w:val="auto"/>
                <w:spacing w:val="-33"/>
              </w:rPr>
              <w:t xml:space="preserve"> </w:t>
            </w:r>
            <w:r>
              <w:rPr>
                <w:rFonts w:hint="eastAsia" w:ascii="华文仿宋" w:hAnsi="华文仿宋" w:eastAsia="华文仿宋" w:cs="华文仿宋"/>
                <w:color w:val="auto"/>
                <w:spacing w:val="1"/>
                <w:lang w:val="en-US" w:eastAsia="zh-CN"/>
              </w:rPr>
              <w:t>2</w:t>
            </w:r>
            <w:r>
              <w:rPr>
                <w:rFonts w:hint="eastAsia" w:ascii="华文仿宋" w:hAnsi="华文仿宋" w:eastAsia="华文仿宋" w:cs="华文仿宋"/>
                <w:color w:val="auto"/>
                <w:spacing w:val="-38"/>
              </w:rPr>
              <w:t xml:space="preserve"> </w:t>
            </w:r>
            <w:r>
              <w:rPr>
                <w:rFonts w:hint="eastAsia" w:ascii="华文仿宋" w:hAnsi="华文仿宋" w:eastAsia="华文仿宋" w:cs="华文仿宋"/>
                <w:color w:val="auto"/>
                <w:spacing w:val="1"/>
              </w:rPr>
              <w:t>分。</w:t>
            </w:r>
          </w:p>
        </w:tc>
      </w:tr>
      <w:tr w14:paraId="0540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38" w:type="dxa"/>
            <w:gridSpan w:val="4"/>
            <w:vAlign w:val="center"/>
          </w:tcPr>
          <w:p w14:paraId="2EFEF4B2">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rPr>
                <w:rFonts w:hint="eastAsia" w:ascii="华文仿宋" w:hAnsi="华文仿宋" w:eastAsia="华文仿宋" w:cs="华文仿宋"/>
                <w:color w:val="auto"/>
                <w:spacing w:val="6"/>
              </w:rPr>
            </w:pPr>
            <w:r>
              <w:rPr>
                <w:rFonts w:hint="eastAsia" w:ascii="华文仿宋" w:hAnsi="华文仿宋" w:eastAsia="华文仿宋" w:cs="华文仿宋"/>
                <w:color w:val="auto"/>
                <w:spacing w:val="6"/>
              </w:rPr>
              <w:t>以上内容若缺项的不得分。</w:t>
            </w:r>
          </w:p>
        </w:tc>
      </w:tr>
      <w:tr w14:paraId="22E4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38" w:type="dxa"/>
            <w:gridSpan w:val="4"/>
            <w:vAlign w:val="center"/>
          </w:tcPr>
          <w:p w14:paraId="389458C0">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textAlignment w:val="auto"/>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bCs/>
                <w:color w:val="auto"/>
                <w:kern w:val="0"/>
                <w:szCs w:val="21"/>
                <w:highlight w:val="none"/>
              </w:rPr>
              <w:t>注：以上评分标准，涉及主观打分内容：“优”为内容全面详实、合理、可行；“良”为内容相较全面、相较合理、相较可行；“一般”为内容不全面、合理性差、可行性差；“差”为内容不全面且不符合实际情况、不合理、不可行。磋商小组根据供应商响应的具体内容横向比较进行打分。</w:t>
            </w:r>
          </w:p>
        </w:tc>
      </w:tr>
    </w:tbl>
    <w:p w14:paraId="79F6A6A7">
      <w:pPr>
        <w:pStyle w:val="19"/>
        <w:rPr>
          <w:rFonts w:hint="eastAsia" w:ascii="华文仿宋" w:hAnsi="华文仿宋" w:eastAsia="华文仿宋" w:cs="华文仿宋"/>
          <w:color w:val="auto"/>
        </w:rPr>
      </w:pPr>
    </w:p>
    <w:p w14:paraId="3EB88589">
      <w:pPr>
        <w:keepNext w:val="0"/>
        <w:keepLines w:val="0"/>
        <w:pageBreakBefore w:val="0"/>
        <w:widowControl w:val="0"/>
        <w:numPr>
          <w:ilvl w:val="0"/>
          <w:numId w:val="3"/>
        </w:numPr>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b/>
          <w:bCs/>
          <w:color w:val="auto"/>
          <w:sz w:val="21"/>
          <w:szCs w:val="21"/>
          <w:highlight w:val="none"/>
        </w:rPr>
      </w:pPr>
      <w:bookmarkStart w:id="706" w:name="_Toc22705"/>
      <w:r>
        <w:rPr>
          <w:rFonts w:hint="eastAsia" w:ascii="华文仿宋" w:hAnsi="华文仿宋" w:eastAsia="华文仿宋" w:cs="华文仿宋"/>
          <w:b/>
          <w:bCs/>
          <w:color w:val="auto"/>
          <w:sz w:val="21"/>
          <w:szCs w:val="21"/>
          <w:highlight w:val="none"/>
        </w:rPr>
        <w:t>评审方法</w:t>
      </w:r>
      <w:bookmarkEnd w:id="706"/>
    </w:p>
    <w:p w14:paraId="29548DA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kern w:val="0"/>
          <w:sz w:val="21"/>
          <w:szCs w:val="21"/>
          <w:highlight w:val="none"/>
        </w:rPr>
      </w:pPr>
      <w:r>
        <w:rPr>
          <w:rFonts w:hint="eastAsia" w:ascii="华文仿宋" w:hAnsi="华文仿宋" w:eastAsia="华文仿宋" w:cs="华文仿宋"/>
          <w:color w:val="auto"/>
          <w:sz w:val="21"/>
          <w:szCs w:val="21"/>
          <w:highlight w:val="none"/>
          <w:lang w:bidi="en-US"/>
        </w:rPr>
        <w:t>本次评审采用综合评分法。磋商小组对满足</w:t>
      </w:r>
      <w:r>
        <w:rPr>
          <w:rFonts w:hint="eastAsia" w:ascii="华文仿宋" w:hAnsi="华文仿宋" w:eastAsia="华文仿宋" w:cs="华文仿宋"/>
          <w:color w:val="auto"/>
          <w:sz w:val="21"/>
          <w:szCs w:val="21"/>
          <w:highlight w:val="none"/>
          <w:lang w:eastAsia="zh-CN" w:bidi="en-US"/>
        </w:rPr>
        <w:t>竞争性磋商文件</w:t>
      </w:r>
      <w:r>
        <w:rPr>
          <w:rFonts w:hint="eastAsia" w:ascii="华文仿宋" w:hAnsi="华文仿宋" w:eastAsia="华文仿宋" w:cs="华文仿宋"/>
          <w:color w:val="auto"/>
          <w:sz w:val="21"/>
          <w:szCs w:val="21"/>
          <w:highlight w:val="none"/>
          <w:lang w:bidi="en-US"/>
        </w:rPr>
        <w:t>实质性要求的响应文件</w:t>
      </w:r>
      <w:r>
        <w:rPr>
          <w:rFonts w:hint="eastAsia" w:ascii="华文仿宋" w:hAnsi="华文仿宋" w:eastAsia="华文仿宋" w:cs="华文仿宋"/>
          <w:color w:val="auto"/>
          <w:sz w:val="21"/>
          <w:szCs w:val="21"/>
          <w:highlight w:val="none"/>
        </w:rPr>
        <w:t>，按照本章规定的评分标准进行打分，并按得分由高到低顺序推荐成交候选人，</w:t>
      </w:r>
      <w:r>
        <w:rPr>
          <w:rFonts w:hint="eastAsia" w:ascii="华文仿宋" w:hAnsi="华文仿宋" w:eastAsia="华文仿宋" w:cs="华文仿宋"/>
          <w:color w:val="auto"/>
          <w:kern w:val="0"/>
          <w:sz w:val="21"/>
          <w:szCs w:val="21"/>
          <w:highlight w:val="none"/>
        </w:rPr>
        <w:t>综合评分相等时，以报价得分高的优先；报价得分也相等的，由采购人自行确定。</w:t>
      </w:r>
      <w:bookmarkStart w:id="707" w:name="_Toc29362"/>
      <w:bookmarkStart w:id="708" w:name="_Toc455080157"/>
      <w:bookmarkStart w:id="709" w:name="_Toc24936"/>
      <w:bookmarkStart w:id="710" w:name="_Toc318450723"/>
      <w:bookmarkStart w:id="711" w:name="_Toc152042378"/>
      <w:bookmarkStart w:id="712" w:name="_Toc144974568"/>
      <w:bookmarkStart w:id="713" w:name="_Toc466298140"/>
      <w:bookmarkStart w:id="714" w:name="_Toc152045601"/>
      <w:bookmarkStart w:id="715" w:name="_Toc6612"/>
      <w:bookmarkStart w:id="716" w:name="_Toc490667876"/>
      <w:bookmarkStart w:id="717" w:name="_Toc281405529"/>
      <w:bookmarkStart w:id="718" w:name="_Toc20837"/>
      <w:bookmarkStart w:id="719" w:name="_Toc455867817"/>
      <w:bookmarkStart w:id="720" w:name="_Toc26131"/>
    </w:p>
    <w:p w14:paraId="30053EEB">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kern w:val="0"/>
          <w:sz w:val="21"/>
          <w:szCs w:val="21"/>
          <w:highlight w:val="none"/>
          <w:lang w:val="en-US" w:eastAsia="zh-CN"/>
        </w:rPr>
        <w:t xml:space="preserve">    </w:t>
      </w:r>
      <w:r>
        <w:rPr>
          <w:rFonts w:hint="eastAsia" w:ascii="华文仿宋" w:hAnsi="华文仿宋" w:eastAsia="华文仿宋" w:cs="华文仿宋"/>
          <w:color w:val="auto"/>
          <w:sz w:val="21"/>
          <w:szCs w:val="21"/>
          <w:highlight w:val="none"/>
        </w:rPr>
        <w:t>经评标委员会初步评审后有效投标不足3个的，评标委员会应予废标。</w:t>
      </w:r>
    </w:p>
    <w:p w14:paraId="45FDA57A">
      <w:pPr>
        <w:keepNext w:val="0"/>
        <w:keepLines w:val="0"/>
        <w:pageBreakBefore w:val="0"/>
        <w:widowControl w:val="0"/>
        <w:numPr>
          <w:ilvl w:val="0"/>
          <w:numId w:val="3"/>
        </w:numPr>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rPr>
        <w:t>评审标准</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Start w:id="721" w:name="_Toc466298141"/>
      <w:bookmarkStart w:id="722" w:name="_Toc6711"/>
      <w:bookmarkStart w:id="723" w:name="_Toc455867818"/>
      <w:bookmarkStart w:id="724" w:name="_Toc24558"/>
      <w:bookmarkStart w:id="725" w:name="_Toc281405530"/>
      <w:bookmarkStart w:id="726" w:name="_Toc25637"/>
      <w:bookmarkStart w:id="727" w:name="_Toc318450724"/>
      <w:bookmarkStart w:id="728" w:name="_Toc19934"/>
      <w:bookmarkStart w:id="729" w:name="_Toc455080158"/>
      <w:bookmarkStart w:id="730" w:name="_Toc144974569"/>
      <w:bookmarkStart w:id="731" w:name="_Toc11223"/>
      <w:bookmarkStart w:id="732" w:name="_Toc2867"/>
      <w:bookmarkStart w:id="733" w:name="_Toc21120"/>
      <w:bookmarkStart w:id="734" w:name="_Toc31037"/>
      <w:bookmarkStart w:id="735" w:name="_Toc15813"/>
      <w:bookmarkStart w:id="736" w:name="_Toc152045602"/>
      <w:bookmarkStart w:id="737" w:name="_Toc152042379"/>
      <w:bookmarkStart w:id="738" w:name="_Toc490667877"/>
    </w:p>
    <w:p w14:paraId="4605784F">
      <w:pPr>
        <w:keepNext w:val="0"/>
        <w:keepLines w:val="0"/>
        <w:pageBreakBefore w:val="0"/>
        <w:widowControl w:val="0"/>
        <w:kinsoku/>
        <w:wordWrap w:val="0"/>
        <w:overflowPunct/>
        <w:topLinePunct/>
        <w:autoSpaceDE/>
        <w:autoSpaceDN/>
        <w:bidi w:val="0"/>
        <w:adjustRightInd/>
        <w:snapToGrid/>
        <w:spacing w:line="360" w:lineRule="auto"/>
        <w:textAlignment w:val="auto"/>
        <w:outlineLvl w:val="2"/>
        <w:rPr>
          <w:rFonts w:hint="eastAsia" w:ascii="华文仿宋" w:hAnsi="华文仿宋" w:eastAsia="华文仿宋" w:cs="华文仿宋"/>
          <w:color w:val="auto"/>
          <w:kern w:val="0"/>
          <w:sz w:val="21"/>
          <w:szCs w:val="21"/>
          <w:highlight w:val="none"/>
          <w:lang w:val="en-US" w:eastAsia="zh-CN"/>
        </w:rPr>
      </w:pPr>
      <w:r>
        <w:rPr>
          <w:rFonts w:hint="eastAsia" w:ascii="华文仿宋" w:hAnsi="华文仿宋" w:eastAsia="华文仿宋" w:cs="华文仿宋"/>
          <w:color w:val="auto"/>
          <w:kern w:val="0"/>
          <w:sz w:val="21"/>
          <w:szCs w:val="21"/>
          <w:highlight w:val="none"/>
          <w:lang w:val="en-US" w:eastAsia="zh-CN"/>
        </w:rPr>
        <w:t>2.1 初步评审标准</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388377B7">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kern w:val="0"/>
          <w:sz w:val="21"/>
          <w:szCs w:val="21"/>
          <w:highlight w:val="none"/>
          <w:lang w:val="en-US" w:eastAsia="zh-CN"/>
        </w:rPr>
      </w:pPr>
      <w:r>
        <w:rPr>
          <w:rFonts w:hint="eastAsia" w:ascii="华文仿宋" w:hAnsi="华文仿宋" w:eastAsia="华文仿宋" w:cs="华文仿宋"/>
          <w:color w:val="auto"/>
          <w:kern w:val="0"/>
          <w:sz w:val="21"/>
          <w:szCs w:val="21"/>
          <w:highlight w:val="none"/>
          <w:lang w:val="en-US" w:eastAsia="zh-CN"/>
        </w:rPr>
        <w:t>2.1.1 资格检查评审标准：见评审办法前附表。</w:t>
      </w:r>
    </w:p>
    <w:p w14:paraId="6C5DDAE3">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kern w:val="0"/>
          <w:sz w:val="21"/>
          <w:szCs w:val="21"/>
          <w:highlight w:val="none"/>
          <w:lang w:val="en-US" w:eastAsia="zh-CN"/>
        </w:rPr>
      </w:pPr>
      <w:r>
        <w:rPr>
          <w:rFonts w:hint="eastAsia" w:ascii="华文仿宋" w:hAnsi="华文仿宋" w:eastAsia="华文仿宋" w:cs="华文仿宋"/>
          <w:color w:val="auto"/>
          <w:kern w:val="0"/>
          <w:sz w:val="21"/>
          <w:szCs w:val="21"/>
          <w:highlight w:val="none"/>
          <w:lang w:val="en-US" w:eastAsia="zh-CN"/>
        </w:rPr>
        <w:t>2.1.2 符合性检查评审标准：见评审办法前附表。</w:t>
      </w:r>
    </w:p>
    <w:p w14:paraId="48123524">
      <w:pPr>
        <w:keepNext w:val="0"/>
        <w:keepLines w:val="0"/>
        <w:pageBreakBefore w:val="0"/>
        <w:widowControl w:val="0"/>
        <w:kinsoku/>
        <w:wordWrap w:val="0"/>
        <w:overflowPunct/>
        <w:topLinePunct/>
        <w:autoSpaceDE/>
        <w:autoSpaceDN/>
        <w:bidi w:val="0"/>
        <w:adjustRightInd/>
        <w:snapToGrid/>
        <w:spacing w:line="360" w:lineRule="auto"/>
        <w:textAlignment w:val="auto"/>
        <w:outlineLvl w:val="2"/>
        <w:rPr>
          <w:rFonts w:hint="eastAsia" w:ascii="华文仿宋" w:hAnsi="华文仿宋" w:eastAsia="华文仿宋" w:cs="华文仿宋"/>
          <w:color w:val="auto"/>
          <w:kern w:val="0"/>
          <w:sz w:val="21"/>
          <w:szCs w:val="21"/>
          <w:highlight w:val="none"/>
          <w:lang w:val="en-US" w:eastAsia="zh-CN"/>
        </w:rPr>
      </w:pPr>
      <w:bookmarkStart w:id="739" w:name="_Toc455080159"/>
      <w:bookmarkStart w:id="740" w:name="_Toc455867819"/>
      <w:bookmarkStart w:id="741" w:name="_Toc318450725"/>
      <w:bookmarkStart w:id="742" w:name="_Toc22363"/>
      <w:bookmarkStart w:id="743" w:name="_Toc7284"/>
      <w:bookmarkStart w:id="744" w:name="_Toc152045603"/>
      <w:bookmarkStart w:id="745" w:name="_Toc26179"/>
      <w:bookmarkStart w:id="746" w:name="_Toc30189"/>
      <w:bookmarkStart w:id="747" w:name="_Toc466298142"/>
      <w:bookmarkStart w:id="748" w:name="_Toc25492"/>
      <w:bookmarkStart w:id="749" w:name="_Toc24825"/>
      <w:bookmarkStart w:id="750" w:name="_Toc144974570"/>
      <w:bookmarkStart w:id="751" w:name="_Toc281405531"/>
      <w:bookmarkStart w:id="752" w:name="_Toc21970"/>
      <w:bookmarkStart w:id="753" w:name="_Toc11061"/>
      <w:bookmarkStart w:id="754" w:name="_Toc490667878"/>
      <w:bookmarkStart w:id="755" w:name="_Toc22439"/>
      <w:bookmarkStart w:id="756" w:name="_Toc152042380"/>
      <w:bookmarkStart w:id="757" w:name="_Toc12013"/>
      <w:r>
        <w:rPr>
          <w:rFonts w:hint="eastAsia" w:ascii="华文仿宋" w:hAnsi="华文仿宋" w:eastAsia="华文仿宋" w:cs="华文仿宋"/>
          <w:color w:val="auto"/>
          <w:kern w:val="0"/>
          <w:sz w:val="21"/>
          <w:szCs w:val="21"/>
          <w:highlight w:val="none"/>
          <w:lang w:val="en-US" w:eastAsia="zh-CN"/>
        </w:rPr>
        <w:t>2.2 分值构成与评分标准</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7F4EA75D">
      <w:pPr>
        <w:keepNext w:val="0"/>
        <w:keepLines w:val="0"/>
        <w:pageBreakBefore w:val="0"/>
        <w:widowControl w:val="0"/>
        <w:kinsoku/>
        <w:wordWrap w:val="0"/>
        <w:overflowPunct/>
        <w:topLinePunct/>
        <w:autoSpaceDE/>
        <w:autoSpaceDN/>
        <w:bidi w:val="0"/>
        <w:adjustRightInd/>
        <w:snapToGrid/>
        <w:spacing w:line="360" w:lineRule="auto"/>
        <w:ind w:firstLine="210" w:firstLineChars="1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（1）商务标：见评审办法前附表；</w:t>
      </w:r>
    </w:p>
    <w:p w14:paraId="642DD50A">
      <w:pPr>
        <w:keepNext w:val="0"/>
        <w:keepLines w:val="0"/>
        <w:pageBreakBefore w:val="0"/>
        <w:widowControl w:val="0"/>
        <w:kinsoku/>
        <w:wordWrap w:val="0"/>
        <w:overflowPunct/>
        <w:topLinePunct/>
        <w:autoSpaceDE/>
        <w:autoSpaceDN/>
        <w:bidi w:val="0"/>
        <w:adjustRightInd/>
        <w:snapToGrid/>
        <w:spacing w:line="360" w:lineRule="auto"/>
        <w:ind w:firstLine="210" w:firstLineChars="1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（2）技术标：见评审办法前附表；</w:t>
      </w:r>
    </w:p>
    <w:p w14:paraId="4150481E">
      <w:pPr>
        <w:keepNext w:val="0"/>
        <w:keepLines w:val="0"/>
        <w:pageBreakBefore w:val="0"/>
        <w:widowControl w:val="0"/>
        <w:kinsoku/>
        <w:wordWrap w:val="0"/>
        <w:overflowPunct/>
        <w:topLinePunct/>
        <w:autoSpaceDE/>
        <w:autoSpaceDN/>
        <w:bidi w:val="0"/>
        <w:adjustRightInd/>
        <w:snapToGrid/>
        <w:spacing w:line="360" w:lineRule="auto"/>
        <w:ind w:firstLine="210" w:firstLineChars="1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（3）综合标：见评审办法前附表。</w:t>
      </w:r>
    </w:p>
    <w:p w14:paraId="304E867C">
      <w:pPr>
        <w:keepNext w:val="0"/>
        <w:keepLines w:val="0"/>
        <w:pageBreakBefore w:val="0"/>
        <w:widowControl w:val="0"/>
        <w:numPr>
          <w:ilvl w:val="0"/>
          <w:numId w:val="3"/>
        </w:numPr>
        <w:kinsoku/>
        <w:wordWrap w:val="0"/>
        <w:overflowPunct/>
        <w:topLinePunct/>
        <w:autoSpaceDE/>
        <w:autoSpaceDN/>
        <w:bidi w:val="0"/>
        <w:adjustRightInd/>
        <w:snapToGrid/>
        <w:spacing w:line="360" w:lineRule="auto"/>
        <w:textAlignment w:val="auto"/>
        <w:outlineLvl w:val="1"/>
        <w:rPr>
          <w:rFonts w:hint="eastAsia" w:ascii="华文仿宋" w:hAnsi="华文仿宋" w:eastAsia="华文仿宋" w:cs="华文仿宋"/>
          <w:b/>
          <w:bCs/>
          <w:color w:val="auto"/>
          <w:sz w:val="21"/>
          <w:szCs w:val="21"/>
          <w:highlight w:val="none"/>
        </w:rPr>
      </w:pPr>
      <w:bookmarkStart w:id="758" w:name="_Toc281405532"/>
      <w:bookmarkStart w:id="759" w:name="_Toc20043"/>
      <w:bookmarkStart w:id="760" w:name="_Toc32314"/>
      <w:bookmarkStart w:id="761" w:name="_Toc455867820"/>
      <w:bookmarkStart w:id="762" w:name="_Toc29297"/>
      <w:bookmarkStart w:id="763" w:name="_Toc18127"/>
      <w:bookmarkStart w:id="764" w:name="_Toc17308"/>
      <w:bookmarkStart w:id="765" w:name="_Toc318450726"/>
      <w:bookmarkStart w:id="766" w:name="_Toc455080160"/>
      <w:bookmarkStart w:id="767" w:name="_Toc466298143"/>
      <w:bookmarkStart w:id="768" w:name="_Toc16479"/>
      <w:bookmarkStart w:id="769" w:name="_Toc490667879"/>
      <w:r>
        <w:rPr>
          <w:rFonts w:hint="eastAsia" w:ascii="华文仿宋" w:hAnsi="华文仿宋" w:eastAsia="华文仿宋" w:cs="华文仿宋"/>
          <w:b/>
          <w:bCs/>
          <w:color w:val="auto"/>
          <w:sz w:val="21"/>
          <w:szCs w:val="21"/>
          <w:highlight w:val="none"/>
        </w:rPr>
        <w:t>评审程序</w:t>
      </w:r>
      <w:bookmarkEnd w:id="758"/>
      <w:bookmarkEnd w:id="759"/>
      <w:bookmarkEnd w:id="760"/>
      <w:bookmarkEnd w:id="761"/>
      <w:bookmarkEnd w:id="762"/>
      <w:bookmarkEnd w:id="763"/>
      <w:bookmarkEnd w:id="764"/>
      <w:bookmarkEnd w:id="765"/>
      <w:bookmarkEnd w:id="766"/>
      <w:bookmarkEnd w:id="767"/>
      <w:bookmarkEnd w:id="768"/>
      <w:bookmarkEnd w:id="769"/>
    </w:p>
    <w:p w14:paraId="32CC0CCF">
      <w:pPr>
        <w:keepNext w:val="0"/>
        <w:keepLines w:val="0"/>
        <w:pageBreakBefore w:val="0"/>
        <w:widowControl w:val="0"/>
        <w:kinsoku/>
        <w:wordWrap w:val="0"/>
        <w:overflowPunct/>
        <w:topLinePunct/>
        <w:autoSpaceDE/>
        <w:autoSpaceDN/>
        <w:bidi w:val="0"/>
        <w:adjustRightInd/>
        <w:snapToGrid/>
        <w:spacing w:line="360" w:lineRule="auto"/>
        <w:textAlignment w:val="auto"/>
        <w:outlineLvl w:val="2"/>
        <w:rPr>
          <w:rFonts w:hint="eastAsia" w:ascii="华文仿宋" w:hAnsi="华文仿宋" w:eastAsia="华文仿宋" w:cs="华文仿宋"/>
          <w:color w:val="auto"/>
          <w:kern w:val="0"/>
          <w:sz w:val="21"/>
          <w:szCs w:val="21"/>
          <w:highlight w:val="none"/>
          <w:lang w:val="en-US" w:eastAsia="zh-CN"/>
        </w:rPr>
      </w:pPr>
      <w:bookmarkStart w:id="770" w:name="_Toc29614"/>
      <w:bookmarkStart w:id="771" w:name="_Toc29092"/>
      <w:bookmarkStart w:id="772" w:name="_Toc490667880"/>
      <w:bookmarkStart w:id="773" w:name="_Toc30986"/>
      <w:bookmarkStart w:id="774" w:name="_Toc5219"/>
      <w:bookmarkStart w:id="775" w:name="_Toc466298144"/>
      <w:bookmarkStart w:id="776" w:name="_Toc455080161"/>
      <w:bookmarkStart w:id="777" w:name="_Toc18886"/>
      <w:bookmarkStart w:id="778" w:name="_Toc281405533"/>
      <w:bookmarkStart w:id="779" w:name="_Toc16892"/>
      <w:bookmarkStart w:id="780" w:name="_Toc14633"/>
      <w:bookmarkStart w:id="781" w:name="_Toc9433"/>
      <w:bookmarkStart w:id="782" w:name="_Toc5427"/>
      <w:bookmarkStart w:id="783" w:name="_Toc7272"/>
      <w:bookmarkStart w:id="784" w:name="_Toc455867821"/>
      <w:bookmarkStart w:id="785" w:name="_Toc318450727"/>
      <w:bookmarkStart w:id="786" w:name="_Toc2410"/>
      <w:r>
        <w:rPr>
          <w:rFonts w:hint="eastAsia" w:ascii="华文仿宋" w:hAnsi="华文仿宋" w:eastAsia="华文仿宋" w:cs="华文仿宋"/>
          <w:color w:val="auto"/>
          <w:kern w:val="0"/>
          <w:sz w:val="21"/>
          <w:szCs w:val="21"/>
          <w:highlight w:val="none"/>
          <w:lang w:val="en-US" w:eastAsia="zh-CN"/>
        </w:rPr>
        <w:t>3.1 初步评审</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6E51CA6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b/>
          <w:bCs/>
          <w:color w:val="auto"/>
          <w:sz w:val="21"/>
          <w:szCs w:val="21"/>
          <w:highlight w:val="none"/>
        </w:rPr>
      </w:pPr>
      <w:bookmarkStart w:id="787" w:name="_Toc466298145"/>
      <w:bookmarkStart w:id="788" w:name="_Toc318450728"/>
      <w:bookmarkStart w:id="789" w:name="_Toc455867822"/>
      <w:bookmarkStart w:id="790" w:name="_Toc12406"/>
      <w:bookmarkStart w:id="791" w:name="_Toc22101"/>
      <w:bookmarkStart w:id="792" w:name="_Toc21570"/>
      <w:bookmarkStart w:id="793" w:name="_Toc21032"/>
      <w:bookmarkStart w:id="794" w:name="_Toc7121"/>
      <w:bookmarkStart w:id="795" w:name="_Toc455080162"/>
      <w:bookmarkStart w:id="796" w:name="_Toc490667881"/>
      <w:bookmarkStart w:id="797" w:name="_Toc16964"/>
      <w:bookmarkStart w:id="798" w:name="_Toc281405534"/>
      <w:bookmarkStart w:id="799" w:name="_Toc10692"/>
      <w:bookmarkStart w:id="800" w:name="_Toc13386"/>
      <w:bookmarkStart w:id="801" w:name="_Toc26049"/>
      <w:bookmarkStart w:id="802" w:name="_Toc26280"/>
      <w:r>
        <w:rPr>
          <w:rFonts w:hint="eastAsia" w:ascii="华文仿宋" w:hAnsi="华文仿宋" w:eastAsia="华文仿宋" w:cs="华文仿宋"/>
          <w:color w:val="auto"/>
          <w:sz w:val="21"/>
          <w:szCs w:val="21"/>
          <w:highlight w:val="none"/>
        </w:rPr>
        <w:t>3.1.1只有通过资格审查的</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才能进入</w:t>
      </w:r>
      <w:r>
        <w:rPr>
          <w:rFonts w:hint="eastAsia" w:ascii="华文仿宋" w:hAnsi="华文仿宋" w:eastAsia="华文仿宋" w:cs="华文仿宋"/>
          <w:color w:val="auto"/>
          <w:sz w:val="21"/>
          <w:szCs w:val="21"/>
          <w:highlight w:val="none"/>
          <w:lang w:eastAsia="zh-CN"/>
        </w:rPr>
        <w:t>符合性评审</w:t>
      </w:r>
      <w:r>
        <w:rPr>
          <w:rFonts w:hint="eastAsia" w:ascii="华文仿宋" w:hAnsi="华文仿宋" w:eastAsia="华文仿宋" w:cs="华文仿宋"/>
          <w:color w:val="auto"/>
          <w:sz w:val="21"/>
          <w:szCs w:val="21"/>
          <w:highlight w:val="none"/>
        </w:rPr>
        <w:t>。评标委员会依据</w:t>
      </w:r>
      <w:r>
        <w:rPr>
          <w:rFonts w:hint="eastAsia" w:ascii="华文仿宋" w:hAnsi="华文仿宋" w:eastAsia="华文仿宋" w:cs="华文仿宋"/>
          <w:color w:val="auto"/>
          <w:sz w:val="21"/>
          <w:szCs w:val="21"/>
          <w:highlight w:val="none"/>
          <w:lang w:val="en-US" w:eastAsia="zh-CN"/>
        </w:rPr>
        <w:t>2.1.2</w:t>
      </w:r>
      <w:r>
        <w:rPr>
          <w:rFonts w:hint="eastAsia" w:ascii="华文仿宋" w:hAnsi="华文仿宋" w:eastAsia="华文仿宋" w:cs="华文仿宋"/>
          <w:color w:val="auto"/>
          <w:sz w:val="21"/>
          <w:szCs w:val="21"/>
          <w:highlight w:val="none"/>
        </w:rPr>
        <w:t>规定的内容和标准对</w:t>
      </w:r>
      <w:r>
        <w:rPr>
          <w:rFonts w:hint="eastAsia" w:ascii="华文仿宋" w:hAnsi="华文仿宋" w:eastAsia="华文仿宋" w:cs="华文仿宋"/>
          <w:color w:val="auto"/>
          <w:sz w:val="21"/>
          <w:szCs w:val="21"/>
          <w:highlight w:val="none"/>
          <w:lang w:eastAsia="zh-CN"/>
        </w:rPr>
        <w:t>响应</w:t>
      </w:r>
      <w:r>
        <w:rPr>
          <w:rFonts w:hint="eastAsia" w:ascii="华文仿宋" w:hAnsi="华文仿宋" w:eastAsia="华文仿宋" w:cs="华文仿宋"/>
          <w:color w:val="auto"/>
          <w:sz w:val="21"/>
          <w:szCs w:val="21"/>
          <w:highlight w:val="none"/>
        </w:rPr>
        <w:t>文件进行</w:t>
      </w:r>
      <w:r>
        <w:rPr>
          <w:rFonts w:hint="eastAsia" w:ascii="华文仿宋" w:hAnsi="华文仿宋" w:eastAsia="华文仿宋" w:cs="华文仿宋"/>
          <w:color w:val="auto"/>
          <w:sz w:val="21"/>
          <w:szCs w:val="21"/>
          <w:highlight w:val="none"/>
          <w:lang w:eastAsia="zh-CN"/>
        </w:rPr>
        <w:t>符合性审查</w:t>
      </w: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b/>
          <w:bCs/>
          <w:color w:val="auto"/>
          <w:sz w:val="21"/>
          <w:szCs w:val="21"/>
          <w:highlight w:val="none"/>
        </w:rPr>
        <w:t>有一项不符合评审标准的，其投标做无效</w:t>
      </w:r>
      <w:r>
        <w:rPr>
          <w:rFonts w:hint="eastAsia" w:ascii="华文仿宋" w:hAnsi="华文仿宋" w:eastAsia="华文仿宋" w:cs="华文仿宋"/>
          <w:b/>
          <w:bCs/>
          <w:color w:val="auto"/>
          <w:sz w:val="21"/>
          <w:szCs w:val="21"/>
          <w:highlight w:val="none"/>
          <w:lang w:eastAsia="zh-CN"/>
        </w:rPr>
        <w:t>投标</w:t>
      </w:r>
      <w:r>
        <w:rPr>
          <w:rFonts w:hint="eastAsia" w:ascii="华文仿宋" w:hAnsi="华文仿宋" w:eastAsia="华文仿宋" w:cs="华文仿宋"/>
          <w:b/>
          <w:bCs/>
          <w:color w:val="auto"/>
          <w:sz w:val="21"/>
          <w:szCs w:val="21"/>
          <w:highlight w:val="none"/>
        </w:rPr>
        <w:t>处理，不得进入详细评审。</w:t>
      </w:r>
    </w:p>
    <w:p w14:paraId="5DB28D2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3"/>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3.1.2 供应商有以下情形之一的，其响应文件作无效处理：</w:t>
      </w:r>
    </w:p>
    <w:p w14:paraId="13AAA6A9">
      <w:pPr>
        <w:keepNext w:val="0"/>
        <w:keepLines w:val="0"/>
        <w:pageBreakBefore w:val="0"/>
        <w:widowControl w:val="0"/>
        <w:kinsoku/>
        <w:wordWrap w:val="0"/>
        <w:overflowPunct/>
        <w:topLinePunct/>
        <w:autoSpaceDE/>
        <w:autoSpaceDN/>
        <w:bidi w:val="0"/>
        <w:adjustRightInd/>
        <w:snapToGrid/>
        <w:spacing w:line="360" w:lineRule="auto"/>
        <w:ind w:firstLine="210" w:firstLineChars="1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val="en-US" w:eastAsia="zh-CN"/>
        </w:rPr>
        <w:t>1</w:t>
      </w:r>
      <w:r>
        <w:rPr>
          <w:rFonts w:hint="eastAsia" w:ascii="华文仿宋" w:hAnsi="华文仿宋" w:eastAsia="华文仿宋" w:cs="华文仿宋"/>
          <w:color w:val="auto"/>
          <w:sz w:val="21"/>
          <w:szCs w:val="21"/>
          <w:highlight w:val="none"/>
        </w:rPr>
        <w:t>）串通或弄虚作假或有其他违法行为的；</w:t>
      </w:r>
    </w:p>
    <w:p w14:paraId="6EACFB39">
      <w:pPr>
        <w:keepNext w:val="0"/>
        <w:keepLines w:val="0"/>
        <w:pageBreakBefore w:val="0"/>
        <w:widowControl w:val="0"/>
        <w:kinsoku/>
        <w:wordWrap w:val="0"/>
        <w:overflowPunct/>
        <w:topLinePunct/>
        <w:autoSpaceDE/>
        <w:autoSpaceDN/>
        <w:bidi w:val="0"/>
        <w:adjustRightInd/>
        <w:snapToGrid/>
        <w:spacing w:line="360" w:lineRule="auto"/>
        <w:ind w:firstLine="210" w:firstLineChars="1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val="en-US" w:eastAsia="zh-CN"/>
        </w:rPr>
        <w:t>2</w:t>
      </w:r>
      <w:r>
        <w:rPr>
          <w:rFonts w:hint="eastAsia" w:ascii="华文仿宋" w:hAnsi="华文仿宋" w:eastAsia="华文仿宋" w:cs="华文仿宋"/>
          <w:color w:val="auto"/>
          <w:sz w:val="21"/>
          <w:szCs w:val="21"/>
          <w:highlight w:val="none"/>
        </w:rPr>
        <w:t>）不按磋商小组要求澄清、说明或补正的；</w:t>
      </w:r>
    </w:p>
    <w:p w14:paraId="666656C9">
      <w:pPr>
        <w:keepNext w:val="0"/>
        <w:keepLines w:val="0"/>
        <w:pageBreakBefore w:val="0"/>
        <w:widowControl w:val="0"/>
        <w:kinsoku/>
        <w:wordWrap w:val="0"/>
        <w:overflowPunct/>
        <w:topLinePunct/>
        <w:autoSpaceDE/>
        <w:autoSpaceDN/>
        <w:bidi w:val="0"/>
        <w:adjustRightInd/>
        <w:snapToGrid/>
        <w:spacing w:line="360" w:lineRule="auto"/>
        <w:ind w:firstLine="210" w:firstLineChars="1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val="en-US" w:eastAsia="zh-CN"/>
        </w:rPr>
        <w:t>3</w:t>
      </w:r>
      <w:r>
        <w:rPr>
          <w:rFonts w:hint="eastAsia" w:ascii="华文仿宋" w:hAnsi="华文仿宋" w:eastAsia="华文仿宋" w:cs="华文仿宋"/>
          <w:color w:val="auto"/>
          <w:sz w:val="21"/>
          <w:szCs w:val="21"/>
          <w:highlight w:val="none"/>
        </w:rPr>
        <w:t>）未按规定格式填写、内容不全或关键字迹模糊、无法辨认的；</w:t>
      </w:r>
    </w:p>
    <w:p w14:paraId="687CC772">
      <w:pPr>
        <w:keepNext w:val="0"/>
        <w:keepLines w:val="0"/>
        <w:pageBreakBefore w:val="0"/>
        <w:widowControl w:val="0"/>
        <w:kinsoku/>
        <w:wordWrap w:val="0"/>
        <w:overflowPunct/>
        <w:topLinePunct/>
        <w:autoSpaceDE/>
        <w:autoSpaceDN/>
        <w:bidi w:val="0"/>
        <w:adjustRightInd/>
        <w:snapToGrid/>
        <w:spacing w:line="360" w:lineRule="auto"/>
        <w:ind w:firstLine="210" w:firstLineChars="1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val="en-US" w:eastAsia="zh-CN"/>
        </w:rPr>
        <w:t>4</w:t>
      </w:r>
      <w:r>
        <w:rPr>
          <w:rFonts w:hint="eastAsia" w:ascii="华文仿宋" w:hAnsi="华文仿宋" w:eastAsia="华文仿宋" w:cs="华文仿宋"/>
          <w:color w:val="auto"/>
          <w:sz w:val="21"/>
          <w:szCs w:val="21"/>
          <w:highlight w:val="none"/>
        </w:rPr>
        <w:t>）响应文件附有采购人不能接受的条件；</w:t>
      </w:r>
    </w:p>
    <w:p w14:paraId="63B84E4A">
      <w:pPr>
        <w:keepNext w:val="0"/>
        <w:keepLines w:val="0"/>
        <w:pageBreakBefore w:val="0"/>
        <w:widowControl w:val="0"/>
        <w:kinsoku/>
        <w:wordWrap w:val="0"/>
        <w:overflowPunct/>
        <w:topLinePunct/>
        <w:autoSpaceDE/>
        <w:autoSpaceDN/>
        <w:bidi w:val="0"/>
        <w:adjustRightInd/>
        <w:snapToGrid/>
        <w:spacing w:line="360" w:lineRule="auto"/>
        <w:ind w:firstLine="210" w:firstLineChars="1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val="en-US" w:eastAsia="zh-CN"/>
        </w:rPr>
        <w:t>5</w:t>
      </w:r>
      <w:r>
        <w:rPr>
          <w:rFonts w:hint="eastAsia" w:ascii="华文仿宋" w:hAnsi="华文仿宋" w:eastAsia="华文仿宋" w:cs="华文仿宋"/>
          <w:color w:val="auto"/>
          <w:sz w:val="21"/>
          <w:szCs w:val="21"/>
          <w:highlight w:val="none"/>
        </w:rPr>
        <w:t>）不符合</w:t>
      </w:r>
      <w:r>
        <w:rPr>
          <w:rFonts w:hint="eastAsia" w:ascii="华文仿宋" w:hAnsi="华文仿宋" w:eastAsia="华文仿宋" w:cs="华文仿宋"/>
          <w:color w:val="auto"/>
          <w:sz w:val="21"/>
          <w:szCs w:val="21"/>
          <w:highlight w:val="none"/>
          <w:lang w:eastAsia="zh-CN"/>
        </w:rPr>
        <w:t>竞争性磋商文件</w:t>
      </w:r>
      <w:r>
        <w:rPr>
          <w:rFonts w:hint="eastAsia" w:ascii="华文仿宋" w:hAnsi="华文仿宋" w:eastAsia="华文仿宋" w:cs="华文仿宋"/>
          <w:color w:val="auto"/>
          <w:sz w:val="21"/>
          <w:szCs w:val="21"/>
          <w:highlight w:val="none"/>
        </w:rPr>
        <w:t>规定的其他实质性要求。</w:t>
      </w:r>
    </w:p>
    <w:p w14:paraId="0D978325">
      <w:pPr>
        <w:keepNext w:val="0"/>
        <w:keepLines w:val="0"/>
        <w:pageBreakBefore w:val="0"/>
        <w:widowControl w:val="0"/>
        <w:kinsoku/>
        <w:wordWrap w:val="0"/>
        <w:overflowPunct/>
        <w:topLinePunct/>
        <w:autoSpaceDE/>
        <w:autoSpaceDN/>
        <w:bidi w:val="0"/>
        <w:adjustRightInd/>
        <w:snapToGrid/>
        <w:spacing w:line="360" w:lineRule="auto"/>
        <w:textAlignment w:val="auto"/>
        <w:outlineLvl w:val="2"/>
        <w:rPr>
          <w:rFonts w:hint="eastAsia" w:ascii="华文仿宋" w:hAnsi="华文仿宋" w:eastAsia="华文仿宋" w:cs="华文仿宋"/>
          <w:color w:val="auto"/>
          <w:kern w:val="0"/>
          <w:sz w:val="21"/>
          <w:szCs w:val="21"/>
          <w:highlight w:val="none"/>
          <w:lang w:val="en-US" w:eastAsia="zh-CN"/>
        </w:rPr>
      </w:pPr>
      <w:bookmarkStart w:id="803" w:name="_Toc30290"/>
      <w:r>
        <w:rPr>
          <w:rFonts w:hint="eastAsia" w:ascii="华文仿宋" w:hAnsi="华文仿宋" w:eastAsia="华文仿宋" w:cs="华文仿宋"/>
          <w:color w:val="auto"/>
          <w:kern w:val="0"/>
          <w:sz w:val="21"/>
          <w:szCs w:val="21"/>
          <w:highlight w:val="none"/>
          <w:lang w:val="en-US" w:eastAsia="zh-CN"/>
        </w:rPr>
        <w:t>3.2 详细评审</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14:paraId="7B31FB7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3.2.1 磋商小组按本章第2.2款规定的量化因素和分值进行打分，并计算出综合评分得分。</w:t>
      </w:r>
    </w:p>
    <w:p w14:paraId="455C997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3.2.2 评分分值计算保留小数点后两位，小数点后第三位“四舍五入”。</w:t>
      </w:r>
    </w:p>
    <w:p w14:paraId="4200C8F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3.2.3供应商的最终得分以全部小组成员打分的算术平均值为准，作为该供应商的最终得分。</w:t>
      </w:r>
    </w:p>
    <w:p w14:paraId="3C2730C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3.2.4在磋商过程中，凡遇到</w:t>
      </w:r>
      <w:r>
        <w:rPr>
          <w:rFonts w:hint="eastAsia" w:ascii="华文仿宋" w:hAnsi="华文仿宋" w:eastAsia="华文仿宋" w:cs="华文仿宋"/>
          <w:color w:val="auto"/>
          <w:sz w:val="21"/>
          <w:szCs w:val="21"/>
          <w:highlight w:val="none"/>
          <w:lang w:eastAsia="zh-CN"/>
        </w:rPr>
        <w:t>竞争性磋商文件</w:t>
      </w:r>
      <w:r>
        <w:rPr>
          <w:rFonts w:hint="eastAsia" w:ascii="华文仿宋" w:hAnsi="华文仿宋" w:eastAsia="华文仿宋" w:cs="华文仿宋"/>
          <w:color w:val="auto"/>
          <w:sz w:val="21"/>
          <w:szCs w:val="21"/>
          <w:highlight w:val="none"/>
        </w:rPr>
        <w:t>中无界定或界定不清、前后不一致使磋商小组意见有分歧且又难以协商一致的问题，均由磋商小组予以表决，获半数以上同意的即为通过，未获半数同意的即为否决。</w:t>
      </w:r>
    </w:p>
    <w:p w14:paraId="7A4E2912">
      <w:pPr>
        <w:keepNext w:val="0"/>
        <w:keepLines w:val="0"/>
        <w:pageBreakBefore w:val="0"/>
        <w:widowControl w:val="0"/>
        <w:kinsoku/>
        <w:wordWrap w:val="0"/>
        <w:overflowPunct/>
        <w:topLinePunct/>
        <w:autoSpaceDE/>
        <w:autoSpaceDN/>
        <w:bidi w:val="0"/>
        <w:adjustRightInd/>
        <w:snapToGrid/>
        <w:spacing w:line="360" w:lineRule="auto"/>
        <w:textAlignment w:val="auto"/>
        <w:outlineLvl w:val="2"/>
        <w:rPr>
          <w:rFonts w:hint="eastAsia" w:ascii="华文仿宋" w:hAnsi="华文仿宋" w:eastAsia="华文仿宋" w:cs="华文仿宋"/>
          <w:color w:val="auto"/>
          <w:kern w:val="0"/>
          <w:sz w:val="21"/>
          <w:szCs w:val="21"/>
          <w:highlight w:val="none"/>
          <w:lang w:val="en-US" w:eastAsia="zh-CN"/>
        </w:rPr>
      </w:pPr>
      <w:bookmarkStart w:id="804" w:name="_Toc2657"/>
      <w:bookmarkStart w:id="805" w:name="_Toc28633"/>
      <w:bookmarkStart w:id="806" w:name="_Toc12374"/>
      <w:bookmarkStart w:id="807" w:name="_Toc331"/>
      <w:bookmarkStart w:id="808" w:name="_Toc8342"/>
      <w:bookmarkStart w:id="809" w:name="_Toc10153"/>
      <w:bookmarkStart w:id="810" w:name="_Toc466298146"/>
      <w:bookmarkStart w:id="811" w:name="_Toc318450729"/>
      <w:bookmarkStart w:id="812" w:name="_Toc8813"/>
      <w:bookmarkStart w:id="813" w:name="_Toc24862"/>
      <w:bookmarkStart w:id="814" w:name="_Toc11958"/>
      <w:bookmarkStart w:id="815" w:name="_Toc281405535"/>
      <w:bookmarkStart w:id="816" w:name="_Toc455080163"/>
      <w:bookmarkStart w:id="817" w:name="_Toc490667882"/>
      <w:bookmarkStart w:id="818" w:name="_Toc21776"/>
      <w:bookmarkStart w:id="819" w:name="_Toc455867823"/>
      <w:bookmarkStart w:id="820" w:name="_Toc22084"/>
      <w:r>
        <w:rPr>
          <w:rFonts w:hint="eastAsia" w:ascii="华文仿宋" w:hAnsi="华文仿宋" w:eastAsia="华文仿宋" w:cs="华文仿宋"/>
          <w:color w:val="auto"/>
          <w:kern w:val="0"/>
          <w:sz w:val="21"/>
          <w:szCs w:val="21"/>
          <w:highlight w:val="none"/>
          <w:lang w:val="en-US" w:eastAsia="zh-CN"/>
        </w:rPr>
        <w:t>3.3 响应文件的澄清和补正</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44B3867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3.3.1在磋商过程中，磋商小组可以书面形式要求供应商对所提交的响应文件中不明确的内容进行书面澄清或说明，或者对细微偏离进行补正。磋商小组不接受供应商主动提出的澄清、说明或补正。</w:t>
      </w:r>
    </w:p>
    <w:p w14:paraId="6AFCE52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3.3.2 澄清、说明和补正不得超出响应文件的范围或者改变响应文件的实质性内容（算术性错误修正的除外）。供应商的书面澄清、说明和补正属于响应文件的组成部分。</w:t>
      </w:r>
    </w:p>
    <w:p w14:paraId="7BDA909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3.3.3 磋商小组对供应商提交的澄清、说明或补正有疑问的，可以要求供应商进一步澄清、说明或补正，直至满足磋商小组的要求。</w:t>
      </w:r>
    </w:p>
    <w:p w14:paraId="128FA208">
      <w:pPr>
        <w:keepNext w:val="0"/>
        <w:keepLines w:val="0"/>
        <w:pageBreakBefore w:val="0"/>
        <w:widowControl w:val="0"/>
        <w:kinsoku/>
        <w:wordWrap w:val="0"/>
        <w:overflowPunct/>
        <w:topLinePunct/>
        <w:autoSpaceDE/>
        <w:autoSpaceDN/>
        <w:bidi w:val="0"/>
        <w:adjustRightInd/>
        <w:snapToGrid/>
        <w:spacing w:line="360" w:lineRule="auto"/>
        <w:textAlignment w:val="auto"/>
        <w:outlineLvl w:val="2"/>
        <w:rPr>
          <w:rFonts w:hint="eastAsia" w:ascii="华文仿宋" w:hAnsi="华文仿宋" w:eastAsia="华文仿宋" w:cs="华文仿宋"/>
          <w:color w:val="auto"/>
          <w:kern w:val="0"/>
          <w:sz w:val="21"/>
          <w:szCs w:val="21"/>
          <w:highlight w:val="none"/>
          <w:lang w:val="en-US" w:eastAsia="zh-CN"/>
        </w:rPr>
      </w:pPr>
      <w:bookmarkStart w:id="821" w:name="_Toc22682"/>
      <w:bookmarkStart w:id="822" w:name="_Toc281405536"/>
      <w:bookmarkStart w:id="823" w:name="_Toc1954"/>
      <w:bookmarkStart w:id="824" w:name="_Toc466298147"/>
      <w:bookmarkStart w:id="825" w:name="_Toc490667883"/>
      <w:bookmarkStart w:id="826" w:name="_Toc1857"/>
      <w:bookmarkStart w:id="827" w:name="_Toc30053"/>
      <w:bookmarkStart w:id="828" w:name="_Toc19453"/>
      <w:bookmarkStart w:id="829" w:name="_Toc22986"/>
      <w:bookmarkStart w:id="830" w:name="_Toc455080164"/>
      <w:bookmarkStart w:id="831" w:name="_Toc455867824"/>
      <w:bookmarkStart w:id="832" w:name="_Toc26894"/>
      <w:bookmarkStart w:id="833" w:name="_Toc32183"/>
      <w:bookmarkStart w:id="834" w:name="_Toc22049"/>
      <w:bookmarkStart w:id="835" w:name="_Toc318450730"/>
      <w:bookmarkStart w:id="836" w:name="_Toc5903"/>
      <w:bookmarkStart w:id="837" w:name="_Toc19938"/>
      <w:r>
        <w:rPr>
          <w:rFonts w:hint="eastAsia" w:ascii="华文仿宋" w:hAnsi="华文仿宋" w:eastAsia="华文仿宋" w:cs="华文仿宋"/>
          <w:color w:val="auto"/>
          <w:kern w:val="0"/>
          <w:sz w:val="21"/>
          <w:szCs w:val="21"/>
          <w:highlight w:val="none"/>
          <w:lang w:val="en-US" w:eastAsia="zh-CN"/>
        </w:rPr>
        <w:t>3.4 评审结果</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09D015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3.4.1除第二章“供应商须知”前附表授权直接确定成交人外，磋商小组按照得分由高到低的顺序推荐成交候选人。</w:t>
      </w:r>
    </w:p>
    <w:p w14:paraId="576D455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3.4.2 磋商小组完成评审后，应当向采购人提交书面评审报告。</w:t>
      </w:r>
    </w:p>
    <w:p w14:paraId="5FDCA79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bCs/>
          <w:color w:val="auto"/>
          <w:sz w:val="21"/>
          <w:szCs w:val="21"/>
          <w:highlight w:val="none"/>
        </w:rPr>
      </w:pPr>
      <w:r>
        <w:rPr>
          <w:rFonts w:hint="eastAsia" w:ascii="华文仿宋" w:hAnsi="华文仿宋" w:eastAsia="华文仿宋" w:cs="华文仿宋"/>
          <w:color w:val="auto"/>
          <w:sz w:val="21"/>
          <w:szCs w:val="21"/>
          <w:highlight w:val="none"/>
        </w:rPr>
        <w:t>3.4.</w:t>
      </w:r>
      <w:r>
        <w:rPr>
          <w:rFonts w:hint="eastAsia" w:ascii="华文仿宋" w:hAnsi="华文仿宋" w:eastAsia="华文仿宋" w:cs="华文仿宋"/>
          <w:color w:val="auto"/>
          <w:sz w:val="21"/>
          <w:szCs w:val="21"/>
          <w:highlight w:val="none"/>
          <w:lang w:val="en-US" w:eastAsia="zh-CN"/>
        </w:rPr>
        <w:t>3</w:t>
      </w:r>
      <w:r>
        <w:rPr>
          <w:rFonts w:hint="eastAsia" w:ascii="华文仿宋" w:hAnsi="华文仿宋" w:eastAsia="华文仿宋" w:cs="华文仿宋"/>
          <w:color w:val="auto"/>
          <w:sz w:val="21"/>
          <w:szCs w:val="21"/>
          <w:highlight w:val="none"/>
        </w:rPr>
        <w:t>评标结果同时在《河南省政府采购网》、《全国公共资源交易平台（河南省·</w:t>
      </w:r>
      <w:r>
        <w:rPr>
          <w:rFonts w:hint="eastAsia" w:ascii="华文仿宋" w:hAnsi="华文仿宋" w:eastAsia="华文仿宋" w:cs="华文仿宋"/>
          <w:color w:val="auto"/>
          <w:sz w:val="21"/>
          <w:szCs w:val="21"/>
          <w:highlight w:val="none"/>
          <w:lang w:val="en-US" w:eastAsia="zh-CN"/>
        </w:rPr>
        <w:t>淮滨县</w:t>
      </w:r>
      <w:r>
        <w:rPr>
          <w:rFonts w:hint="eastAsia" w:ascii="华文仿宋" w:hAnsi="华文仿宋" w:eastAsia="华文仿宋" w:cs="华文仿宋"/>
          <w:color w:val="auto"/>
          <w:sz w:val="21"/>
          <w:szCs w:val="21"/>
          <w:highlight w:val="none"/>
        </w:rPr>
        <w:t>）》</w:t>
      </w:r>
      <w:bookmarkStart w:id="893" w:name="_GoBack"/>
      <w:bookmarkEnd w:id="893"/>
      <w:r>
        <w:rPr>
          <w:rFonts w:hint="eastAsia" w:ascii="华文仿宋" w:hAnsi="华文仿宋" w:eastAsia="华文仿宋" w:cs="华文仿宋"/>
          <w:color w:val="auto"/>
          <w:sz w:val="21"/>
          <w:szCs w:val="21"/>
          <w:highlight w:val="none"/>
        </w:rPr>
        <w:t>公示。</w:t>
      </w:r>
    </w:p>
    <w:p w14:paraId="6919BB73">
      <w:pPr>
        <w:pageBreakBefore w:val="0"/>
        <w:kinsoku/>
        <w:wordWrap w:val="0"/>
        <w:overflowPunct/>
        <w:topLinePunct/>
        <w:bidi w:val="0"/>
        <w:spacing w:line="360" w:lineRule="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br w:type="page"/>
      </w:r>
    </w:p>
    <w:p w14:paraId="793F7005">
      <w:pPr>
        <w:pStyle w:val="68"/>
        <w:pageBreakBefore w:val="0"/>
        <w:widowControl w:val="0"/>
        <w:kinsoku/>
        <w:wordWrap w:val="0"/>
        <w:overflowPunct/>
        <w:topLinePunct/>
        <w:autoSpaceDE/>
        <w:autoSpaceDN/>
        <w:bidi w:val="0"/>
        <w:adjustRightInd/>
        <w:snapToGrid/>
        <w:spacing w:line="360" w:lineRule="auto"/>
        <w:textAlignment w:val="auto"/>
        <w:outlineLvl w:val="9"/>
        <w:rPr>
          <w:rFonts w:hint="eastAsia" w:ascii="华文仿宋" w:hAnsi="华文仿宋" w:eastAsia="华文仿宋" w:cs="华文仿宋"/>
          <w:b/>
          <w:bCs/>
          <w:color w:val="auto"/>
          <w:sz w:val="21"/>
          <w:szCs w:val="21"/>
          <w:highlight w:val="none"/>
          <w:lang w:eastAsia="zh-CN"/>
        </w:rPr>
      </w:pPr>
      <w:bookmarkStart w:id="838" w:name="_Toc11834"/>
      <w:r>
        <w:rPr>
          <w:rFonts w:hint="eastAsia" w:ascii="华文仿宋" w:hAnsi="华文仿宋" w:eastAsia="华文仿宋" w:cs="华文仿宋"/>
          <w:b/>
          <w:bCs/>
          <w:color w:val="auto"/>
          <w:sz w:val="21"/>
          <w:szCs w:val="21"/>
          <w:highlight w:val="none"/>
          <w:lang w:eastAsia="zh-CN"/>
        </w:rPr>
        <w:t>附件：废标条件</w:t>
      </w:r>
      <w:bookmarkEnd w:id="838"/>
    </w:p>
    <w:p w14:paraId="3B5F1242">
      <w:pPr>
        <w:pageBreakBefore w:val="0"/>
        <w:kinsoku/>
        <w:wordWrap w:val="0"/>
        <w:overflowPunct/>
        <w:topLinePunct/>
        <w:bidi w:val="0"/>
        <w:spacing w:line="360" w:lineRule="auto"/>
        <w:ind w:firstLine="422" w:firstLineChars="200"/>
        <w:jc w:val="center"/>
        <w:outlineLvl w:val="9"/>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rPr>
        <w:t>废</w:t>
      </w:r>
      <w:r>
        <w:rPr>
          <w:rFonts w:hint="eastAsia" w:ascii="华文仿宋" w:hAnsi="华文仿宋" w:eastAsia="华文仿宋" w:cs="华文仿宋"/>
          <w:b/>
          <w:color w:val="auto"/>
          <w:sz w:val="21"/>
          <w:szCs w:val="21"/>
          <w:highlight w:val="none"/>
          <w:lang w:val="en-US" w:eastAsia="zh-CN"/>
        </w:rPr>
        <w:t xml:space="preserve"> </w:t>
      </w:r>
      <w:r>
        <w:rPr>
          <w:rFonts w:hint="eastAsia" w:ascii="华文仿宋" w:hAnsi="华文仿宋" w:eastAsia="华文仿宋" w:cs="华文仿宋"/>
          <w:b/>
          <w:color w:val="auto"/>
          <w:sz w:val="21"/>
          <w:szCs w:val="21"/>
          <w:highlight w:val="none"/>
        </w:rPr>
        <w:t>标</w:t>
      </w:r>
      <w:r>
        <w:rPr>
          <w:rFonts w:hint="eastAsia" w:ascii="华文仿宋" w:hAnsi="华文仿宋" w:eastAsia="华文仿宋" w:cs="华文仿宋"/>
          <w:b/>
          <w:color w:val="auto"/>
          <w:sz w:val="21"/>
          <w:szCs w:val="21"/>
          <w:highlight w:val="none"/>
          <w:lang w:val="en-US" w:eastAsia="zh-CN"/>
        </w:rPr>
        <w:t xml:space="preserve"> </w:t>
      </w:r>
      <w:r>
        <w:rPr>
          <w:rFonts w:hint="eastAsia" w:ascii="华文仿宋" w:hAnsi="华文仿宋" w:eastAsia="华文仿宋" w:cs="华文仿宋"/>
          <w:b/>
          <w:color w:val="auto"/>
          <w:sz w:val="21"/>
          <w:szCs w:val="21"/>
          <w:highlight w:val="none"/>
        </w:rPr>
        <w:t>条</w:t>
      </w:r>
      <w:r>
        <w:rPr>
          <w:rFonts w:hint="eastAsia" w:ascii="华文仿宋" w:hAnsi="华文仿宋" w:eastAsia="华文仿宋" w:cs="华文仿宋"/>
          <w:b/>
          <w:color w:val="auto"/>
          <w:sz w:val="21"/>
          <w:szCs w:val="21"/>
          <w:highlight w:val="none"/>
          <w:lang w:val="en-US" w:eastAsia="zh-CN"/>
        </w:rPr>
        <w:t xml:space="preserve"> </w:t>
      </w:r>
      <w:r>
        <w:rPr>
          <w:rFonts w:hint="eastAsia" w:ascii="华文仿宋" w:hAnsi="华文仿宋" w:eastAsia="华文仿宋" w:cs="华文仿宋"/>
          <w:b/>
          <w:color w:val="auto"/>
          <w:sz w:val="21"/>
          <w:szCs w:val="21"/>
          <w:highlight w:val="none"/>
        </w:rPr>
        <w:t>件</w:t>
      </w:r>
    </w:p>
    <w:p w14:paraId="68B7BD7A">
      <w:pPr>
        <w:pageBreakBefore w:val="0"/>
        <w:kinsoku/>
        <w:wordWrap w:val="0"/>
        <w:overflowPunct/>
        <w:topLinePunct/>
        <w:bidi w:val="0"/>
        <w:spacing w:line="360" w:lineRule="auto"/>
        <w:ind w:firstLine="422" w:firstLineChars="200"/>
        <w:outlineLvl w:val="9"/>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rPr>
        <w:t>本附件所集中列示的废标条件，是本章“评标办法”的组成部分，是对第二章“</w:t>
      </w:r>
      <w:r>
        <w:rPr>
          <w:rFonts w:hint="eastAsia" w:ascii="华文仿宋" w:hAnsi="华文仿宋" w:eastAsia="华文仿宋" w:cs="华文仿宋"/>
          <w:b/>
          <w:color w:val="auto"/>
          <w:sz w:val="21"/>
          <w:szCs w:val="21"/>
          <w:highlight w:val="none"/>
          <w:lang w:eastAsia="zh-CN"/>
        </w:rPr>
        <w:t>供应商</w:t>
      </w:r>
      <w:r>
        <w:rPr>
          <w:rFonts w:hint="eastAsia" w:ascii="华文仿宋" w:hAnsi="华文仿宋" w:eastAsia="华文仿宋" w:cs="华文仿宋"/>
          <w:b/>
          <w:color w:val="auto"/>
          <w:sz w:val="21"/>
          <w:szCs w:val="21"/>
          <w:highlight w:val="none"/>
        </w:rPr>
        <w:t>须知”和本章正文部分所规定的废标条件的总结和补充，如果出现相互矛盾的情况，以第二章“</w:t>
      </w:r>
      <w:r>
        <w:rPr>
          <w:rFonts w:hint="eastAsia" w:ascii="华文仿宋" w:hAnsi="华文仿宋" w:eastAsia="华文仿宋" w:cs="华文仿宋"/>
          <w:b/>
          <w:color w:val="auto"/>
          <w:sz w:val="21"/>
          <w:szCs w:val="21"/>
          <w:highlight w:val="none"/>
          <w:lang w:eastAsia="zh-CN"/>
        </w:rPr>
        <w:t>供应商</w:t>
      </w:r>
      <w:r>
        <w:rPr>
          <w:rFonts w:hint="eastAsia" w:ascii="华文仿宋" w:hAnsi="华文仿宋" w:eastAsia="华文仿宋" w:cs="华文仿宋"/>
          <w:b/>
          <w:color w:val="auto"/>
          <w:sz w:val="21"/>
          <w:szCs w:val="21"/>
          <w:highlight w:val="none"/>
        </w:rPr>
        <w:t>须知”和本章正文部分的规定为准。</w:t>
      </w:r>
    </w:p>
    <w:p w14:paraId="1B872891">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outlineLvl w:val="9"/>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rPr>
        <w:t>1.未通过第三章评标办法</w:t>
      </w:r>
      <w:r>
        <w:rPr>
          <w:rFonts w:hint="eastAsia" w:ascii="华文仿宋" w:hAnsi="华文仿宋" w:eastAsia="华文仿宋" w:cs="华文仿宋"/>
          <w:b/>
          <w:color w:val="auto"/>
          <w:sz w:val="21"/>
          <w:szCs w:val="21"/>
          <w:highlight w:val="none"/>
          <w:lang w:eastAsia="zh-CN"/>
        </w:rPr>
        <w:t>资格评审、符合性评审的</w:t>
      </w:r>
      <w:r>
        <w:rPr>
          <w:rFonts w:hint="eastAsia" w:ascii="华文仿宋" w:hAnsi="华文仿宋" w:eastAsia="华文仿宋" w:cs="华文仿宋"/>
          <w:b/>
          <w:color w:val="auto"/>
          <w:sz w:val="21"/>
          <w:szCs w:val="21"/>
          <w:highlight w:val="none"/>
        </w:rPr>
        <w:t xml:space="preserve">； </w:t>
      </w:r>
    </w:p>
    <w:p w14:paraId="5B099352">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outlineLvl w:val="9"/>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lang w:val="en-US" w:eastAsia="zh-CN"/>
        </w:rPr>
        <w:t>2</w:t>
      </w:r>
      <w:r>
        <w:rPr>
          <w:rFonts w:hint="eastAsia" w:ascii="华文仿宋" w:hAnsi="华文仿宋" w:eastAsia="华文仿宋" w:cs="华文仿宋"/>
          <w:b/>
          <w:color w:val="auto"/>
          <w:sz w:val="21"/>
          <w:szCs w:val="21"/>
          <w:highlight w:val="none"/>
        </w:rPr>
        <w:t>.不按</w:t>
      </w:r>
      <w:r>
        <w:rPr>
          <w:rFonts w:hint="eastAsia" w:ascii="华文仿宋" w:hAnsi="华文仿宋" w:eastAsia="华文仿宋" w:cs="华文仿宋"/>
          <w:b/>
          <w:color w:val="auto"/>
          <w:sz w:val="21"/>
          <w:szCs w:val="21"/>
          <w:highlight w:val="none"/>
          <w:lang w:eastAsia="zh-CN"/>
        </w:rPr>
        <w:t>磋商小组</w:t>
      </w:r>
      <w:r>
        <w:rPr>
          <w:rFonts w:hint="eastAsia" w:ascii="华文仿宋" w:hAnsi="华文仿宋" w:eastAsia="华文仿宋" w:cs="华文仿宋"/>
          <w:b/>
          <w:color w:val="auto"/>
          <w:sz w:val="21"/>
          <w:szCs w:val="21"/>
          <w:highlight w:val="none"/>
        </w:rPr>
        <w:t>要求澄清、说明或补正的；</w:t>
      </w:r>
    </w:p>
    <w:p w14:paraId="6686215B">
      <w:pPr>
        <w:keepNext w:val="0"/>
        <w:keepLines w:val="0"/>
        <w:pageBreakBefore w:val="0"/>
        <w:widowControl w:val="0"/>
        <w:kinsoku/>
        <w:overflowPunct/>
        <w:autoSpaceDE/>
        <w:autoSpaceDN/>
        <w:bidi w:val="0"/>
        <w:adjustRightInd/>
        <w:snapToGrid/>
        <w:spacing w:line="360" w:lineRule="auto"/>
        <w:ind w:firstLine="422" w:firstLineChars="200"/>
        <w:textAlignment w:val="auto"/>
        <w:rPr>
          <w:rFonts w:hint="eastAsia" w:ascii="华文仿宋" w:hAnsi="华文仿宋" w:eastAsia="华文仿宋" w:cs="华文仿宋"/>
          <w:b/>
          <w:bCs w:val="0"/>
          <w:color w:val="auto"/>
          <w:szCs w:val="21"/>
        </w:rPr>
      </w:pPr>
      <w:r>
        <w:rPr>
          <w:rFonts w:hint="eastAsia" w:ascii="华文仿宋" w:hAnsi="华文仿宋" w:eastAsia="华文仿宋" w:cs="华文仿宋"/>
          <w:b/>
          <w:bCs w:val="0"/>
          <w:color w:val="auto"/>
          <w:szCs w:val="21"/>
        </w:rPr>
        <w:t>3.</w:t>
      </w:r>
      <w:r>
        <w:rPr>
          <w:rFonts w:hint="eastAsia" w:ascii="华文仿宋" w:hAnsi="华文仿宋" w:eastAsia="华文仿宋" w:cs="华文仿宋"/>
          <w:b/>
          <w:bCs w:val="0"/>
          <w:color w:val="auto"/>
          <w:szCs w:val="21"/>
          <w:lang w:val="en-US" w:eastAsia="zh-CN"/>
        </w:rPr>
        <w:t>磋商</w:t>
      </w:r>
      <w:r>
        <w:rPr>
          <w:rFonts w:hint="eastAsia" w:ascii="华文仿宋" w:hAnsi="华文仿宋" w:eastAsia="华文仿宋" w:cs="华文仿宋"/>
          <w:b/>
          <w:bCs w:val="0"/>
          <w:color w:val="auto"/>
          <w:szCs w:val="21"/>
        </w:rPr>
        <w:t>有效期不满足招标文件要求的；</w:t>
      </w:r>
    </w:p>
    <w:p w14:paraId="61A4F2B6">
      <w:pPr>
        <w:keepNext w:val="0"/>
        <w:keepLines w:val="0"/>
        <w:pageBreakBefore w:val="0"/>
        <w:widowControl w:val="0"/>
        <w:kinsoku/>
        <w:overflowPunct/>
        <w:autoSpaceDE/>
        <w:autoSpaceDN/>
        <w:bidi w:val="0"/>
        <w:adjustRightInd/>
        <w:snapToGrid/>
        <w:spacing w:line="360" w:lineRule="auto"/>
        <w:ind w:firstLine="422" w:firstLineChars="200"/>
        <w:textAlignment w:val="auto"/>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lang w:val="en-US" w:eastAsia="zh-CN"/>
        </w:rPr>
        <w:t>4</w:t>
      </w:r>
      <w:r>
        <w:rPr>
          <w:rFonts w:hint="eastAsia" w:ascii="华文仿宋" w:hAnsi="华文仿宋" w:eastAsia="华文仿宋" w:cs="华文仿宋"/>
          <w:b/>
          <w:color w:val="auto"/>
          <w:sz w:val="21"/>
          <w:szCs w:val="21"/>
          <w:highlight w:val="none"/>
        </w:rPr>
        <w:t>.</w:t>
      </w:r>
      <w:r>
        <w:rPr>
          <w:rFonts w:hint="eastAsia" w:ascii="华文仿宋" w:hAnsi="华文仿宋" w:eastAsia="华文仿宋" w:cs="华文仿宋"/>
          <w:b/>
          <w:color w:val="auto"/>
          <w:sz w:val="21"/>
          <w:szCs w:val="21"/>
          <w:highlight w:val="none"/>
          <w:lang w:eastAsia="zh-CN"/>
        </w:rPr>
        <w:t>磋商</w:t>
      </w:r>
      <w:r>
        <w:rPr>
          <w:rFonts w:hint="eastAsia" w:ascii="华文仿宋" w:hAnsi="华文仿宋" w:eastAsia="华文仿宋" w:cs="华文仿宋"/>
          <w:b/>
          <w:color w:val="auto"/>
          <w:sz w:val="21"/>
          <w:szCs w:val="21"/>
          <w:highlight w:val="none"/>
        </w:rPr>
        <w:t>报价有算术性错误，投标人不接受修正价格的；</w:t>
      </w:r>
    </w:p>
    <w:p w14:paraId="6AE1C828">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outlineLvl w:val="9"/>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lang w:val="en-US" w:eastAsia="zh-CN"/>
        </w:rPr>
        <w:t>5</w:t>
      </w:r>
      <w:r>
        <w:rPr>
          <w:rFonts w:hint="eastAsia" w:ascii="华文仿宋" w:hAnsi="华文仿宋" w:eastAsia="华文仿宋" w:cs="华文仿宋"/>
          <w:b/>
          <w:color w:val="auto"/>
          <w:sz w:val="21"/>
          <w:szCs w:val="21"/>
          <w:highlight w:val="none"/>
        </w:rPr>
        <w:t>.以他人的名义投标、以行贿手段谋取</w:t>
      </w:r>
      <w:r>
        <w:rPr>
          <w:rFonts w:hint="eastAsia" w:ascii="华文仿宋" w:hAnsi="华文仿宋" w:eastAsia="华文仿宋" w:cs="华文仿宋"/>
          <w:b/>
          <w:color w:val="auto"/>
          <w:sz w:val="21"/>
          <w:szCs w:val="21"/>
          <w:highlight w:val="none"/>
          <w:lang w:eastAsia="zh-CN"/>
        </w:rPr>
        <w:t>成交</w:t>
      </w:r>
      <w:r>
        <w:rPr>
          <w:rFonts w:hint="eastAsia" w:ascii="华文仿宋" w:hAnsi="华文仿宋" w:eastAsia="华文仿宋" w:cs="华文仿宋"/>
          <w:b/>
          <w:color w:val="auto"/>
          <w:sz w:val="21"/>
          <w:szCs w:val="21"/>
          <w:highlight w:val="none"/>
        </w:rPr>
        <w:t>或者以其他弄虚作假方式投标的；</w:t>
      </w:r>
    </w:p>
    <w:p w14:paraId="29EE1D52">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outlineLvl w:val="1"/>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lang w:val="en-US" w:eastAsia="zh-CN"/>
        </w:rPr>
        <w:t>6</w:t>
      </w:r>
      <w:r>
        <w:rPr>
          <w:rFonts w:hint="eastAsia" w:ascii="华文仿宋" w:hAnsi="华文仿宋" w:eastAsia="华文仿宋" w:cs="华文仿宋"/>
          <w:b/>
          <w:color w:val="auto"/>
          <w:sz w:val="21"/>
          <w:szCs w:val="21"/>
          <w:highlight w:val="none"/>
        </w:rPr>
        <w:t>.属于串（围）标行为的；</w:t>
      </w:r>
    </w:p>
    <w:p w14:paraId="797DCD4F">
      <w:pPr>
        <w:keepNext w:val="0"/>
        <w:keepLines w:val="0"/>
        <w:pageBreakBefore w:val="0"/>
        <w:widowControl w:val="0"/>
        <w:kinsoku/>
        <w:overflowPunct/>
        <w:autoSpaceDE/>
        <w:autoSpaceDN/>
        <w:bidi w:val="0"/>
        <w:adjustRightInd/>
        <w:snapToGrid/>
        <w:spacing w:line="360" w:lineRule="auto"/>
        <w:ind w:firstLine="422" w:firstLineChars="200"/>
        <w:textAlignment w:val="auto"/>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lang w:val="en-US" w:eastAsia="zh-CN"/>
        </w:rPr>
        <w:t>7</w:t>
      </w:r>
      <w:r>
        <w:rPr>
          <w:rFonts w:hint="eastAsia" w:ascii="华文仿宋" w:hAnsi="华文仿宋" w:eastAsia="华文仿宋" w:cs="华文仿宋"/>
          <w:b/>
          <w:color w:val="auto"/>
          <w:sz w:val="21"/>
          <w:szCs w:val="21"/>
          <w:highlight w:val="none"/>
        </w:rPr>
        <w:t>.</w:t>
      </w:r>
      <w:r>
        <w:rPr>
          <w:rFonts w:hint="eastAsia" w:ascii="华文仿宋" w:hAnsi="华文仿宋" w:eastAsia="华文仿宋" w:cs="华文仿宋"/>
          <w:b/>
          <w:bCs/>
          <w:color w:val="auto"/>
          <w:szCs w:val="21"/>
          <w:lang w:val="en-US" w:eastAsia="zh-CN"/>
        </w:rPr>
        <w:t>根据信财购〔2020〕4 号文中六、防范投标企业串标围标及恶意低价行为措施方面，</w:t>
      </w:r>
      <w:r>
        <w:rPr>
          <w:rFonts w:hint="eastAsia" w:ascii="华文仿宋" w:hAnsi="华文仿宋" w:eastAsia="华文仿宋" w:cs="华文仿宋"/>
          <w:b/>
          <w:bCs/>
          <w:color w:val="auto"/>
          <w:szCs w:val="21"/>
        </w:rPr>
        <w:t>评标专家评审中发现投标人的报价明显低于其他通过符合性审查投标人的报价</w:t>
      </w:r>
      <w:r>
        <w:rPr>
          <w:rFonts w:hint="eastAsia" w:ascii="华文仿宋" w:hAnsi="华文仿宋" w:eastAsia="华文仿宋" w:cs="华文仿宋"/>
          <w:b/>
          <w:bCs/>
          <w:color w:val="auto"/>
          <w:szCs w:val="21"/>
          <w:lang w:val="en-US" w:eastAsia="zh-CN"/>
        </w:rPr>
        <w:t>（建议比控制价低30%的）</w:t>
      </w:r>
      <w:r>
        <w:rPr>
          <w:rFonts w:hint="eastAsia" w:ascii="华文仿宋" w:hAnsi="华文仿宋" w:eastAsia="华文仿宋" w:cs="华文仿宋"/>
          <w:b/>
          <w:bCs/>
          <w:color w:val="auto"/>
          <w:szCs w:val="21"/>
        </w:rPr>
        <w:t>，且该投标人的技术等主要指标有大量或明细不符，可能影响采购质量或项目履约的，应该要求其在评标现场合理的时间内提供书面说明（书面说明应包含但不限于所投详细的价格组成证明材料），投标人不能证明其报价合理性的，评标委员会应当将其作为无效投标处理</w:t>
      </w:r>
      <w:r>
        <w:rPr>
          <w:rFonts w:hint="eastAsia" w:ascii="华文仿宋" w:hAnsi="华文仿宋" w:eastAsia="华文仿宋" w:cs="华文仿宋"/>
          <w:b/>
          <w:color w:val="auto"/>
          <w:sz w:val="21"/>
          <w:szCs w:val="21"/>
          <w:highlight w:val="none"/>
        </w:rPr>
        <w:t>；</w:t>
      </w:r>
    </w:p>
    <w:p w14:paraId="39773F7B">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outlineLvl w:val="1"/>
        <w:rPr>
          <w:rFonts w:hint="eastAsia" w:ascii="华文仿宋" w:hAnsi="华文仿宋" w:eastAsia="华文仿宋" w:cs="华文仿宋"/>
          <w:b/>
          <w:color w:val="auto"/>
          <w:sz w:val="21"/>
          <w:szCs w:val="21"/>
          <w:highlight w:val="none"/>
          <w:lang w:val="en-US" w:eastAsia="zh-CN"/>
        </w:rPr>
      </w:pPr>
      <w:r>
        <w:rPr>
          <w:rFonts w:hint="eastAsia" w:ascii="华文仿宋" w:hAnsi="华文仿宋" w:eastAsia="华文仿宋" w:cs="华文仿宋"/>
          <w:b/>
          <w:color w:val="auto"/>
          <w:sz w:val="21"/>
          <w:szCs w:val="21"/>
          <w:highlight w:val="none"/>
          <w:lang w:val="en-US" w:eastAsia="zh-CN"/>
        </w:rPr>
        <w:t>8.文件制作机器码、文件创建标识码有相同的；</w:t>
      </w:r>
    </w:p>
    <w:p w14:paraId="7C82C7F5">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outlineLvl w:val="9"/>
        <w:rPr>
          <w:rFonts w:hint="eastAsia" w:ascii="华文仿宋" w:hAnsi="华文仿宋" w:eastAsia="华文仿宋" w:cs="华文仿宋"/>
          <w:b/>
          <w:color w:val="auto"/>
          <w:sz w:val="21"/>
          <w:szCs w:val="21"/>
          <w:highlight w:val="none"/>
          <w:lang w:val="en-US" w:eastAsia="zh-CN"/>
        </w:rPr>
      </w:pPr>
      <w:r>
        <w:rPr>
          <w:rFonts w:hint="eastAsia" w:ascii="华文仿宋" w:hAnsi="华文仿宋" w:eastAsia="华文仿宋" w:cs="华文仿宋"/>
          <w:b/>
          <w:color w:val="auto"/>
          <w:sz w:val="21"/>
          <w:szCs w:val="21"/>
          <w:highlight w:val="none"/>
          <w:lang w:val="en-US" w:eastAsia="zh-CN"/>
        </w:rPr>
        <w:t>9</w:t>
      </w:r>
      <w:r>
        <w:rPr>
          <w:rFonts w:hint="eastAsia" w:ascii="华文仿宋" w:hAnsi="华文仿宋" w:eastAsia="华文仿宋" w:cs="华文仿宋"/>
          <w:b/>
          <w:color w:val="auto"/>
          <w:sz w:val="21"/>
          <w:szCs w:val="21"/>
          <w:highlight w:val="none"/>
        </w:rPr>
        <w:t>．不符合</w:t>
      </w:r>
      <w:r>
        <w:rPr>
          <w:rFonts w:hint="eastAsia" w:ascii="华文仿宋" w:hAnsi="华文仿宋" w:eastAsia="华文仿宋" w:cs="华文仿宋"/>
          <w:b/>
          <w:color w:val="auto"/>
          <w:sz w:val="21"/>
          <w:szCs w:val="21"/>
          <w:highlight w:val="none"/>
          <w:lang w:eastAsia="zh-CN"/>
        </w:rPr>
        <w:t>竞争性磋商</w:t>
      </w:r>
      <w:r>
        <w:rPr>
          <w:rFonts w:hint="eastAsia" w:ascii="华文仿宋" w:hAnsi="华文仿宋" w:eastAsia="华文仿宋" w:cs="华文仿宋"/>
          <w:b/>
          <w:color w:val="auto"/>
          <w:sz w:val="21"/>
          <w:szCs w:val="21"/>
          <w:highlight w:val="none"/>
        </w:rPr>
        <w:t>文件规定的其他实质性要求及相关法律、法规或规章规定可以废标的其他情形</w:t>
      </w:r>
      <w:r>
        <w:rPr>
          <w:rFonts w:hint="eastAsia" w:ascii="华文仿宋" w:hAnsi="华文仿宋" w:eastAsia="华文仿宋" w:cs="华文仿宋"/>
          <w:b/>
          <w:color w:val="auto"/>
          <w:sz w:val="21"/>
          <w:szCs w:val="21"/>
          <w:highlight w:val="none"/>
          <w:lang w:val="en-US" w:eastAsia="zh-CN"/>
        </w:rPr>
        <w:t>；</w:t>
      </w:r>
    </w:p>
    <w:p w14:paraId="32F34F7D">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outlineLvl w:val="9"/>
        <w:rPr>
          <w:rFonts w:hint="eastAsia" w:ascii="华文仿宋" w:hAnsi="华文仿宋" w:eastAsia="华文仿宋" w:cs="华文仿宋"/>
          <w:b/>
          <w:color w:val="auto"/>
          <w:sz w:val="21"/>
          <w:szCs w:val="21"/>
          <w:highlight w:val="none"/>
          <w:lang w:val="en-US" w:eastAsia="zh-CN"/>
        </w:rPr>
      </w:pPr>
      <w:r>
        <w:rPr>
          <w:rFonts w:hint="eastAsia" w:ascii="华文仿宋" w:hAnsi="华文仿宋" w:eastAsia="华文仿宋" w:cs="华文仿宋"/>
          <w:b/>
          <w:color w:val="auto"/>
          <w:sz w:val="21"/>
          <w:szCs w:val="21"/>
          <w:highlight w:val="none"/>
          <w:lang w:val="en-US" w:eastAsia="zh-CN"/>
        </w:rPr>
        <w:t>10.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采购人和代理机构认为不影响实质性响应和公平公正的，可以要求评审小组对该项目继续评审，并由采购人和代理机构做好相关事实、依据记录，采购人和代理机构对继续评审的决定负责。</w:t>
      </w:r>
    </w:p>
    <w:p w14:paraId="31E19B9A">
      <w:pPr>
        <w:pageBreakBefore w:val="0"/>
        <w:kinsoku/>
        <w:wordWrap w:val="0"/>
        <w:overflowPunct/>
        <w:topLinePunct/>
        <w:bidi w:val="0"/>
        <w:spacing w:line="360" w:lineRule="auto"/>
        <w:outlineLvl w:val="9"/>
        <w:rPr>
          <w:rFonts w:hint="eastAsia" w:ascii="华文仿宋" w:hAnsi="华文仿宋" w:eastAsia="华文仿宋" w:cs="华文仿宋"/>
          <w:color w:val="auto"/>
          <w:sz w:val="36"/>
          <w:szCs w:val="36"/>
          <w:highlight w:val="none"/>
        </w:rPr>
      </w:pPr>
      <w:r>
        <w:rPr>
          <w:rFonts w:hint="eastAsia" w:ascii="华文仿宋" w:hAnsi="华文仿宋" w:eastAsia="华文仿宋" w:cs="华文仿宋"/>
          <w:color w:val="auto"/>
          <w:sz w:val="36"/>
          <w:szCs w:val="36"/>
          <w:highlight w:val="none"/>
        </w:rPr>
        <w:br w:type="page"/>
      </w:r>
    </w:p>
    <w:p w14:paraId="4953A3A4">
      <w:pPr>
        <w:pStyle w:val="2"/>
        <w:pageBreakBefore w:val="0"/>
        <w:kinsoku/>
        <w:wordWrap w:val="0"/>
        <w:overflowPunct/>
        <w:topLinePunct/>
        <w:bidi w:val="0"/>
        <w:spacing w:line="360" w:lineRule="auto"/>
        <w:jc w:val="center"/>
        <w:rPr>
          <w:rFonts w:hint="eastAsia" w:ascii="华文仿宋" w:hAnsi="华文仿宋" w:eastAsia="华文仿宋" w:cs="华文仿宋"/>
          <w:color w:val="auto"/>
          <w:highlight w:val="none"/>
        </w:rPr>
      </w:pPr>
      <w:bookmarkStart w:id="839" w:name="_Toc6733"/>
      <w:r>
        <w:rPr>
          <w:rFonts w:hint="eastAsia" w:ascii="华文仿宋" w:hAnsi="华文仿宋" w:eastAsia="华文仿宋" w:cs="华文仿宋"/>
          <w:color w:val="auto"/>
          <w:highlight w:val="none"/>
        </w:rPr>
        <w:t>第四章</w:t>
      </w:r>
      <w:r>
        <w:rPr>
          <w:rFonts w:hint="eastAsia" w:ascii="华文仿宋" w:hAnsi="华文仿宋" w:eastAsia="华文仿宋" w:cs="华文仿宋"/>
          <w:color w:val="auto"/>
          <w:highlight w:val="none"/>
          <w:lang w:val="en-US" w:eastAsia="zh-CN"/>
        </w:rPr>
        <w:t xml:space="preserve"> </w:t>
      </w:r>
      <w:r>
        <w:rPr>
          <w:rFonts w:hint="eastAsia" w:ascii="华文仿宋" w:hAnsi="华文仿宋" w:eastAsia="华文仿宋" w:cs="华文仿宋"/>
          <w:color w:val="auto"/>
          <w:highlight w:val="none"/>
        </w:rPr>
        <w:t>合同主要条款</w:t>
      </w:r>
      <w:r>
        <w:rPr>
          <w:rFonts w:hint="eastAsia" w:ascii="华文仿宋" w:hAnsi="华文仿宋" w:eastAsia="华文仿宋" w:cs="华文仿宋"/>
          <w:color w:val="auto"/>
          <w:highlight w:val="none"/>
          <w:lang w:eastAsia="zh-CN"/>
        </w:rPr>
        <w:t>及格式</w:t>
      </w:r>
      <w:r>
        <w:rPr>
          <w:rFonts w:hint="eastAsia" w:ascii="华文仿宋" w:hAnsi="华文仿宋" w:eastAsia="华文仿宋" w:cs="华文仿宋"/>
          <w:color w:val="auto"/>
          <w:highlight w:val="none"/>
        </w:rPr>
        <w:t>（参考文本）</w:t>
      </w:r>
      <w:bookmarkEnd w:id="839"/>
    </w:p>
    <w:p w14:paraId="40C72B70">
      <w:pPr>
        <w:keepNext w:val="0"/>
        <w:keepLines w:val="0"/>
        <w:pageBreakBefore w:val="0"/>
        <w:widowControl w:val="0"/>
        <w:kinsoku/>
        <w:wordWrap w:val="0"/>
        <w:overflowPunct/>
        <w:topLinePunct/>
        <w:autoSpaceDE/>
        <w:autoSpaceDN/>
        <w:bidi w:val="0"/>
        <w:adjustRightInd/>
        <w:snapToGrid/>
        <w:spacing w:line="360" w:lineRule="auto"/>
        <w:ind w:firstLine="422" w:firstLineChars="200"/>
        <w:jc w:val="center"/>
        <w:textAlignment w:val="auto"/>
        <w:outlineLvl w:val="1"/>
        <w:rPr>
          <w:rFonts w:hint="eastAsia" w:ascii="华文仿宋" w:hAnsi="华文仿宋" w:eastAsia="华文仿宋" w:cs="华文仿宋"/>
          <w:b/>
          <w:bCs/>
          <w:color w:val="auto"/>
          <w:sz w:val="21"/>
          <w:szCs w:val="21"/>
          <w:highlight w:val="none"/>
          <w:lang w:eastAsia="zh-CN"/>
        </w:rPr>
      </w:pPr>
      <w:r>
        <w:rPr>
          <w:rFonts w:hint="eastAsia" w:ascii="华文仿宋" w:hAnsi="华文仿宋" w:eastAsia="华文仿宋" w:cs="华文仿宋"/>
          <w:b/>
          <w:bCs/>
          <w:color w:val="auto"/>
          <w:sz w:val="21"/>
          <w:szCs w:val="21"/>
          <w:highlight w:val="none"/>
          <w:lang w:eastAsia="zh-CN"/>
        </w:rPr>
        <w:t>（仅供参考，以实际签订为准）</w:t>
      </w:r>
    </w:p>
    <w:p w14:paraId="36E866F9">
      <w:pPr>
        <w:pStyle w:val="16"/>
        <w:spacing w:line="360" w:lineRule="auto"/>
        <w:rPr>
          <w:rFonts w:hint="eastAsia" w:ascii="华文仿宋" w:hAnsi="华文仿宋" w:eastAsia="华文仿宋" w:cs="华文仿宋"/>
          <w:color w:val="auto"/>
          <w:sz w:val="21"/>
          <w:szCs w:val="21"/>
          <w:highlight w:val="none"/>
          <w:lang w:eastAsia="zh-CN"/>
        </w:rPr>
      </w:pPr>
    </w:p>
    <w:p w14:paraId="3B96B2B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甲方：</w:t>
      </w:r>
      <w:r>
        <w:rPr>
          <w:rFonts w:hint="eastAsia" w:ascii="华文仿宋" w:hAnsi="华文仿宋" w:eastAsia="华文仿宋" w:cs="华文仿宋"/>
          <w:color w:val="auto"/>
          <w:sz w:val="21"/>
          <w:szCs w:val="21"/>
          <w:highlight w:val="none"/>
          <w:u w:val="single"/>
        </w:rPr>
        <w:t xml:space="preserve">                    </w:t>
      </w:r>
      <w:r>
        <w:rPr>
          <w:rFonts w:hint="eastAsia" w:ascii="华文仿宋" w:hAnsi="华文仿宋" w:eastAsia="华文仿宋" w:cs="华文仿宋"/>
          <w:color w:val="auto"/>
          <w:sz w:val="21"/>
          <w:szCs w:val="21"/>
          <w:highlight w:val="none"/>
        </w:rPr>
        <w:t>（以下简称甲方）</w:t>
      </w:r>
    </w:p>
    <w:p w14:paraId="0CFE495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乙方：</w:t>
      </w:r>
      <w:r>
        <w:rPr>
          <w:rFonts w:hint="eastAsia" w:ascii="华文仿宋" w:hAnsi="华文仿宋" w:eastAsia="华文仿宋" w:cs="华文仿宋"/>
          <w:color w:val="auto"/>
          <w:sz w:val="21"/>
          <w:szCs w:val="21"/>
          <w:highlight w:val="none"/>
          <w:u w:val="single"/>
        </w:rPr>
        <w:t xml:space="preserve">                     </w:t>
      </w:r>
      <w:r>
        <w:rPr>
          <w:rFonts w:hint="eastAsia" w:ascii="华文仿宋" w:hAnsi="华文仿宋" w:eastAsia="华文仿宋" w:cs="华文仿宋"/>
          <w:color w:val="auto"/>
          <w:sz w:val="21"/>
          <w:szCs w:val="21"/>
          <w:highlight w:val="none"/>
        </w:rPr>
        <w:t xml:space="preserve">（以下简称乙方）      </w:t>
      </w:r>
    </w:p>
    <w:p w14:paraId="15EE5571">
      <w:pPr>
        <w:keepNext w:val="0"/>
        <w:keepLines w:val="0"/>
        <w:pageBreakBefore w:val="0"/>
        <w:kinsoku/>
        <w:overflowPunct/>
        <w:topLinePunct w:val="0"/>
        <w:autoSpaceDE/>
        <w:autoSpaceDN/>
        <w:bidi w:val="0"/>
        <w:adjustRightInd/>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u w:val="single"/>
        </w:rPr>
        <w:t>（</w:t>
      </w:r>
      <w:r>
        <w:rPr>
          <w:rFonts w:hint="eastAsia" w:ascii="华文仿宋" w:hAnsi="华文仿宋" w:eastAsia="华文仿宋" w:cs="华文仿宋"/>
          <w:color w:val="auto"/>
          <w:sz w:val="21"/>
          <w:szCs w:val="21"/>
          <w:u w:val="single"/>
          <w:lang w:eastAsia="zh-CN"/>
        </w:rPr>
        <w:t>采购人名称</w:t>
      </w:r>
      <w:r>
        <w:rPr>
          <w:rFonts w:hint="eastAsia" w:ascii="华文仿宋" w:hAnsi="华文仿宋" w:eastAsia="华文仿宋" w:cs="华文仿宋"/>
          <w:color w:val="auto"/>
          <w:sz w:val="21"/>
          <w:szCs w:val="21"/>
          <w:u w:val="single"/>
        </w:rPr>
        <w:t>）</w:t>
      </w:r>
      <w:r>
        <w:rPr>
          <w:rFonts w:hint="eastAsia" w:ascii="华文仿宋" w:hAnsi="华文仿宋" w:eastAsia="华文仿宋" w:cs="华文仿宋"/>
          <w:color w:val="auto"/>
          <w:sz w:val="21"/>
          <w:szCs w:val="21"/>
          <w:u w:val="none"/>
          <w:lang w:eastAsia="zh-CN"/>
        </w:rPr>
        <w:t>就</w:t>
      </w:r>
      <w:r>
        <w:rPr>
          <w:rFonts w:hint="eastAsia" w:ascii="华文仿宋" w:hAnsi="华文仿宋" w:eastAsia="华文仿宋" w:cs="华文仿宋"/>
          <w:color w:val="auto"/>
          <w:sz w:val="21"/>
          <w:szCs w:val="21"/>
          <w:u w:val="single"/>
        </w:rPr>
        <w:t>（</w:t>
      </w:r>
      <w:r>
        <w:rPr>
          <w:rFonts w:hint="eastAsia" w:ascii="华文仿宋" w:hAnsi="华文仿宋" w:eastAsia="华文仿宋" w:cs="华文仿宋"/>
          <w:color w:val="auto"/>
          <w:sz w:val="21"/>
          <w:szCs w:val="21"/>
          <w:u w:val="single"/>
          <w:lang w:eastAsia="zh-CN"/>
        </w:rPr>
        <w:t>项目名称</w:t>
      </w:r>
      <w:r>
        <w:rPr>
          <w:rFonts w:hint="eastAsia" w:ascii="华文仿宋" w:hAnsi="华文仿宋" w:eastAsia="华文仿宋" w:cs="华文仿宋"/>
          <w:color w:val="auto"/>
          <w:sz w:val="21"/>
          <w:szCs w:val="21"/>
          <w:u w:val="none"/>
        </w:rPr>
        <w:t>）</w:t>
      </w:r>
      <w:r>
        <w:rPr>
          <w:rFonts w:hint="eastAsia" w:ascii="华文仿宋" w:hAnsi="华文仿宋" w:eastAsia="华文仿宋" w:cs="华文仿宋"/>
          <w:color w:val="auto"/>
          <w:sz w:val="21"/>
          <w:szCs w:val="21"/>
        </w:rPr>
        <w:t>委托</w:t>
      </w:r>
      <w:r>
        <w:rPr>
          <w:rFonts w:hint="eastAsia" w:ascii="华文仿宋" w:hAnsi="华文仿宋" w:eastAsia="华文仿宋" w:cs="华文仿宋"/>
          <w:color w:val="auto"/>
          <w:sz w:val="21"/>
          <w:szCs w:val="21"/>
          <w:u w:val="single"/>
          <w:lang w:val="en-US" w:eastAsia="zh-CN"/>
        </w:rPr>
        <w:t xml:space="preserve">  （采购代理机构）  </w:t>
      </w:r>
      <w:r>
        <w:rPr>
          <w:rFonts w:hint="eastAsia" w:ascii="华文仿宋" w:hAnsi="华文仿宋" w:eastAsia="华文仿宋" w:cs="华文仿宋"/>
          <w:color w:val="auto"/>
          <w:sz w:val="21"/>
          <w:szCs w:val="21"/>
        </w:rPr>
        <w:t>进行了政府采购。按照评委会评审推荐、甲方确定乙方为中标单位。</w:t>
      </w:r>
      <w:r>
        <w:rPr>
          <w:rFonts w:hint="eastAsia" w:ascii="华文仿宋" w:hAnsi="华文仿宋" w:eastAsia="华文仿宋" w:cs="华文仿宋"/>
          <w:color w:val="auto"/>
          <w:kern w:val="0"/>
          <w:sz w:val="21"/>
          <w:szCs w:val="21"/>
        </w:rPr>
        <w:t>甲、乙双方根据《中华人民共和国采购法》、《中华人民共和国</w:t>
      </w:r>
      <w:r>
        <w:rPr>
          <w:rFonts w:hint="eastAsia" w:ascii="华文仿宋" w:hAnsi="华文仿宋" w:eastAsia="华文仿宋" w:cs="华文仿宋"/>
          <w:color w:val="auto"/>
          <w:kern w:val="0"/>
          <w:sz w:val="21"/>
          <w:szCs w:val="21"/>
          <w:lang w:eastAsia="zh-CN"/>
        </w:rPr>
        <w:t>民法典</w:t>
      </w:r>
      <w:r>
        <w:rPr>
          <w:rFonts w:hint="eastAsia" w:ascii="华文仿宋" w:hAnsi="华文仿宋" w:eastAsia="华文仿宋" w:cs="华文仿宋"/>
          <w:color w:val="auto"/>
          <w:kern w:val="0"/>
          <w:sz w:val="21"/>
          <w:szCs w:val="21"/>
        </w:rPr>
        <w:t>》等法律法规的规定</w:t>
      </w:r>
      <w:r>
        <w:rPr>
          <w:rFonts w:hint="eastAsia" w:ascii="华文仿宋" w:hAnsi="华文仿宋" w:eastAsia="华文仿宋" w:cs="华文仿宋"/>
          <w:color w:val="auto"/>
          <w:sz w:val="21"/>
          <w:szCs w:val="21"/>
        </w:rPr>
        <w:t>双方协商同意签订本合同。</w:t>
      </w:r>
    </w:p>
    <w:p w14:paraId="0E5C9F5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1"/>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 </w:t>
      </w:r>
      <w:r>
        <w:rPr>
          <w:rFonts w:hint="eastAsia" w:ascii="华文仿宋" w:hAnsi="华文仿宋" w:eastAsia="华文仿宋" w:cs="华文仿宋"/>
          <w:color w:val="auto"/>
          <w:sz w:val="21"/>
          <w:szCs w:val="21"/>
          <w:highlight w:val="none"/>
          <w:lang w:eastAsia="zh-CN"/>
        </w:rPr>
        <w:t>一、</w:t>
      </w:r>
      <w:r>
        <w:rPr>
          <w:rFonts w:hint="eastAsia" w:ascii="华文仿宋" w:hAnsi="华文仿宋" w:eastAsia="华文仿宋" w:cs="华文仿宋"/>
          <w:color w:val="auto"/>
          <w:sz w:val="21"/>
          <w:szCs w:val="21"/>
          <w:highlight w:val="none"/>
        </w:rPr>
        <w:t>合同期限</w:t>
      </w:r>
    </w:p>
    <w:p w14:paraId="57DC5B7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本</w:t>
      </w:r>
      <w:r>
        <w:rPr>
          <w:rFonts w:hint="eastAsia" w:ascii="华文仿宋" w:hAnsi="华文仿宋" w:eastAsia="华文仿宋" w:cs="华文仿宋"/>
          <w:color w:val="auto"/>
          <w:sz w:val="21"/>
          <w:szCs w:val="21"/>
          <w:highlight w:val="none"/>
          <w:lang w:eastAsia="zh-CN"/>
        </w:rPr>
        <w:t>协议</w:t>
      </w:r>
      <w:r>
        <w:rPr>
          <w:rFonts w:hint="eastAsia" w:ascii="华文仿宋" w:hAnsi="华文仿宋" w:eastAsia="华文仿宋" w:cs="华文仿宋"/>
          <w:color w:val="auto"/>
          <w:sz w:val="21"/>
          <w:szCs w:val="21"/>
          <w:highlight w:val="none"/>
        </w:rPr>
        <w:t>有效期为</w:t>
      </w:r>
      <w:r>
        <w:rPr>
          <w:rFonts w:hint="eastAsia" w:ascii="华文仿宋" w:hAnsi="华文仿宋" w:eastAsia="华文仿宋" w:cs="华文仿宋"/>
          <w:color w:val="auto"/>
          <w:sz w:val="21"/>
          <w:szCs w:val="21"/>
          <w:highlight w:val="none"/>
          <w:u w:val="single"/>
        </w:rPr>
        <w:t xml:space="preserve">   </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u w:val="single"/>
        </w:rPr>
        <w:t>年   月   日至     年   月   日</w:t>
      </w:r>
      <w:r>
        <w:rPr>
          <w:rFonts w:hint="eastAsia" w:ascii="华文仿宋" w:hAnsi="华文仿宋" w:eastAsia="华文仿宋" w:cs="华文仿宋"/>
          <w:color w:val="auto"/>
          <w:sz w:val="21"/>
          <w:szCs w:val="21"/>
          <w:highlight w:val="none"/>
        </w:rPr>
        <w:t>。</w:t>
      </w:r>
    </w:p>
    <w:p w14:paraId="0091D24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1"/>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eastAsia="zh-CN"/>
        </w:rPr>
        <w:t>二、</w:t>
      </w:r>
      <w:r>
        <w:rPr>
          <w:rFonts w:hint="eastAsia" w:ascii="华文仿宋" w:hAnsi="华文仿宋" w:eastAsia="华文仿宋" w:cs="华文仿宋"/>
          <w:color w:val="auto"/>
          <w:sz w:val="21"/>
          <w:szCs w:val="21"/>
          <w:highlight w:val="none"/>
          <w:lang w:val="en-US" w:eastAsia="zh-CN"/>
        </w:rPr>
        <w:t>服务</w:t>
      </w:r>
      <w:r>
        <w:rPr>
          <w:rFonts w:hint="eastAsia" w:ascii="华文仿宋" w:hAnsi="华文仿宋" w:eastAsia="华文仿宋" w:cs="华文仿宋"/>
          <w:color w:val="auto"/>
          <w:sz w:val="21"/>
          <w:szCs w:val="21"/>
          <w:highlight w:val="none"/>
        </w:rPr>
        <w:t>范围</w:t>
      </w:r>
    </w:p>
    <w:p w14:paraId="4C5910F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“淮滨县2025年度杨树食叶害虫飞机喷药防治项目”，计划全年飞防20万亩（采购人根据虫情变化可以适当调整、增减作业面积）。</w:t>
      </w:r>
    </w:p>
    <w:p w14:paraId="2DB590D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  </w:t>
      </w:r>
      <w:r>
        <w:rPr>
          <w:rFonts w:hint="eastAsia" w:ascii="华文仿宋" w:hAnsi="华文仿宋" w:eastAsia="华文仿宋" w:cs="华文仿宋"/>
          <w:color w:val="auto"/>
          <w:sz w:val="21"/>
          <w:szCs w:val="21"/>
          <w:highlight w:val="none"/>
          <w:lang w:val="en-US" w:eastAsia="zh-CN"/>
        </w:rPr>
        <w:t xml:space="preserve"> </w:t>
      </w:r>
      <w:r>
        <w:rPr>
          <w:rFonts w:hint="eastAsia" w:ascii="华文仿宋" w:hAnsi="华文仿宋" w:eastAsia="华文仿宋" w:cs="华文仿宋"/>
          <w:color w:val="auto"/>
          <w:sz w:val="21"/>
          <w:szCs w:val="21"/>
          <w:highlight w:val="none"/>
        </w:rPr>
        <w:t xml:space="preserve">三、费用及付款方式  </w:t>
      </w:r>
    </w:p>
    <w:p w14:paraId="04EAC98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1、费用：本协议的</w:t>
      </w:r>
      <w:r>
        <w:rPr>
          <w:rFonts w:hint="eastAsia" w:ascii="华文仿宋" w:hAnsi="华文仿宋" w:eastAsia="华文仿宋" w:cs="华文仿宋"/>
          <w:color w:val="auto"/>
          <w:sz w:val="21"/>
          <w:szCs w:val="21"/>
          <w:highlight w:val="none"/>
          <w:lang w:val="en-US" w:eastAsia="zh-CN"/>
        </w:rPr>
        <w:t>服务费</w:t>
      </w:r>
      <w:r>
        <w:rPr>
          <w:rFonts w:hint="eastAsia" w:ascii="华文仿宋" w:hAnsi="华文仿宋" w:eastAsia="华文仿宋" w:cs="华文仿宋"/>
          <w:color w:val="auto"/>
          <w:sz w:val="21"/>
          <w:szCs w:val="21"/>
          <w:highlight w:val="none"/>
          <w:lang w:eastAsia="zh-CN"/>
        </w:rPr>
        <w:t>共计</w:t>
      </w:r>
      <w:r>
        <w:rPr>
          <w:rFonts w:hint="eastAsia" w:ascii="华文仿宋" w:hAnsi="华文仿宋" w:eastAsia="华文仿宋" w:cs="华文仿宋"/>
          <w:color w:val="auto"/>
          <w:sz w:val="21"/>
          <w:szCs w:val="21"/>
          <w:highlight w:val="none"/>
        </w:rPr>
        <w:t>为</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lang w:val="en-US" w:eastAsia="zh-CN"/>
        </w:rPr>
        <w:t>元</w:t>
      </w:r>
      <w:r>
        <w:rPr>
          <w:rFonts w:hint="eastAsia" w:ascii="华文仿宋" w:hAnsi="华文仿宋" w:eastAsia="华文仿宋" w:cs="华文仿宋"/>
          <w:color w:val="auto"/>
          <w:sz w:val="21"/>
          <w:szCs w:val="21"/>
          <w:highlight w:val="none"/>
        </w:rPr>
        <w:t>（大写</w:t>
      </w:r>
      <w:r>
        <w:rPr>
          <w:rFonts w:hint="eastAsia" w:ascii="华文仿宋" w:hAnsi="华文仿宋" w:eastAsia="华文仿宋" w:cs="华文仿宋"/>
          <w:color w:val="auto"/>
          <w:sz w:val="21"/>
          <w:szCs w:val="21"/>
          <w:highlight w:val="none"/>
          <w:lang w:eastAsia="zh-CN"/>
        </w:rPr>
        <w:t>人民币</w:t>
      </w: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 xml:space="preserve">）。 </w:t>
      </w:r>
    </w:p>
    <w:p w14:paraId="6745D01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2"/>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rPr>
        <w:t>2、结算方式：</w:t>
      </w:r>
      <w:r>
        <w:rPr>
          <w:rFonts w:hint="eastAsia" w:ascii="华文仿宋" w:hAnsi="华文仿宋" w:eastAsia="华文仿宋" w:cs="华文仿宋"/>
          <w:color w:val="auto"/>
          <w:sz w:val="21"/>
          <w:szCs w:val="21"/>
          <w:highlight w:val="none"/>
          <w:u w:val="single"/>
          <w:lang w:val="en-US" w:eastAsia="zh-CN"/>
        </w:rPr>
        <w:t xml:space="preserve">                     </w:t>
      </w:r>
    </w:p>
    <w:p w14:paraId="3F850EF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1"/>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四、甲方的权利和义务 </w:t>
      </w:r>
    </w:p>
    <w:p w14:paraId="4CE08EE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1、协议期间，采购人根据虫情变化可以适当调整具体飞防区域和飞防面积数量，但会及时通知成交供应商。。 </w:t>
      </w:r>
    </w:p>
    <w:p w14:paraId="4B7E279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2、根据河南省林业有害生物飞防工作座谈会会议纪要（〔2018〕1号），R44直升机每架次载药量200千克、亩喷药量（330ml）计算，每架次喷洒亩数600亩。</w:t>
      </w:r>
    </w:p>
    <w:p w14:paraId="2B20A5A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3、甲方如遇等特殊情况，需提前书面或电话通知乙方，乙方须配合甲方适当增加</w:t>
      </w:r>
      <w:r>
        <w:rPr>
          <w:rFonts w:hint="eastAsia" w:ascii="华文仿宋" w:hAnsi="华文仿宋" w:eastAsia="华文仿宋" w:cs="华文仿宋"/>
          <w:color w:val="auto"/>
          <w:sz w:val="21"/>
          <w:szCs w:val="21"/>
          <w:highlight w:val="none"/>
          <w:lang w:val="en-US" w:eastAsia="zh-CN"/>
        </w:rPr>
        <w:t>喷洒</w:t>
      </w:r>
      <w:r>
        <w:rPr>
          <w:rFonts w:hint="eastAsia" w:ascii="华文仿宋" w:hAnsi="华文仿宋" w:eastAsia="华文仿宋" w:cs="华文仿宋"/>
          <w:color w:val="auto"/>
          <w:sz w:val="21"/>
          <w:szCs w:val="21"/>
          <w:highlight w:val="none"/>
        </w:rPr>
        <w:t xml:space="preserve">次数。          </w:t>
      </w:r>
    </w:p>
    <w:p w14:paraId="5ED2F44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1"/>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五、乙方的权利和义务 </w:t>
      </w:r>
    </w:p>
    <w:p w14:paraId="3C4C085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1"/>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 1、协议期间，乙方须无条件的接受甲方的监督检查和整改要求。 </w:t>
      </w:r>
    </w:p>
    <w:p w14:paraId="029142C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1"/>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color w:val="auto"/>
          <w:sz w:val="21"/>
          <w:szCs w:val="21"/>
          <w:highlight w:val="none"/>
        </w:rPr>
        <w:t>2、乙方须按本协议要求，保质保量完成甲方委托</w:t>
      </w:r>
      <w:r>
        <w:rPr>
          <w:rFonts w:hint="eastAsia" w:ascii="华文仿宋" w:hAnsi="华文仿宋" w:eastAsia="华文仿宋" w:cs="华文仿宋"/>
          <w:color w:val="auto"/>
          <w:sz w:val="21"/>
          <w:szCs w:val="21"/>
          <w:highlight w:val="none"/>
          <w:lang w:val="en-US" w:eastAsia="zh-CN"/>
        </w:rPr>
        <w:t>范围内的</w:t>
      </w:r>
      <w:r>
        <w:rPr>
          <w:rFonts w:hint="eastAsia" w:ascii="华文仿宋" w:hAnsi="华文仿宋" w:eastAsia="华文仿宋" w:cs="华文仿宋"/>
          <w:color w:val="auto"/>
          <w:sz w:val="21"/>
          <w:szCs w:val="21"/>
          <w:highlight w:val="none"/>
        </w:rPr>
        <w:t>飞防</w:t>
      </w:r>
      <w:r>
        <w:rPr>
          <w:rFonts w:hint="eastAsia" w:ascii="华文仿宋" w:hAnsi="华文仿宋" w:eastAsia="华文仿宋" w:cs="华文仿宋"/>
          <w:color w:val="auto"/>
          <w:sz w:val="21"/>
          <w:szCs w:val="21"/>
          <w:highlight w:val="none"/>
          <w:lang w:val="en-US" w:eastAsia="zh-CN"/>
        </w:rPr>
        <w:t>消杀</w:t>
      </w:r>
      <w:r>
        <w:rPr>
          <w:rFonts w:hint="eastAsia" w:ascii="华文仿宋" w:hAnsi="华文仿宋" w:eastAsia="华文仿宋" w:cs="华文仿宋"/>
          <w:color w:val="auto"/>
          <w:sz w:val="21"/>
          <w:szCs w:val="21"/>
          <w:highlight w:val="none"/>
        </w:rPr>
        <w:t>工作</w:t>
      </w:r>
      <w:r>
        <w:rPr>
          <w:rFonts w:hint="eastAsia" w:ascii="华文仿宋" w:hAnsi="华文仿宋" w:eastAsia="华文仿宋" w:cs="华文仿宋"/>
          <w:color w:val="auto"/>
          <w:sz w:val="21"/>
          <w:szCs w:val="21"/>
          <w:highlight w:val="none"/>
          <w:lang w:eastAsia="zh-CN"/>
        </w:rPr>
        <w:t>。</w:t>
      </w:r>
    </w:p>
    <w:p w14:paraId="32735F1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1"/>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 六、违约责任   </w:t>
      </w:r>
    </w:p>
    <w:p w14:paraId="34EEB97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1、乙方如没有履行飞防</w:t>
      </w:r>
      <w:r>
        <w:rPr>
          <w:rFonts w:hint="eastAsia" w:ascii="华文仿宋" w:hAnsi="华文仿宋" w:eastAsia="华文仿宋" w:cs="华文仿宋"/>
          <w:color w:val="auto"/>
          <w:sz w:val="21"/>
          <w:szCs w:val="21"/>
          <w:highlight w:val="none"/>
          <w:lang w:val="en-US" w:eastAsia="zh-CN"/>
        </w:rPr>
        <w:t>消杀</w:t>
      </w:r>
      <w:r>
        <w:rPr>
          <w:rFonts w:hint="eastAsia" w:ascii="华文仿宋" w:hAnsi="华文仿宋" w:eastAsia="华文仿宋" w:cs="华文仿宋"/>
          <w:color w:val="auto"/>
          <w:sz w:val="21"/>
          <w:szCs w:val="21"/>
          <w:highlight w:val="none"/>
        </w:rPr>
        <w:t>工作或飞防</w:t>
      </w:r>
      <w:r>
        <w:rPr>
          <w:rFonts w:hint="eastAsia" w:ascii="华文仿宋" w:hAnsi="华文仿宋" w:eastAsia="华文仿宋" w:cs="华文仿宋"/>
          <w:color w:val="auto"/>
          <w:sz w:val="21"/>
          <w:szCs w:val="21"/>
          <w:highlight w:val="none"/>
          <w:lang w:val="en-US" w:eastAsia="zh-CN"/>
        </w:rPr>
        <w:t>消杀</w:t>
      </w:r>
      <w:r>
        <w:rPr>
          <w:rFonts w:hint="eastAsia" w:ascii="华文仿宋" w:hAnsi="华文仿宋" w:eastAsia="华文仿宋" w:cs="华文仿宋"/>
          <w:color w:val="auto"/>
          <w:sz w:val="21"/>
          <w:szCs w:val="21"/>
          <w:highlight w:val="none"/>
        </w:rPr>
        <w:t>工作不能按甲方要求保质保量完成的，甲方有权单方终止协议，</w:t>
      </w:r>
      <w:r>
        <w:rPr>
          <w:rFonts w:hint="eastAsia" w:ascii="华文仿宋" w:hAnsi="华文仿宋" w:eastAsia="华文仿宋" w:cs="华文仿宋"/>
          <w:color w:val="auto"/>
          <w:sz w:val="21"/>
          <w:szCs w:val="21"/>
          <w:highlight w:val="none"/>
          <w:lang w:eastAsia="zh-CN"/>
        </w:rPr>
        <w:t>并由乙方</w:t>
      </w:r>
      <w:r>
        <w:rPr>
          <w:rFonts w:hint="eastAsia" w:ascii="华文仿宋" w:hAnsi="华文仿宋" w:eastAsia="华文仿宋" w:cs="华文仿宋"/>
          <w:color w:val="auto"/>
          <w:sz w:val="21"/>
          <w:szCs w:val="21"/>
          <w:highlight w:val="none"/>
          <w:lang w:val="en-US" w:eastAsia="zh-CN"/>
        </w:rPr>
        <w:t>承担</w:t>
      </w:r>
      <w:r>
        <w:rPr>
          <w:rFonts w:hint="eastAsia" w:ascii="华文仿宋" w:hAnsi="华文仿宋" w:eastAsia="华文仿宋" w:cs="华文仿宋"/>
          <w:color w:val="auto"/>
          <w:sz w:val="21"/>
          <w:szCs w:val="21"/>
          <w:highlight w:val="none"/>
          <w:lang w:eastAsia="zh-CN"/>
        </w:rPr>
        <w:t>本协议总额的</w:t>
      </w:r>
      <w:r>
        <w:rPr>
          <w:rFonts w:hint="eastAsia" w:ascii="华文仿宋" w:hAnsi="华文仿宋" w:eastAsia="华文仿宋" w:cs="华文仿宋"/>
          <w:color w:val="auto"/>
          <w:sz w:val="21"/>
          <w:szCs w:val="21"/>
          <w:highlight w:val="none"/>
          <w:lang w:val="en-US" w:eastAsia="zh-CN"/>
        </w:rPr>
        <w:t>20%违约金</w:t>
      </w:r>
      <w:r>
        <w:rPr>
          <w:rFonts w:hint="eastAsia" w:ascii="华文仿宋" w:hAnsi="华文仿宋" w:eastAsia="华文仿宋" w:cs="华文仿宋"/>
          <w:color w:val="auto"/>
          <w:sz w:val="21"/>
          <w:szCs w:val="21"/>
          <w:highlight w:val="none"/>
        </w:rPr>
        <w:t>。</w:t>
      </w:r>
    </w:p>
    <w:p w14:paraId="5D8D490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2、</w:t>
      </w:r>
      <w:r>
        <w:rPr>
          <w:rFonts w:hint="eastAsia" w:ascii="华文仿宋" w:hAnsi="华文仿宋" w:eastAsia="华文仿宋" w:cs="华文仿宋"/>
          <w:color w:val="auto"/>
          <w:sz w:val="21"/>
          <w:szCs w:val="21"/>
          <w:highlight w:val="none"/>
        </w:rPr>
        <w:t>乙方如</w:t>
      </w:r>
      <w:r>
        <w:rPr>
          <w:rFonts w:hint="eastAsia" w:ascii="华文仿宋" w:hAnsi="华文仿宋" w:eastAsia="华文仿宋" w:cs="华文仿宋"/>
          <w:color w:val="auto"/>
          <w:sz w:val="21"/>
          <w:szCs w:val="21"/>
          <w:highlight w:val="none"/>
          <w:lang w:eastAsia="zh-CN"/>
        </w:rPr>
        <w:t>需</w:t>
      </w:r>
      <w:r>
        <w:rPr>
          <w:rFonts w:hint="eastAsia" w:ascii="华文仿宋" w:hAnsi="华文仿宋" w:eastAsia="华文仿宋" w:cs="华文仿宋"/>
          <w:color w:val="auto"/>
          <w:sz w:val="21"/>
          <w:szCs w:val="21"/>
          <w:highlight w:val="none"/>
        </w:rPr>
        <w:t>提出终止协议，</w:t>
      </w:r>
      <w:r>
        <w:rPr>
          <w:rFonts w:hint="eastAsia" w:ascii="华文仿宋" w:hAnsi="华文仿宋" w:eastAsia="华文仿宋" w:cs="华文仿宋"/>
          <w:color w:val="auto"/>
          <w:sz w:val="21"/>
          <w:szCs w:val="21"/>
          <w:highlight w:val="none"/>
          <w:lang w:eastAsia="zh-CN"/>
        </w:rPr>
        <w:t>应当在</w:t>
      </w:r>
      <w:r>
        <w:rPr>
          <w:rFonts w:hint="eastAsia" w:ascii="华文仿宋" w:hAnsi="华文仿宋" w:eastAsia="华文仿宋" w:cs="华文仿宋"/>
          <w:color w:val="auto"/>
          <w:sz w:val="21"/>
          <w:szCs w:val="21"/>
          <w:highlight w:val="none"/>
        </w:rPr>
        <w:t>提前一个月通知甲方，经甲方同意后，方可终止协议。</w:t>
      </w:r>
      <w:r>
        <w:rPr>
          <w:rFonts w:hint="eastAsia" w:ascii="华文仿宋" w:hAnsi="华文仿宋" w:eastAsia="华文仿宋" w:cs="华文仿宋"/>
          <w:color w:val="auto"/>
          <w:sz w:val="21"/>
          <w:szCs w:val="21"/>
          <w:highlight w:val="none"/>
          <w:lang w:eastAsia="zh-CN"/>
        </w:rPr>
        <w:t>否则，应向甲方赔付本协议总额</w:t>
      </w:r>
      <w:r>
        <w:rPr>
          <w:rFonts w:hint="eastAsia" w:ascii="华文仿宋" w:hAnsi="华文仿宋" w:eastAsia="华文仿宋" w:cs="华文仿宋"/>
          <w:color w:val="auto"/>
          <w:sz w:val="21"/>
          <w:szCs w:val="21"/>
          <w:highlight w:val="none"/>
          <w:lang w:val="en-US" w:eastAsia="zh-CN"/>
        </w:rPr>
        <w:t>20%</w:t>
      </w:r>
      <w:r>
        <w:rPr>
          <w:rFonts w:hint="eastAsia" w:ascii="华文仿宋" w:hAnsi="华文仿宋" w:eastAsia="华文仿宋" w:cs="华文仿宋"/>
          <w:color w:val="auto"/>
          <w:sz w:val="21"/>
          <w:szCs w:val="21"/>
          <w:highlight w:val="none"/>
          <w:lang w:eastAsia="zh-CN"/>
        </w:rPr>
        <w:t>的</w:t>
      </w:r>
      <w:r>
        <w:rPr>
          <w:rFonts w:hint="eastAsia" w:ascii="华文仿宋" w:hAnsi="华文仿宋" w:eastAsia="华文仿宋" w:cs="华文仿宋"/>
          <w:color w:val="auto"/>
          <w:sz w:val="21"/>
          <w:szCs w:val="21"/>
          <w:highlight w:val="none"/>
          <w:lang w:val="en-US" w:eastAsia="zh-CN"/>
        </w:rPr>
        <w:t>违约金</w:t>
      </w:r>
      <w:r>
        <w:rPr>
          <w:rFonts w:hint="eastAsia" w:ascii="华文仿宋" w:hAnsi="华文仿宋" w:eastAsia="华文仿宋" w:cs="华文仿宋"/>
          <w:color w:val="auto"/>
          <w:sz w:val="21"/>
          <w:szCs w:val="21"/>
          <w:highlight w:val="none"/>
        </w:rPr>
        <w:t>。</w:t>
      </w:r>
    </w:p>
    <w:p w14:paraId="6FB6C0D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3</w:t>
      </w:r>
      <w:r>
        <w:rPr>
          <w:rFonts w:hint="eastAsia" w:ascii="华文仿宋" w:hAnsi="华文仿宋" w:eastAsia="华文仿宋" w:cs="华文仿宋"/>
          <w:color w:val="auto"/>
          <w:sz w:val="21"/>
          <w:szCs w:val="21"/>
          <w:highlight w:val="none"/>
        </w:rPr>
        <w:t>、乙方飞防</w:t>
      </w:r>
      <w:r>
        <w:rPr>
          <w:rFonts w:hint="eastAsia" w:ascii="华文仿宋" w:hAnsi="华文仿宋" w:eastAsia="华文仿宋" w:cs="华文仿宋"/>
          <w:color w:val="auto"/>
          <w:sz w:val="21"/>
          <w:szCs w:val="21"/>
          <w:highlight w:val="none"/>
          <w:lang w:val="en-US" w:eastAsia="zh-CN"/>
        </w:rPr>
        <w:t>消杀工作</w:t>
      </w:r>
      <w:r>
        <w:rPr>
          <w:rFonts w:hint="eastAsia" w:ascii="华文仿宋" w:hAnsi="华文仿宋" w:eastAsia="华文仿宋" w:cs="华文仿宋"/>
          <w:color w:val="auto"/>
          <w:sz w:val="21"/>
          <w:szCs w:val="21"/>
          <w:highlight w:val="none"/>
        </w:rPr>
        <w:t>没有达到甲方要求的，甲方有权扣除</w:t>
      </w:r>
      <w:r>
        <w:rPr>
          <w:rFonts w:hint="eastAsia" w:ascii="华文仿宋" w:hAnsi="华文仿宋" w:eastAsia="华文仿宋" w:cs="华文仿宋"/>
          <w:color w:val="auto"/>
          <w:sz w:val="21"/>
          <w:szCs w:val="21"/>
          <w:highlight w:val="none"/>
          <w:lang w:val="en-US" w:eastAsia="zh-CN"/>
        </w:rPr>
        <w:t>相应</w:t>
      </w:r>
      <w:r>
        <w:rPr>
          <w:rFonts w:hint="eastAsia" w:ascii="华文仿宋" w:hAnsi="华文仿宋" w:eastAsia="华文仿宋" w:cs="华文仿宋"/>
          <w:color w:val="auto"/>
          <w:sz w:val="21"/>
          <w:szCs w:val="21"/>
          <w:highlight w:val="none"/>
        </w:rPr>
        <w:t xml:space="preserve">费用（特殊情况除外，但乙方必须事先通知甲方）。  </w:t>
      </w:r>
    </w:p>
    <w:p w14:paraId="4570DF8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1"/>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七、协议的续签与变更</w:t>
      </w:r>
    </w:p>
    <w:p w14:paraId="62C101E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本协议到期日前一个月，由甲方通知乙方续签本协议。如若甲方未通知乙方，协议有效期顺延直至签订新协议。如若乙方接到甲方通知7天内未与甲方续签本协议，视为本协议终止。  </w:t>
      </w:r>
    </w:p>
    <w:p w14:paraId="5316257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1"/>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eastAsia="zh-CN"/>
        </w:rPr>
        <w:t>八、</w:t>
      </w:r>
      <w:r>
        <w:rPr>
          <w:rFonts w:hint="eastAsia" w:ascii="华文仿宋" w:hAnsi="华文仿宋" w:eastAsia="华文仿宋" w:cs="华文仿宋"/>
          <w:color w:val="auto"/>
          <w:sz w:val="21"/>
          <w:szCs w:val="21"/>
          <w:highlight w:val="none"/>
        </w:rPr>
        <w:t xml:space="preserve">争议的解决  </w:t>
      </w:r>
    </w:p>
    <w:p w14:paraId="7C3A11F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本协议未尽事宜，由甲、乙双方另行协商解决。协商不成时，双方同意提交甲方所在地人民法院解决。  </w:t>
      </w:r>
    </w:p>
    <w:p w14:paraId="08730A4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color w:val="auto"/>
          <w:sz w:val="21"/>
          <w:szCs w:val="21"/>
          <w:highlight w:val="none"/>
          <w:lang w:eastAsia="zh-CN"/>
        </w:rPr>
        <w:t>其他事宜</w:t>
      </w:r>
    </w:p>
    <w:p w14:paraId="6C53CCF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2"/>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 1、本协议经甲、乙双方代表人签字并加盖公章生效。</w:t>
      </w:r>
    </w:p>
    <w:p w14:paraId="6212E96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 2、本协议壹式肆份，甲、乙双方各执</w:t>
      </w:r>
      <w:r>
        <w:rPr>
          <w:rFonts w:hint="eastAsia" w:ascii="华文仿宋" w:hAnsi="华文仿宋" w:eastAsia="华文仿宋" w:cs="华文仿宋"/>
          <w:color w:val="auto"/>
          <w:sz w:val="21"/>
          <w:szCs w:val="21"/>
          <w:highlight w:val="none"/>
          <w:lang w:eastAsia="zh-CN"/>
        </w:rPr>
        <w:t>二</w:t>
      </w:r>
      <w:r>
        <w:rPr>
          <w:rFonts w:hint="eastAsia" w:ascii="华文仿宋" w:hAnsi="华文仿宋" w:eastAsia="华文仿宋" w:cs="华文仿宋"/>
          <w:color w:val="auto"/>
          <w:sz w:val="21"/>
          <w:szCs w:val="21"/>
          <w:highlight w:val="none"/>
        </w:rPr>
        <w:t>份</w:t>
      </w:r>
      <w:r>
        <w:rPr>
          <w:rFonts w:hint="eastAsia" w:ascii="华文仿宋" w:hAnsi="华文仿宋" w:eastAsia="华文仿宋" w:cs="华文仿宋"/>
          <w:color w:val="auto"/>
          <w:sz w:val="21"/>
          <w:szCs w:val="21"/>
          <w:highlight w:val="none"/>
          <w:lang w:eastAsia="zh-CN"/>
        </w:rPr>
        <w:t>，均具有同等的法律效力</w:t>
      </w:r>
      <w:r>
        <w:rPr>
          <w:rFonts w:hint="eastAsia" w:ascii="华文仿宋" w:hAnsi="华文仿宋" w:eastAsia="华文仿宋" w:cs="华文仿宋"/>
          <w:color w:val="auto"/>
          <w:sz w:val="21"/>
          <w:szCs w:val="21"/>
          <w:highlight w:val="none"/>
        </w:rPr>
        <w:t xml:space="preserve">。    </w:t>
      </w:r>
    </w:p>
    <w:p w14:paraId="126D51A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p>
    <w:p w14:paraId="6809237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甲方</w:t>
      </w:r>
      <w:r>
        <w:rPr>
          <w:rFonts w:hint="eastAsia" w:ascii="华文仿宋" w:hAnsi="华文仿宋" w:eastAsia="华文仿宋" w:cs="华文仿宋"/>
          <w:color w:val="auto"/>
          <w:sz w:val="21"/>
          <w:szCs w:val="21"/>
          <w:highlight w:val="none"/>
          <w:lang w:eastAsia="zh-CN"/>
        </w:rPr>
        <w:t>（盖章）</w:t>
      </w:r>
      <w:r>
        <w:rPr>
          <w:rFonts w:hint="eastAsia" w:ascii="华文仿宋" w:hAnsi="华文仿宋" w:eastAsia="华文仿宋" w:cs="华文仿宋"/>
          <w:color w:val="auto"/>
          <w:sz w:val="21"/>
          <w:szCs w:val="21"/>
          <w:highlight w:val="none"/>
        </w:rPr>
        <w:t xml:space="preserve">：                 </w:t>
      </w:r>
    </w:p>
    <w:p w14:paraId="7B771A0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eastAsia="zh-CN"/>
        </w:rPr>
        <w:t>法</w:t>
      </w:r>
      <w:r>
        <w:rPr>
          <w:rFonts w:hint="eastAsia" w:ascii="华文仿宋" w:hAnsi="华文仿宋" w:eastAsia="华文仿宋" w:cs="华文仿宋"/>
          <w:color w:val="auto"/>
          <w:sz w:val="21"/>
          <w:szCs w:val="21"/>
          <w:highlight w:val="none"/>
        </w:rPr>
        <w:t>人</w:t>
      </w:r>
      <w:r>
        <w:rPr>
          <w:rFonts w:hint="eastAsia" w:ascii="华文仿宋" w:hAnsi="华文仿宋" w:eastAsia="华文仿宋" w:cs="华文仿宋"/>
          <w:color w:val="auto"/>
          <w:sz w:val="21"/>
          <w:szCs w:val="21"/>
          <w:highlight w:val="none"/>
          <w:lang w:eastAsia="zh-CN"/>
        </w:rPr>
        <w:t>或委托代理人（签名）</w:t>
      </w:r>
      <w:r>
        <w:rPr>
          <w:rFonts w:hint="eastAsia" w:ascii="华文仿宋" w:hAnsi="华文仿宋" w:eastAsia="华文仿宋" w:cs="华文仿宋"/>
          <w:color w:val="auto"/>
          <w:sz w:val="21"/>
          <w:szCs w:val="21"/>
          <w:highlight w:val="none"/>
        </w:rPr>
        <w:t>：</w:t>
      </w:r>
    </w:p>
    <w:p w14:paraId="151E37A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联系电话：         </w:t>
      </w:r>
    </w:p>
    <w:p w14:paraId="3792EF9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p>
    <w:p w14:paraId="75B2CF3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乙方</w:t>
      </w:r>
      <w:r>
        <w:rPr>
          <w:rFonts w:hint="eastAsia" w:ascii="华文仿宋" w:hAnsi="华文仿宋" w:eastAsia="华文仿宋" w:cs="华文仿宋"/>
          <w:color w:val="auto"/>
          <w:sz w:val="21"/>
          <w:szCs w:val="21"/>
          <w:highlight w:val="none"/>
          <w:lang w:eastAsia="zh-CN"/>
        </w:rPr>
        <w:t>（签名或盖章）</w:t>
      </w:r>
      <w:r>
        <w:rPr>
          <w:rFonts w:hint="eastAsia" w:ascii="华文仿宋" w:hAnsi="华文仿宋" w:eastAsia="华文仿宋" w:cs="华文仿宋"/>
          <w:color w:val="auto"/>
          <w:sz w:val="21"/>
          <w:szCs w:val="21"/>
          <w:highlight w:val="none"/>
        </w:rPr>
        <w:t>：</w:t>
      </w:r>
    </w:p>
    <w:p w14:paraId="4FFDD4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负责人签字：</w:t>
      </w:r>
    </w:p>
    <w:p w14:paraId="50E588A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联系电话：                         </w:t>
      </w:r>
    </w:p>
    <w:p w14:paraId="2AAF0F2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eastAsia="zh-CN"/>
        </w:rPr>
      </w:pPr>
    </w:p>
    <w:p w14:paraId="738CA5A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eastAsia="zh-CN"/>
        </w:rPr>
        <w:t>本协议</w:t>
      </w:r>
      <w:r>
        <w:rPr>
          <w:rFonts w:hint="eastAsia" w:ascii="华文仿宋" w:hAnsi="华文仿宋" w:eastAsia="华文仿宋" w:cs="华文仿宋"/>
          <w:color w:val="auto"/>
          <w:sz w:val="21"/>
          <w:szCs w:val="21"/>
          <w:highlight w:val="none"/>
        </w:rPr>
        <w:t>签约</w:t>
      </w:r>
      <w:r>
        <w:rPr>
          <w:rFonts w:hint="eastAsia" w:ascii="华文仿宋" w:hAnsi="华文仿宋" w:eastAsia="华文仿宋" w:cs="华文仿宋"/>
          <w:color w:val="auto"/>
          <w:sz w:val="21"/>
          <w:szCs w:val="21"/>
          <w:highlight w:val="none"/>
          <w:lang w:eastAsia="zh-CN"/>
        </w:rPr>
        <w:t>日期</w:t>
      </w:r>
      <w:r>
        <w:rPr>
          <w:rFonts w:hint="eastAsia" w:ascii="华文仿宋" w:hAnsi="华文仿宋" w:eastAsia="华文仿宋" w:cs="华文仿宋"/>
          <w:color w:val="auto"/>
          <w:sz w:val="21"/>
          <w:szCs w:val="21"/>
          <w:highlight w:val="none"/>
        </w:rPr>
        <w:t xml:space="preserve">：   </w:t>
      </w:r>
      <w:r>
        <w:rPr>
          <w:rFonts w:hint="eastAsia" w:ascii="华文仿宋" w:hAnsi="华文仿宋" w:eastAsia="华文仿宋" w:cs="华文仿宋"/>
          <w:color w:val="auto"/>
          <w:sz w:val="21"/>
          <w:szCs w:val="21"/>
          <w:highlight w:val="none"/>
          <w:lang w:val="en-US" w:eastAsia="zh-CN"/>
        </w:rPr>
        <w:t xml:space="preserve">  </w:t>
      </w:r>
      <w:r>
        <w:rPr>
          <w:rFonts w:hint="eastAsia" w:ascii="华文仿宋" w:hAnsi="华文仿宋" w:eastAsia="华文仿宋" w:cs="华文仿宋"/>
          <w:color w:val="auto"/>
          <w:sz w:val="21"/>
          <w:szCs w:val="21"/>
          <w:highlight w:val="none"/>
        </w:rPr>
        <w:t xml:space="preserve"> 年  </w:t>
      </w:r>
      <w:r>
        <w:rPr>
          <w:rFonts w:hint="eastAsia" w:ascii="华文仿宋" w:hAnsi="华文仿宋" w:eastAsia="华文仿宋" w:cs="华文仿宋"/>
          <w:color w:val="auto"/>
          <w:sz w:val="21"/>
          <w:szCs w:val="21"/>
          <w:highlight w:val="none"/>
          <w:lang w:val="en-US" w:eastAsia="zh-CN"/>
        </w:rPr>
        <w:t xml:space="preserve">   </w:t>
      </w:r>
      <w:r>
        <w:rPr>
          <w:rFonts w:hint="eastAsia" w:ascii="华文仿宋" w:hAnsi="华文仿宋" w:eastAsia="华文仿宋" w:cs="华文仿宋"/>
          <w:color w:val="auto"/>
          <w:sz w:val="21"/>
          <w:szCs w:val="21"/>
          <w:highlight w:val="none"/>
        </w:rPr>
        <w:t xml:space="preserve">月  </w:t>
      </w:r>
      <w:r>
        <w:rPr>
          <w:rFonts w:hint="eastAsia" w:ascii="华文仿宋" w:hAnsi="华文仿宋" w:eastAsia="华文仿宋" w:cs="华文仿宋"/>
          <w:color w:val="auto"/>
          <w:sz w:val="21"/>
          <w:szCs w:val="21"/>
          <w:highlight w:val="none"/>
          <w:lang w:val="en-US" w:eastAsia="zh-CN"/>
        </w:rPr>
        <w:t xml:space="preserve">  </w:t>
      </w:r>
      <w:r>
        <w:rPr>
          <w:rFonts w:hint="eastAsia" w:ascii="华文仿宋" w:hAnsi="华文仿宋" w:eastAsia="华文仿宋" w:cs="华文仿宋"/>
          <w:color w:val="auto"/>
          <w:sz w:val="21"/>
          <w:szCs w:val="21"/>
          <w:highlight w:val="none"/>
        </w:rPr>
        <w:t>日</w:t>
      </w:r>
    </w:p>
    <w:p w14:paraId="5EA29BE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p>
    <w:p w14:paraId="06FB01D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36"/>
          <w:szCs w:val="36"/>
          <w:highlight w:val="none"/>
        </w:rPr>
        <w:br w:type="page"/>
      </w:r>
    </w:p>
    <w:p w14:paraId="377EE0CC">
      <w:pPr>
        <w:pStyle w:val="2"/>
        <w:pageBreakBefore w:val="0"/>
        <w:numPr>
          <w:ilvl w:val="0"/>
          <w:numId w:val="4"/>
        </w:numPr>
        <w:kinsoku/>
        <w:wordWrap w:val="0"/>
        <w:overflowPunct/>
        <w:topLinePunct/>
        <w:bidi w:val="0"/>
        <w:spacing w:line="360" w:lineRule="auto"/>
        <w:jc w:val="center"/>
        <w:rPr>
          <w:rFonts w:hint="eastAsia" w:ascii="华文仿宋" w:hAnsi="华文仿宋" w:eastAsia="华文仿宋" w:cs="华文仿宋"/>
          <w:color w:val="auto"/>
          <w:highlight w:val="none"/>
        </w:rPr>
      </w:pPr>
      <w:bookmarkStart w:id="840" w:name="_Toc20151"/>
      <w:r>
        <w:rPr>
          <w:rFonts w:hint="eastAsia" w:ascii="华文仿宋" w:hAnsi="华文仿宋" w:eastAsia="华文仿宋" w:cs="华文仿宋"/>
          <w:color w:val="auto"/>
          <w:highlight w:val="none"/>
          <w:lang w:eastAsia="zh-CN"/>
        </w:rPr>
        <w:t>服务</w:t>
      </w:r>
      <w:r>
        <w:rPr>
          <w:rFonts w:hint="eastAsia" w:ascii="华文仿宋" w:hAnsi="华文仿宋" w:eastAsia="华文仿宋" w:cs="华文仿宋"/>
          <w:color w:val="auto"/>
          <w:highlight w:val="none"/>
        </w:rPr>
        <w:t>内容及要求</w:t>
      </w:r>
      <w:bookmarkEnd w:id="840"/>
    </w:p>
    <w:p w14:paraId="44B5A0E8">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华文仿宋" w:hAnsi="华文仿宋" w:eastAsia="华文仿宋" w:cs="华文仿宋"/>
          <w:b/>
          <w:color w:val="auto"/>
          <w:sz w:val="44"/>
          <w:szCs w:val="44"/>
        </w:rPr>
      </w:pPr>
      <w:r>
        <w:rPr>
          <w:rFonts w:hint="eastAsia" w:ascii="华文仿宋" w:hAnsi="华文仿宋" w:eastAsia="华文仿宋" w:cs="华文仿宋"/>
          <w:b/>
          <w:color w:val="auto"/>
          <w:sz w:val="44"/>
          <w:szCs w:val="44"/>
          <w:lang w:eastAsia="zh-CN"/>
        </w:rPr>
        <w:t>淮滨县2025年度杨树食叶害虫飞机喷药防治项目</w:t>
      </w:r>
      <w:r>
        <w:rPr>
          <w:rFonts w:hint="eastAsia" w:ascii="华文仿宋" w:hAnsi="华文仿宋" w:eastAsia="华文仿宋" w:cs="华文仿宋"/>
          <w:b/>
          <w:color w:val="auto"/>
          <w:sz w:val="44"/>
          <w:szCs w:val="44"/>
        </w:rPr>
        <w:t>要求和说明</w:t>
      </w:r>
    </w:p>
    <w:p w14:paraId="514B0CD8">
      <w:pPr>
        <w:keepNext w:val="0"/>
        <w:keepLines w:val="0"/>
        <w:pageBreakBefore w:val="0"/>
        <w:kinsoku/>
        <w:wordWrap/>
        <w:overflowPunct/>
        <w:topLinePunct w:val="0"/>
        <w:autoSpaceDE/>
        <w:autoSpaceDN/>
        <w:bidi w:val="0"/>
        <w:adjustRightInd/>
        <w:snapToGrid/>
        <w:spacing w:line="600" w:lineRule="exact"/>
        <w:textAlignment w:val="auto"/>
        <w:rPr>
          <w:rFonts w:hint="eastAsia" w:ascii="华文仿宋" w:hAnsi="华文仿宋" w:eastAsia="华文仿宋" w:cs="华文仿宋"/>
          <w:color w:val="auto"/>
          <w:sz w:val="32"/>
          <w:szCs w:val="32"/>
        </w:rPr>
      </w:pPr>
    </w:p>
    <w:p w14:paraId="2D5BF7E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一、招标项目概况</w:t>
      </w:r>
    </w:p>
    <w:p w14:paraId="571E9C3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本次招标为“</w:t>
      </w:r>
      <w:r>
        <w:rPr>
          <w:rFonts w:hint="eastAsia" w:ascii="华文仿宋" w:hAnsi="华文仿宋" w:eastAsia="华文仿宋" w:cs="华文仿宋"/>
          <w:color w:val="auto"/>
          <w:sz w:val="21"/>
          <w:szCs w:val="21"/>
          <w:highlight w:val="none"/>
          <w:lang w:eastAsia="zh-CN"/>
        </w:rPr>
        <w:t>淮滨县2025年度杨树食叶害虫飞机喷药防治项目</w:t>
      </w:r>
      <w:r>
        <w:rPr>
          <w:rFonts w:hint="eastAsia" w:ascii="华文仿宋" w:hAnsi="华文仿宋" w:eastAsia="华文仿宋" w:cs="华文仿宋"/>
          <w:color w:val="auto"/>
          <w:sz w:val="21"/>
          <w:szCs w:val="21"/>
          <w:highlight w:val="none"/>
        </w:rPr>
        <w:t>”</w:t>
      </w:r>
      <w:bookmarkStart w:id="841" w:name="_Toc196107162"/>
      <w:bookmarkStart w:id="842" w:name="_Toc196913817"/>
      <w:bookmarkStart w:id="843" w:name="_Toc196123600"/>
      <w:bookmarkStart w:id="844" w:name="_Toc196913176"/>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lang w:val="en-US" w:eastAsia="zh-CN"/>
        </w:rPr>
        <w:t>计划全年</w:t>
      </w:r>
      <w:r>
        <w:rPr>
          <w:rFonts w:hint="eastAsia" w:ascii="华文仿宋" w:hAnsi="华文仿宋" w:eastAsia="华文仿宋" w:cs="华文仿宋"/>
          <w:color w:val="auto"/>
          <w:sz w:val="21"/>
          <w:szCs w:val="21"/>
          <w:highlight w:val="none"/>
          <w:lang w:eastAsia="zh-CN"/>
        </w:rPr>
        <w:t>飞防</w:t>
      </w:r>
      <w:r>
        <w:rPr>
          <w:rFonts w:hint="eastAsia" w:ascii="华文仿宋" w:hAnsi="华文仿宋" w:eastAsia="华文仿宋" w:cs="华文仿宋"/>
          <w:color w:val="auto"/>
          <w:sz w:val="21"/>
          <w:szCs w:val="21"/>
          <w:highlight w:val="none"/>
          <w:lang w:val="en-US" w:eastAsia="zh-CN"/>
        </w:rPr>
        <w:t>20</w:t>
      </w:r>
      <w:r>
        <w:rPr>
          <w:rFonts w:hint="eastAsia" w:ascii="华文仿宋" w:hAnsi="华文仿宋" w:eastAsia="华文仿宋" w:cs="华文仿宋"/>
          <w:color w:val="auto"/>
          <w:sz w:val="21"/>
          <w:szCs w:val="21"/>
          <w:highlight w:val="none"/>
          <w:lang w:eastAsia="zh-CN"/>
        </w:rPr>
        <w:t>万亩</w:t>
      </w:r>
      <w:r>
        <w:rPr>
          <w:rFonts w:hint="eastAsia" w:ascii="华文仿宋" w:hAnsi="华文仿宋" w:eastAsia="华文仿宋" w:cs="华文仿宋"/>
          <w:color w:val="auto"/>
          <w:sz w:val="21"/>
          <w:szCs w:val="21"/>
          <w:highlight w:val="none"/>
        </w:rPr>
        <w:t>（采购人根据虫情变化可以适当调整、增减作业面积）。全部采取R44小型直升机超低容量喷雾。</w:t>
      </w:r>
    </w:p>
    <w:p w14:paraId="611D834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采购人根据虫情变化可以适当调整具体飞防区域和飞防面积数量，但会及时通知成交供应商。</w:t>
      </w:r>
    </w:p>
    <w:p w14:paraId="0064BD9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color w:val="auto"/>
          <w:sz w:val="21"/>
          <w:szCs w:val="21"/>
          <w:highlight w:val="none"/>
          <w:lang w:val="en-US" w:eastAsia="zh-CN"/>
        </w:rPr>
        <w:t>根据河南省林业有害生物飞防工作座谈会会议纪要（〔2018〕1号），R44直升机</w:t>
      </w:r>
      <w:r>
        <w:rPr>
          <w:rFonts w:hint="eastAsia" w:ascii="华文仿宋" w:hAnsi="华文仿宋" w:eastAsia="华文仿宋" w:cs="华文仿宋"/>
          <w:color w:val="auto"/>
          <w:sz w:val="21"/>
          <w:szCs w:val="21"/>
          <w:highlight w:val="none"/>
        </w:rPr>
        <w:t>每架次</w:t>
      </w:r>
      <w:r>
        <w:rPr>
          <w:rFonts w:hint="eastAsia" w:ascii="华文仿宋" w:hAnsi="华文仿宋" w:eastAsia="华文仿宋" w:cs="华文仿宋"/>
          <w:color w:val="auto"/>
          <w:sz w:val="21"/>
          <w:szCs w:val="21"/>
          <w:highlight w:val="none"/>
          <w:lang w:val="en-US" w:eastAsia="zh-CN"/>
        </w:rPr>
        <w:t>载药量200千克、</w:t>
      </w:r>
      <w:r>
        <w:rPr>
          <w:rFonts w:hint="eastAsia" w:ascii="华文仿宋" w:hAnsi="华文仿宋" w:eastAsia="华文仿宋" w:cs="华文仿宋"/>
          <w:color w:val="auto"/>
          <w:sz w:val="21"/>
          <w:szCs w:val="21"/>
          <w:highlight w:val="none"/>
        </w:rPr>
        <w:t>亩喷药量（330ml）计算</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每架次喷洒亩数</w:t>
      </w:r>
      <w:r>
        <w:rPr>
          <w:rFonts w:hint="eastAsia" w:ascii="华文仿宋" w:hAnsi="华文仿宋" w:eastAsia="华文仿宋" w:cs="华文仿宋"/>
          <w:color w:val="auto"/>
          <w:sz w:val="21"/>
          <w:szCs w:val="21"/>
          <w:highlight w:val="none"/>
          <w:lang w:val="en-US" w:eastAsia="zh-CN"/>
        </w:rPr>
        <w:t>600亩</w:t>
      </w:r>
      <w:r>
        <w:rPr>
          <w:rFonts w:hint="eastAsia" w:ascii="华文仿宋" w:hAnsi="华文仿宋" w:eastAsia="华文仿宋" w:cs="华文仿宋"/>
          <w:color w:val="auto"/>
          <w:sz w:val="21"/>
          <w:szCs w:val="21"/>
          <w:highlight w:val="none"/>
          <w:lang w:eastAsia="zh-CN"/>
        </w:rPr>
        <w:t>。</w:t>
      </w:r>
    </w:p>
    <w:p w14:paraId="2149667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项目由</w:t>
      </w:r>
      <w:r>
        <w:rPr>
          <w:rFonts w:hint="eastAsia" w:ascii="华文仿宋" w:hAnsi="华文仿宋" w:eastAsia="华文仿宋" w:cs="华文仿宋"/>
          <w:color w:val="auto"/>
          <w:sz w:val="21"/>
          <w:szCs w:val="21"/>
          <w:highlight w:val="none"/>
          <w:lang w:val="en-US" w:eastAsia="zh-CN"/>
        </w:rPr>
        <w:t>淮滨</w:t>
      </w:r>
      <w:r>
        <w:rPr>
          <w:rFonts w:hint="eastAsia" w:ascii="华文仿宋" w:hAnsi="华文仿宋" w:eastAsia="华文仿宋" w:cs="华文仿宋"/>
          <w:color w:val="auto"/>
          <w:sz w:val="21"/>
          <w:szCs w:val="21"/>
          <w:highlight w:val="none"/>
        </w:rPr>
        <w:t>县林业局统一招标</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招标结束后，</w:t>
      </w:r>
      <w:r>
        <w:rPr>
          <w:rFonts w:hint="eastAsia" w:ascii="华文仿宋" w:hAnsi="华文仿宋" w:eastAsia="华文仿宋" w:cs="华文仿宋"/>
          <w:color w:val="auto"/>
          <w:sz w:val="21"/>
          <w:szCs w:val="21"/>
          <w:highlight w:val="none"/>
          <w:lang w:val="en-US" w:eastAsia="zh-CN"/>
        </w:rPr>
        <w:t>中标</w:t>
      </w:r>
      <w:r>
        <w:rPr>
          <w:rFonts w:hint="eastAsia" w:ascii="华文仿宋" w:hAnsi="华文仿宋" w:eastAsia="华文仿宋" w:cs="华文仿宋"/>
          <w:color w:val="auto"/>
          <w:sz w:val="21"/>
          <w:szCs w:val="21"/>
          <w:highlight w:val="none"/>
          <w:lang w:eastAsia="zh-CN"/>
        </w:rPr>
        <w:t>商（</w:t>
      </w:r>
      <w:r>
        <w:rPr>
          <w:rFonts w:hint="eastAsia" w:ascii="华文仿宋" w:hAnsi="华文仿宋" w:eastAsia="华文仿宋" w:cs="华文仿宋"/>
          <w:color w:val="auto"/>
          <w:sz w:val="21"/>
          <w:szCs w:val="21"/>
          <w:highlight w:val="none"/>
          <w:lang w:val="en-US" w:eastAsia="zh-CN"/>
        </w:rPr>
        <w:t>供应商</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与</w:t>
      </w:r>
      <w:r>
        <w:rPr>
          <w:rFonts w:hint="eastAsia" w:ascii="华文仿宋" w:hAnsi="华文仿宋" w:eastAsia="华文仿宋" w:cs="华文仿宋"/>
          <w:color w:val="auto"/>
          <w:sz w:val="21"/>
          <w:szCs w:val="21"/>
          <w:highlight w:val="none"/>
          <w:lang w:val="en-US" w:eastAsia="zh-CN"/>
        </w:rPr>
        <w:t>淮滨</w:t>
      </w:r>
      <w:r>
        <w:rPr>
          <w:rFonts w:hint="eastAsia" w:ascii="华文仿宋" w:hAnsi="华文仿宋" w:eastAsia="华文仿宋" w:cs="华文仿宋"/>
          <w:color w:val="auto"/>
          <w:sz w:val="21"/>
          <w:szCs w:val="21"/>
          <w:highlight w:val="none"/>
        </w:rPr>
        <w:t>县林业局根据本项目招标文件</w:t>
      </w:r>
      <w:r>
        <w:rPr>
          <w:rFonts w:hint="eastAsia" w:ascii="华文仿宋" w:hAnsi="华文仿宋" w:eastAsia="华文仿宋" w:cs="华文仿宋"/>
          <w:color w:val="auto"/>
          <w:sz w:val="21"/>
          <w:szCs w:val="21"/>
          <w:highlight w:val="none"/>
          <w:lang w:val="en-US" w:eastAsia="zh-CN"/>
        </w:rPr>
        <w:t>和有关飞防要求</w:t>
      </w:r>
      <w:r>
        <w:rPr>
          <w:rFonts w:hint="eastAsia" w:ascii="华文仿宋" w:hAnsi="华文仿宋" w:eastAsia="华文仿宋" w:cs="华文仿宋"/>
          <w:color w:val="auto"/>
          <w:sz w:val="21"/>
          <w:szCs w:val="21"/>
          <w:highlight w:val="none"/>
        </w:rPr>
        <w:t>签订防治合同。</w:t>
      </w:r>
    </w:p>
    <w:p w14:paraId="7E5E2BB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二、具体要求</w:t>
      </w:r>
    </w:p>
    <w:bookmarkEnd w:id="841"/>
    <w:bookmarkEnd w:id="842"/>
    <w:bookmarkEnd w:id="843"/>
    <w:bookmarkEnd w:id="844"/>
    <w:p w14:paraId="3CFC356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1、</w:t>
      </w:r>
      <w:r>
        <w:rPr>
          <w:rFonts w:hint="eastAsia" w:ascii="华文仿宋" w:hAnsi="华文仿宋" w:eastAsia="华文仿宋" w:cs="华文仿宋"/>
          <w:color w:val="auto"/>
          <w:sz w:val="21"/>
          <w:szCs w:val="21"/>
          <w:highlight w:val="none"/>
        </w:rPr>
        <w:t>普通防治区药剂使用：25%阿维·灭幼脲悬浮剂、10%甲维·除虫脲悬浮剂、20%除虫脲悬浮剂，3.6％烟碱·苦参碱微囊悬浮剂，所提供药剂须登计杨树，防治对象美国白蛾，要求三证齐全（农药登记证、农药生产许可证或生产批准证、产品标准证），符合国家农药标准；为防止美国白蛾、舟蛾等杨树食叶害虫产生抗药性，提高防治效果,要求以上药剂任选两种搭配使用），</w:t>
      </w:r>
    </w:p>
    <w:p w14:paraId="35092A9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要求以上所用药剂及生产厂家需提供针对本项目加盖生产厂家公章的药品三证复印件扫描件（农药生产许可证、农药标准和农药登记证）。签定合同时提供药品三证原件以供核查。水产养殖区使用</w:t>
      </w:r>
      <w:r>
        <w:rPr>
          <w:rFonts w:hint="eastAsia" w:ascii="华文仿宋" w:hAnsi="华文仿宋" w:eastAsia="华文仿宋" w:cs="华文仿宋"/>
          <w:color w:val="auto"/>
          <w:sz w:val="21"/>
          <w:szCs w:val="21"/>
          <w:highlight w:val="none"/>
          <w:lang w:val="en-US" w:eastAsia="zh-CN"/>
        </w:rPr>
        <w:t>200g/升</w:t>
      </w:r>
      <w:r>
        <w:rPr>
          <w:rFonts w:hint="eastAsia" w:ascii="华文仿宋" w:hAnsi="华文仿宋" w:eastAsia="华文仿宋" w:cs="华文仿宋"/>
          <w:color w:val="auto"/>
          <w:sz w:val="21"/>
          <w:szCs w:val="21"/>
          <w:highlight w:val="none"/>
        </w:rPr>
        <w:t>氯虫苯甲酰胺，药品要求三证齐全（农药登记证、农药生产许可证或生产批准证、产品标准证），符合国家农药标准药剂要求，为正规厂家生产的原药品，具有可追溯性。提供药剂的三证复印件加盖厂家公章。</w:t>
      </w:r>
    </w:p>
    <w:p w14:paraId="048590D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2、飞行安全：</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自行负责飞行安全保障，承担飞行空勤和地勤方面的全部安全责任；自行协调空管和民航的许可，不得未经空管和民航的许可而作业，不得违反《中华人民共和国民用航空法》《中华人民共和国飞行基本规则》和《通用航空飞行管制条例》等有关航空飞行方面的法律法规，否则承担全部责任。</w:t>
      </w:r>
    </w:p>
    <w:p w14:paraId="1E583E2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承诺其具有民用航空器国籍登记证、电台执照、通用航空企业经营许可证、民用航空器标准适航证</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实施飞防中的驾驶员应具有民用航空器驾驶员执照、航空人员体检合格证等相关的资质证书以及有两年以上飞防作业经验的证明。</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具备上述资质证书，方能进行飞防作业，否则由此产生的一切责任由中标方承担。</w:t>
      </w:r>
    </w:p>
    <w:p w14:paraId="7B6FBB1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飞防</w:t>
      </w:r>
      <w:r>
        <w:rPr>
          <w:rFonts w:hint="eastAsia" w:ascii="华文仿宋" w:hAnsi="华文仿宋" w:eastAsia="华文仿宋" w:cs="华文仿宋"/>
          <w:color w:val="auto"/>
          <w:sz w:val="21"/>
          <w:szCs w:val="21"/>
          <w:highlight w:val="none"/>
          <w:lang w:val="en-US" w:eastAsia="zh-CN"/>
        </w:rPr>
        <w:t>前</w:t>
      </w:r>
      <w:r>
        <w:rPr>
          <w:rFonts w:hint="eastAsia" w:ascii="华文仿宋" w:hAnsi="华文仿宋" w:eastAsia="华文仿宋" w:cs="华文仿宋"/>
          <w:color w:val="auto"/>
          <w:sz w:val="21"/>
          <w:szCs w:val="21"/>
          <w:highlight w:val="none"/>
        </w:rPr>
        <w:t>需要提前进行空飞勘查，对风电风机</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lang w:val="en-US" w:eastAsia="zh-CN"/>
        </w:rPr>
        <w:t>水产养殖、桑蚕养殖等</w:t>
      </w:r>
      <w:r>
        <w:rPr>
          <w:rFonts w:hint="eastAsia" w:ascii="华文仿宋" w:hAnsi="华文仿宋" w:eastAsia="华文仿宋" w:cs="华文仿宋"/>
          <w:color w:val="auto"/>
          <w:sz w:val="21"/>
          <w:szCs w:val="21"/>
          <w:highlight w:val="none"/>
        </w:rPr>
        <w:t>进行有效规避</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否则</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lang w:val="en-US" w:eastAsia="zh-CN"/>
        </w:rPr>
        <w:t>由</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承担全部</w:t>
      </w:r>
      <w:r>
        <w:rPr>
          <w:rFonts w:hint="eastAsia" w:ascii="华文仿宋" w:hAnsi="华文仿宋" w:eastAsia="华文仿宋" w:cs="华文仿宋"/>
          <w:color w:val="auto"/>
          <w:sz w:val="21"/>
          <w:szCs w:val="21"/>
          <w:highlight w:val="none"/>
          <w:lang w:val="en-US" w:eastAsia="zh-CN"/>
        </w:rPr>
        <w:t>损失、赔偿及</w:t>
      </w:r>
      <w:r>
        <w:rPr>
          <w:rFonts w:hint="eastAsia" w:ascii="华文仿宋" w:hAnsi="华文仿宋" w:eastAsia="华文仿宋" w:cs="华文仿宋"/>
          <w:color w:val="auto"/>
          <w:sz w:val="21"/>
          <w:szCs w:val="21"/>
          <w:highlight w:val="none"/>
        </w:rPr>
        <w:t>责任。</w:t>
      </w:r>
    </w:p>
    <w:p w14:paraId="76F01DE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3、飞行准备：</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在采购人确定的开始飞行作业时间之前，负责及时做好空管和民航的许可手续办理、临时起降点的选择、调机以及落实药物、油料、配装药设备等各项飞行准备工作，保证按时开始飞防作业，并在规定的时间内高质量完成飞防作业。</w:t>
      </w:r>
    </w:p>
    <w:p w14:paraId="79B99DC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采购人可以协助</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开展飞防用水准备、药物的勾兑和添加、飞机临时起降点的选择和协调，飞机的看管等工作，有关费用由</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支付。</w:t>
      </w:r>
    </w:p>
    <w:p w14:paraId="117CB97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4、费用承担：</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承担为完成飞防任务必须支出的所有费用，包括飞行费、油料费、农药费、</w:t>
      </w:r>
      <w:r>
        <w:rPr>
          <w:rFonts w:hint="eastAsia" w:ascii="华文仿宋" w:hAnsi="华文仿宋" w:eastAsia="华文仿宋" w:cs="华文仿宋"/>
          <w:color w:val="auto"/>
          <w:sz w:val="21"/>
          <w:szCs w:val="21"/>
          <w:highlight w:val="none"/>
          <w:lang w:val="en-US" w:eastAsia="zh-CN"/>
        </w:rPr>
        <w:t>勘察费、</w:t>
      </w:r>
      <w:r>
        <w:rPr>
          <w:rFonts w:hint="eastAsia" w:ascii="华文仿宋" w:hAnsi="华文仿宋" w:eastAsia="华文仿宋" w:cs="华文仿宋"/>
          <w:color w:val="auto"/>
          <w:sz w:val="21"/>
          <w:szCs w:val="21"/>
          <w:highlight w:val="none"/>
        </w:rPr>
        <w:t>飞机转场费、加水费、装药费、保障人员费用、飞行方的食宿等所有相关费用。</w:t>
      </w:r>
    </w:p>
    <w:p w14:paraId="754D742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5、付款条件和期限：</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按照规定时间和区域以及技术要求，对飞防对象完成飞机超低容量喷雾防治作业，同时具备以下两个条件的，由采购人向</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支付全部款项。</w:t>
      </w:r>
    </w:p>
    <w:p w14:paraId="5D05FE6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（1）飞防作业完成后15日内，由县级森防机构</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lang w:val="en-US" w:eastAsia="zh-CN"/>
        </w:rPr>
        <w:t>和第三方机构（单位）</w:t>
      </w:r>
      <w:r>
        <w:rPr>
          <w:rFonts w:hint="eastAsia" w:ascii="华文仿宋" w:hAnsi="华文仿宋" w:eastAsia="华文仿宋" w:cs="华文仿宋"/>
          <w:color w:val="auto"/>
          <w:sz w:val="21"/>
          <w:szCs w:val="21"/>
          <w:highlight w:val="none"/>
        </w:rPr>
        <w:t>对杀虫效果进行联合检查验收，叶片保存率</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杀虫效果</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达到</w:t>
      </w:r>
      <w:r>
        <w:rPr>
          <w:rFonts w:hint="eastAsia" w:ascii="华文仿宋" w:hAnsi="华文仿宋" w:eastAsia="华文仿宋" w:cs="华文仿宋"/>
          <w:color w:val="auto"/>
          <w:sz w:val="21"/>
          <w:szCs w:val="21"/>
          <w:highlight w:val="none"/>
          <w:lang w:val="en-US" w:eastAsia="zh-CN"/>
        </w:rPr>
        <w:t>85</w:t>
      </w: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val="en-US" w:eastAsia="zh-CN"/>
        </w:rPr>
        <w:t>及</w:t>
      </w:r>
      <w:r>
        <w:rPr>
          <w:rFonts w:hint="eastAsia" w:ascii="华文仿宋" w:hAnsi="华文仿宋" w:eastAsia="华文仿宋" w:cs="华文仿宋"/>
          <w:color w:val="auto"/>
          <w:sz w:val="21"/>
          <w:szCs w:val="21"/>
          <w:highlight w:val="none"/>
        </w:rPr>
        <w:t>以上。</w:t>
      </w:r>
    </w:p>
    <w:p w14:paraId="19CED87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（2）飞防</w:t>
      </w:r>
      <w:r>
        <w:rPr>
          <w:rFonts w:hint="eastAsia" w:ascii="华文仿宋" w:hAnsi="华文仿宋" w:eastAsia="华文仿宋" w:cs="华文仿宋"/>
          <w:color w:val="auto"/>
          <w:sz w:val="21"/>
          <w:szCs w:val="21"/>
          <w:highlight w:val="none"/>
          <w:lang w:val="en-US" w:eastAsia="zh-CN"/>
        </w:rPr>
        <w:t>后，防治</w:t>
      </w:r>
      <w:r>
        <w:rPr>
          <w:rFonts w:hint="eastAsia" w:ascii="华文仿宋" w:hAnsi="华文仿宋" w:eastAsia="华文仿宋" w:cs="华文仿宋"/>
          <w:color w:val="auto"/>
          <w:sz w:val="21"/>
          <w:szCs w:val="21"/>
          <w:highlight w:val="none"/>
        </w:rPr>
        <w:t>区域</w:t>
      </w:r>
      <w:r>
        <w:rPr>
          <w:rFonts w:hint="eastAsia" w:ascii="华文仿宋" w:hAnsi="华文仿宋" w:eastAsia="华文仿宋" w:cs="华文仿宋"/>
          <w:color w:val="auto"/>
          <w:sz w:val="21"/>
          <w:szCs w:val="21"/>
          <w:highlight w:val="none"/>
          <w:lang w:val="en-US" w:eastAsia="zh-CN"/>
        </w:rPr>
        <w:t>内</w:t>
      </w:r>
      <w:r>
        <w:rPr>
          <w:rFonts w:hint="eastAsia" w:ascii="华文仿宋" w:hAnsi="华文仿宋" w:eastAsia="华文仿宋" w:cs="华文仿宋"/>
          <w:color w:val="auto"/>
          <w:sz w:val="21"/>
          <w:szCs w:val="21"/>
          <w:highlight w:val="none"/>
        </w:rPr>
        <w:t>不出现连片1亩以上的成灾现象（杨树食叶害虫造成失叶率60%以上为成灾）。</w:t>
      </w:r>
    </w:p>
    <w:p w14:paraId="56CF812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如果叶片保存率</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杀虫效果</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达不到</w:t>
      </w:r>
      <w:r>
        <w:rPr>
          <w:rFonts w:hint="eastAsia" w:ascii="华文仿宋" w:hAnsi="华文仿宋" w:eastAsia="华文仿宋" w:cs="华文仿宋"/>
          <w:color w:val="auto"/>
          <w:sz w:val="21"/>
          <w:szCs w:val="21"/>
          <w:highlight w:val="none"/>
          <w:lang w:val="en-US" w:eastAsia="zh-CN"/>
        </w:rPr>
        <w:t>85</w:t>
      </w: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val="en-US" w:eastAsia="zh-CN"/>
        </w:rPr>
        <w:t>及以上</w:t>
      </w:r>
      <w:r>
        <w:rPr>
          <w:rFonts w:hint="eastAsia" w:ascii="华文仿宋" w:hAnsi="华文仿宋" w:eastAsia="华文仿宋" w:cs="华文仿宋"/>
          <w:color w:val="auto"/>
          <w:sz w:val="21"/>
          <w:szCs w:val="21"/>
          <w:highlight w:val="none"/>
        </w:rPr>
        <w:t>，或飞防</w:t>
      </w:r>
      <w:r>
        <w:rPr>
          <w:rFonts w:hint="eastAsia" w:ascii="华文仿宋" w:hAnsi="华文仿宋" w:eastAsia="华文仿宋" w:cs="华文仿宋"/>
          <w:color w:val="auto"/>
          <w:sz w:val="21"/>
          <w:szCs w:val="21"/>
          <w:highlight w:val="none"/>
          <w:lang w:val="en-US" w:eastAsia="zh-CN"/>
        </w:rPr>
        <w:t>后，防治</w:t>
      </w:r>
      <w:r>
        <w:rPr>
          <w:rFonts w:hint="eastAsia" w:ascii="华文仿宋" w:hAnsi="华文仿宋" w:eastAsia="华文仿宋" w:cs="华文仿宋"/>
          <w:color w:val="auto"/>
          <w:sz w:val="21"/>
          <w:szCs w:val="21"/>
          <w:highlight w:val="none"/>
        </w:rPr>
        <w:t>区域</w:t>
      </w:r>
      <w:r>
        <w:rPr>
          <w:rFonts w:hint="eastAsia" w:ascii="华文仿宋" w:hAnsi="华文仿宋" w:eastAsia="华文仿宋" w:cs="华文仿宋"/>
          <w:color w:val="auto"/>
          <w:sz w:val="21"/>
          <w:szCs w:val="21"/>
          <w:highlight w:val="none"/>
          <w:lang w:val="en-US" w:eastAsia="zh-CN"/>
        </w:rPr>
        <w:t>内</w:t>
      </w:r>
      <w:r>
        <w:rPr>
          <w:rFonts w:hint="eastAsia" w:ascii="华文仿宋" w:hAnsi="华文仿宋" w:eastAsia="华文仿宋" w:cs="华文仿宋"/>
          <w:color w:val="auto"/>
          <w:sz w:val="21"/>
          <w:szCs w:val="21"/>
          <w:highlight w:val="none"/>
        </w:rPr>
        <w:t>有连片1亩以上成灾现象的，</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要按照采购人要求重新补防，直到防治效果合格，采购人方能付款。</w:t>
      </w:r>
    </w:p>
    <w:p w14:paraId="789D86F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6、飞防对象：</w:t>
      </w:r>
      <w:r>
        <w:rPr>
          <w:rFonts w:hint="eastAsia" w:ascii="华文仿宋" w:hAnsi="华文仿宋" w:eastAsia="华文仿宋" w:cs="华文仿宋"/>
          <w:color w:val="auto"/>
          <w:sz w:val="21"/>
          <w:szCs w:val="21"/>
          <w:highlight w:val="none"/>
          <w:lang w:val="en-US" w:eastAsia="zh-CN"/>
        </w:rPr>
        <w:t>主要为杨小舟蛾、杨扇舟蛾等</w:t>
      </w:r>
      <w:r>
        <w:rPr>
          <w:rFonts w:hint="eastAsia" w:ascii="华文仿宋" w:hAnsi="华文仿宋" w:eastAsia="华文仿宋" w:cs="华文仿宋"/>
          <w:color w:val="auto"/>
          <w:sz w:val="21"/>
          <w:szCs w:val="21"/>
          <w:highlight w:val="none"/>
        </w:rPr>
        <w:t>杨树食叶</w:t>
      </w:r>
      <w:r>
        <w:rPr>
          <w:rFonts w:hint="eastAsia" w:ascii="华文仿宋" w:hAnsi="华文仿宋" w:eastAsia="华文仿宋" w:cs="华文仿宋"/>
          <w:color w:val="auto"/>
          <w:sz w:val="21"/>
          <w:szCs w:val="21"/>
          <w:highlight w:val="none"/>
          <w:lang w:val="en-US" w:eastAsia="zh-CN"/>
        </w:rPr>
        <w:t>类</w:t>
      </w:r>
      <w:r>
        <w:rPr>
          <w:rFonts w:hint="eastAsia" w:ascii="华文仿宋" w:hAnsi="华文仿宋" w:eastAsia="华文仿宋" w:cs="华文仿宋"/>
          <w:color w:val="auto"/>
          <w:sz w:val="21"/>
          <w:szCs w:val="21"/>
          <w:highlight w:val="none"/>
        </w:rPr>
        <w:t>害虫。</w:t>
      </w:r>
    </w:p>
    <w:p w14:paraId="2A766D3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7、飞防区域</w:t>
      </w:r>
      <w:r>
        <w:rPr>
          <w:rFonts w:hint="eastAsia" w:ascii="华文仿宋" w:hAnsi="华文仿宋" w:eastAsia="华文仿宋" w:cs="华文仿宋"/>
          <w:color w:val="auto"/>
          <w:sz w:val="21"/>
          <w:szCs w:val="21"/>
          <w:highlight w:val="none"/>
          <w:lang w:val="en-US" w:eastAsia="zh-CN"/>
        </w:rPr>
        <w:t>和面积</w:t>
      </w:r>
      <w:r>
        <w:rPr>
          <w:rFonts w:hint="eastAsia" w:ascii="华文仿宋" w:hAnsi="华文仿宋" w:eastAsia="华文仿宋" w:cs="华文仿宋"/>
          <w:color w:val="auto"/>
          <w:sz w:val="21"/>
          <w:szCs w:val="21"/>
          <w:highlight w:val="none"/>
        </w:rPr>
        <w:t>：飞防区域</w:t>
      </w:r>
      <w:r>
        <w:rPr>
          <w:rFonts w:hint="eastAsia" w:ascii="华文仿宋" w:hAnsi="华文仿宋" w:eastAsia="华文仿宋" w:cs="华文仿宋"/>
          <w:color w:val="auto"/>
          <w:sz w:val="21"/>
          <w:szCs w:val="21"/>
          <w:highlight w:val="none"/>
          <w:lang w:val="en-US" w:eastAsia="zh-CN"/>
        </w:rPr>
        <w:t>为淮滨县全境（桑蚕养殖区除外）。计划全年</w:t>
      </w:r>
      <w:r>
        <w:rPr>
          <w:rFonts w:hint="eastAsia" w:ascii="华文仿宋" w:hAnsi="华文仿宋" w:eastAsia="华文仿宋" w:cs="华文仿宋"/>
          <w:color w:val="auto"/>
          <w:sz w:val="21"/>
          <w:szCs w:val="21"/>
          <w:highlight w:val="none"/>
          <w:lang w:eastAsia="zh-CN"/>
        </w:rPr>
        <w:t>飞防</w:t>
      </w:r>
      <w:r>
        <w:rPr>
          <w:rFonts w:hint="eastAsia" w:ascii="华文仿宋" w:hAnsi="华文仿宋" w:eastAsia="华文仿宋" w:cs="华文仿宋"/>
          <w:color w:val="auto"/>
          <w:sz w:val="21"/>
          <w:szCs w:val="21"/>
          <w:highlight w:val="none"/>
          <w:lang w:val="en-US" w:eastAsia="zh-CN"/>
        </w:rPr>
        <w:t>20</w:t>
      </w:r>
      <w:r>
        <w:rPr>
          <w:rFonts w:hint="eastAsia" w:ascii="华文仿宋" w:hAnsi="华文仿宋" w:eastAsia="华文仿宋" w:cs="华文仿宋"/>
          <w:color w:val="auto"/>
          <w:sz w:val="21"/>
          <w:szCs w:val="21"/>
          <w:highlight w:val="none"/>
          <w:lang w:eastAsia="zh-CN"/>
        </w:rPr>
        <w:t>万亩（</w:t>
      </w:r>
      <w:r>
        <w:rPr>
          <w:rFonts w:hint="eastAsia" w:ascii="华文仿宋" w:hAnsi="华文仿宋" w:eastAsia="华文仿宋" w:cs="华文仿宋"/>
          <w:color w:val="auto"/>
          <w:sz w:val="21"/>
          <w:szCs w:val="21"/>
          <w:highlight w:val="none"/>
          <w:lang w:val="en-US" w:eastAsia="zh-CN"/>
        </w:rPr>
        <w:t>以实际飞防面积为准</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采购人根据虫情变化可以适当调整具体飞防区域、增减作业面积，但要及时通知</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w:t>
      </w:r>
    </w:p>
    <w:p w14:paraId="7C1E7FF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rPr>
        <w:t>8、飞防时间：</w:t>
      </w:r>
      <w:r>
        <w:rPr>
          <w:rFonts w:hint="eastAsia" w:ascii="华文仿宋" w:hAnsi="华文仿宋" w:eastAsia="华文仿宋" w:cs="华文仿宋"/>
          <w:color w:val="auto"/>
          <w:sz w:val="21"/>
          <w:szCs w:val="21"/>
          <w:highlight w:val="none"/>
          <w:lang w:val="en-US" w:eastAsia="zh-CN"/>
        </w:rPr>
        <w:t>2025年6月至9月期间，</w:t>
      </w:r>
      <w:r>
        <w:rPr>
          <w:rFonts w:hint="eastAsia" w:ascii="华文仿宋" w:hAnsi="华文仿宋" w:eastAsia="华文仿宋" w:cs="华文仿宋"/>
          <w:color w:val="auto"/>
          <w:sz w:val="21"/>
          <w:szCs w:val="21"/>
          <w:highlight w:val="none"/>
        </w:rPr>
        <w:t>具体时间视虫情而定</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如因天气原因不能飞防，</w:t>
      </w:r>
      <w:r>
        <w:rPr>
          <w:rFonts w:hint="eastAsia" w:ascii="华文仿宋" w:hAnsi="华文仿宋" w:eastAsia="华文仿宋" w:cs="华文仿宋"/>
          <w:color w:val="auto"/>
          <w:sz w:val="21"/>
          <w:szCs w:val="21"/>
          <w:highlight w:val="none"/>
          <w:lang w:val="en-US" w:eastAsia="zh-CN"/>
        </w:rPr>
        <w:t>则</w:t>
      </w:r>
      <w:r>
        <w:rPr>
          <w:rFonts w:hint="eastAsia" w:ascii="华文仿宋" w:hAnsi="华文仿宋" w:eastAsia="华文仿宋" w:cs="华文仿宋"/>
          <w:color w:val="auto"/>
          <w:sz w:val="21"/>
          <w:szCs w:val="21"/>
          <w:highlight w:val="none"/>
        </w:rPr>
        <w:t>时间顺延。具体开始</w:t>
      </w:r>
      <w:r>
        <w:rPr>
          <w:rFonts w:hint="eastAsia" w:ascii="华文仿宋" w:hAnsi="华文仿宋" w:eastAsia="华文仿宋" w:cs="华文仿宋"/>
          <w:color w:val="auto"/>
          <w:sz w:val="21"/>
          <w:szCs w:val="21"/>
          <w:highlight w:val="none"/>
          <w:lang w:val="en-US" w:eastAsia="zh-CN"/>
        </w:rPr>
        <w:t>飞防</w:t>
      </w:r>
      <w:r>
        <w:rPr>
          <w:rFonts w:hint="eastAsia" w:ascii="华文仿宋" w:hAnsi="华文仿宋" w:eastAsia="华文仿宋" w:cs="华文仿宋"/>
          <w:color w:val="auto"/>
          <w:sz w:val="21"/>
          <w:szCs w:val="21"/>
          <w:highlight w:val="none"/>
        </w:rPr>
        <w:t>时间由采购人根据虫情确定并提前5日通知</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w:t>
      </w:r>
    </w:p>
    <w:p w14:paraId="06421E7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9、技术要求。</w:t>
      </w:r>
    </w:p>
    <w:p w14:paraId="2D7EC44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（1）喷洒均匀：</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根据采购人的要求，负责制定区域内的具体飞行作业路线，飞防过程中喷洒均匀，叶片保存率</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杀虫效果</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达到</w:t>
      </w:r>
      <w:r>
        <w:rPr>
          <w:rFonts w:hint="eastAsia" w:ascii="华文仿宋" w:hAnsi="华文仿宋" w:eastAsia="华文仿宋" w:cs="华文仿宋"/>
          <w:color w:val="auto"/>
          <w:sz w:val="21"/>
          <w:szCs w:val="21"/>
          <w:highlight w:val="none"/>
          <w:lang w:val="en-US" w:eastAsia="zh-CN"/>
        </w:rPr>
        <w:t>85</w:t>
      </w: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val="en-US" w:eastAsia="zh-CN"/>
        </w:rPr>
        <w:t>及</w:t>
      </w:r>
      <w:r>
        <w:rPr>
          <w:rFonts w:hint="eastAsia" w:ascii="华文仿宋" w:hAnsi="华文仿宋" w:eastAsia="华文仿宋" w:cs="华文仿宋"/>
          <w:color w:val="auto"/>
          <w:sz w:val="21"/>
          <w:szCs w:val="21"/>
          <w:highlight w:val="none"/>
        </w:rPr>
        <w:t>以上。</w:t>
      </w:r>
    </w:p>
    <w:p w14:paraId="2CDEAB9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（2）作业高度：</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飞机作业高度距树冠（平原）10～15m。</w:t>
      </w:r>
    </w:p>
    <w:p w14:paraId="1790EAD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（3）作业天气：</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在晴天、微风或无风的情况下安全有效地作业，最大风速不超过5m/s，能见度大于1㎞。</w:t>
      </w:r>
    </w:p>
    <w:p w14:paraId="1DFF4C6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（4）喷洒方式：</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采用超低容量喷雾的方式喷洒药液，雾滴直径要达到超低容量喷雾要求，即20～60μm，雾滴数量不少于10个/cm2。</w:t>
      </w:r>
    </w:p>
    <w:p w14:paraId="7208628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（5）使用药剂：</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要使用无公害药剂，做到对飞防对象高效、对环境无污染、对人和牲畜无毒无害</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保护蜂、蚕、鱼、虾等非标靶生物；按要求负责执行配置药液，</w:t>
      </w:r>
      <w:r>
        <w:rPr>
          <w:rFonts w:hint="eastAsia" w:ascii="华文仿宋" w:hAnsi="华文仿宋" w:eastAsia="华文仿宋" w:cs="华文仿宋"/>
          <w:color w:val="auto"/>
          <w:sz w:val="21"/>
          <w:szCs w:val="21"/>
          <w:highlight w:val="none"/>
          <w:lang w:val="en-US" w:eastAsia="zh-CN"/>
        </w:rPr>
        <w:t>根据需要添加</w:t>
      </w:r>
      <w:r>
        <w:rPr>
          <w:rFonts w:hint="eastAsia" w:ascii="华文仿宋" w:hAnsi="华文仿宋" w:eastAsia="华文仿宋" w:cs="华文仿宋"/>
          <w:color w:val="auto"/>
          <w:sz w:val="21"/>
          <w:szCs w:val="21"/>
          <w:highlight w:val="none"/>
        </w:rPr>
        <w:t>黏着剂</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lang w:val="en-US" w:eastAsia="zh-CN"/>
        </w:rPr>
        <w:t>沉降剂</w:t>
      </w:r>
      <w:r>
        <w:rPr>
          <w:rFonts w:hint="eastAsia" w:ascii="华文仿宋" w:hAnsi="华文仿宋" w:eastAsia="华文仿宋" w:cs="华文仿宋"/>
          <w:color w:val="auto"/>
          <w:sz w:val="21"/>
          <w:szCs w:val="21"/>
          <w:highlight w:val="none"/>
        </w:rPr>
        <w:t>5-10g/亩，用药量：杨树食叶害虫用药量要不少于该药使用说明上达到防治效果的最低用量</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美国白蛾</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lang w:val="en-US" w:eastAsia="zh-CN"/>
        </w:rPr>
        <w:t>预防和防治美国白蛾，巩固美国白蛾防治成效</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用药量要</w:t>
      </w:r>
      <w:r>
        <w:rPr>
          <w:rFonts w:hint="eastAsia" w:ascii="华文仿宋" w:hAnsi="华文仿宋" w:eastAsia="华文仿宋" w:cs="华文仿宋"/>
          <w:color w:val="auto"/>
          <w:sz w:val="21"/>
          <w:szCs w:val="21"/>
          <w:highlight w:val="none"/>
          <w:lang w:eastAsia="zh-CN"/>
        </w:rPr>
        <w:t>在杨树食叶害虫用药量的</w:t>
      </w:r>
      <w:r>
        <w:rPr>
          <w:rFonts w:hint="eastAsia" w:ascii="华文仿宋" w:hAnsi="华文仿宋" w:eastAsia="华文仿宋" w:cs="华文仿宋"/>
          <w:color w:val="auto"/>
          <w:sz w:val="21"/>
          <w:szCs w:val="21"/>
          <w:highlight w:val="none"/>
          <w:lang w:val="en-US" w:eastAsia="zh-CN"/>
        </w:rPr>
        <w:t>基础上加</w:t>
      </w:r>
      <w:r>
        <w:rPr>
          <w:rFonts w:hint="eastAsia" w:ascii="华文仿宋" w:hAnsi="华文仿宋" w:eastAsia="华文仿宋" w:cs="华文仿宋"/>
          <w:color w:val="auto"/>
          <w:sz w:val="21"/>
          <w:szCs w:val="21"/>
          <w:highlight w:val="none"/>
        </w:rPr>
        <w:t>不少于该药使用说明上达到防治效果的最低用量</w:t>
      </w:r>
      <w:r>
        <w:rPr>
          <w:rFonts w:hint="eastAsia" w:ascii="华文仿宋" w:hAnsi="华文仿宋" w:eastAsia="华文仿宋" w:cs="华文仿宋"/>
          <w:color w:val="auto"/>
          <w:sz w:val="21"/>
          <w:szCs w:val="21"/>
          <w:highlight w:val="none"/>
          <w:lang w:eastAsia="zh-CN"/>
        </w:rPr>
        <w:t>的</w:t>
      </w:r>
      <w:r>
        <w:rPr>
          <w:rFonts w:hint="eastAsia" w:ascii="华文仿宋" w:hAnsi="华文仿宋" w:eastAsia="华文仿宋" w:cs="华文仿宋"/>
          <w:color w:val="auto"/>
          <w:sz w:val="21"/>
          <w:szCs w:val="21"/>
          <w:highlight w:val="none"/>
          <w:lang w:val="en-US" w:eastAsia="zh-CN"/>
        </w:rPr>
        <w:t>50%</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喷洒药液量不少于330g/亩</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具体由</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和采购人合同中约定</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应本着服务客户、为客户着想的宗旨，来完善技术要求未尽事宜，不得以招标文件未列明事项为由，来降低飞防的质量。</w:t>
      </w:r>
    </w:p>
    <w:p w14:paraId="7004E20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10、违约责任：采购人无正当理由拒绝验收飞防效果、拒付相关款项，向</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偿付拒付部分款项总额5%的违约金。</w:t>
      </w:r>
    </w:p>
    <w:p w14:paraId="4AF2C41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飞防效果达不到合同规定或者不能按期完成飞防，采购人有权拒绝验收，</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应负责重新实施补防并承担由此产生的实际费用，补防后仍达不到防治效果要求的，采购人有权拒绝付款，并且</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向采购人支付合同总价款5%的违约金。由于</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原因导致</w:t>
      </w:r>
      <w:r>
        <w:rPr>
          <w:rFonts w:hint="eastAsia" w:ascii="华文仿宋" w:hAnsi="华文仿宋" w:eastAsia="华文仿宋" w:cs="华文仿宋"/>
          <w:color w:val="auto"/>
          <w:sz w:val="21"/>
          <w:szCs w:val="21"/>
          <w:highlight w:val="none"/>
          <w:lang w:val="en-US" w:eastAsia="zh-CN"/>
        </w:rPr>
        <w:t>虫情</w:t>
      </w:r>
      <w:r>
        <w:rPr>
          <w:rFonts w:hint="eastAsia" w:ascii="华文仿宋" w:hAnsi="华文仿宋" w:eastAsia="华文仿宋" w:cs="华文仿宋"/>
          <w:color w:val="auto"/>
          <w:sz w:val="21"/>
          <w:szCs w:val="21"/>
          <w:highlight w:val="none"/>
        </w:rPr>
        <w:t>暴发的，</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向采购人赔偿控制</w:t>
      </w:r>
      <w:r>
        <w:rPr>
          <w:rFonts w:hint="eastAsia" w:ascii="华文仿宋" w:hAnsi="华文仿宋" w:eastAsia="华文仿宋" w:cs="华文仿宋"/>
          <w:color w:val="auto"/>
          <w:sz w:val="21"/>
          <w:szCs w:val="21"/>
          <w:highlight w:val="none"/>
          <w:lang w:val="en-US" w:eastAsia="zh-CN"/>
        </w:rPr>
        <w:t>虫情</w:t>
      </w:r>
      <w:r>
        <w:rPr>
          <w:rFonts w:hint="eastAsia" w:ascii="华文仿宋" w:hAnsi="华文仿宋" w:eastAsia="华文仿宋" w:cs="华文仿宋"/>
          <w:color w:val="auto"/>
          <w:sz w:val="21"/>
          <w:szCs w:val="21"/>
          <w:highlight w:val="none"/>
        </w:rPr>
        <w:t>所造成的损失。</w:t>
      </w:r>
    </w:p>
    <w:p w14:paraId="295C790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不按照技术要求，不使用无公害药剂，造成环境污染或者中毒事件的，</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承担全部责任。</w:t>
      </w:r>
    </w:p>
    <w:p w14:paraId="0DFDD28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11、侵权责任：合同签订后，采购人不承担涉及专利权、商标权、设备权等侵权责任，因侵权而引起的纠纷或赔偿均由</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承担。</w:t>
      </w:r>
    </w:p>
    <w:p w14:paraId="55E0400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给第三人造成人身损害或财产损失的，由</w:t>
      </w:r>
      <w:r>
        <w:rPr>
          <w:rFonts w:hint="eastAsia" w:ascii="华文仿宋" w:hAnsi="华文仿宋" w:eastAsia="华文仿宋" w:cs="华文仿宋"/>
          <w:color w:val="auto"/>
          <w:sz w:val="21"/>
          <w:szCs w:val="21"/>
          <w:highlight w:val="none"/>
          <w:lang w:eastAsia="zh-CN"/>
        </w:rPr>
        <w:t>供应商</w:t>
      </w:r>
      <w:r>
        <w:rPr>
          <w:rFonts w:hint="eastAsia" w:ascii="华文仿宋" w:hAnsi="华文仿宋" w:eastAsia="华文仿宋" w:cs="华文仿宋"/>
          <w:color w:val="auto"/>
          <w:sz w:val="21"/>
          <w:szCs w:val="21"/>
          <w:highlight w:val="none"/>
        </w:rPr>
        <w:t>承担一切责任</w:t>
      </w:r>
      <w:r>
        <w:rPr>
          <w:rFonts w:hint="eastAsia" w:ascii="华文仿宋" w:hAnsi="华文仿宋" w:eastAsia="华文仿宋" w:cs="华文仿宋"/>
          <w:color w:val="auto"/>
          <w:sz w:val="21"/>
          <w:szCs w:val="21"/>
          <w:highlight w:val="none"/>
          <w:lang w:val="en-US" w:eastAsia="zh-CN"/>
        </w:rPr>
        <w:t>及赔偿</w:t>
      </w:r>
      <w:r>
        <w:rPr>
          <w:rFonts w:hint="eastAsia" w:ascii="华文仿宋" w:hAnsi="华文仿宋" w:eastAsia="华文仿宋" w:cs="华文仿宋"/>
          <w:color w:val="auto"/>
          <w:sz w:val="21"/>
          <w:szCs w:val="21"/>
          <w:highlight w:val="none"/>
        </w:rPr>
        <w:t>。</w:t>
      </w:r>
    </w:p>
    <w:p w14:paraId="2314FD22">
      <w:pP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br w:type="page"/>
      </w:r>
    </w:p>
    <w:p w14:paraId="59A874C2">
      <w:pPr>
        <w:pStyle w:val="2"/>
        <w:pageBreakBefore w:val="0"/>
        <w:numPr>
          <w:ilvl w:val="0"/>
          <w:numId w:val="4"/>
        </w:numPr>
        <w:kinsoku/>
        <w:wordWrap w:val="0"/>
        <w:overflowPunct/>
        <w:topLinePunct/>
        <w:bidi w:val="0"/>
        <w:spacing w:line="360" w:lineRule="auto"/>
        <w:ind w:left="0" w:leftChars="0" w:firstLine="0" w:firstLineChars="0"/>
        <w:jc w:val="center"/>
        <w:rPr>
          <w:rFonts w:hint="eastAsia" w:ascii="华文仿宋" w:hAnsi="华文仿宋" w:eastAsia="华文仿宋" w:cs="华文仿宋"/>
          <w:color w:val="auto"/>
          <w:highlight w:val="none"/>
        </w:rPr>
      </w:pPr>
      <w:bookmarkStart w:id="845" w:name="_Toc8871"/>
      <w:r>
        <w:rPr>
          <w:rFonts w:hint="eastAsia" w:ascii="华文仿宋" w:hAnsi="华文仿宋" w:eastAsia="华文仿宋" w:cs="华文仿宋"/>
          <w:color w:val="auto"/>
          <w:highlight w:val="none"/>
        </w:rPr>
        <w:t>竞争性磋商响应文件格式</w:t>
      </w:r>
      <w:bookmarkEnd w:id="845"/>
    </w:p>
    <w:p w14:paraId="1911D41D">
      <w:pPr>
        <w:pStyle w:val="12"/>
        <w:spacing w:line="360" w:lineRule="auto"/>
        <w:rPr>
          <w:rFonts w:hint="eastAsia" w:ascii="华文仿宋" w:hAnsi="华文仿宋" w:eastAsia="华文仿宋" w:cs="华文仿宋"/>
          <w:color w:val="auto"/>
        </w:rPr>
      </w:pPr>
    </w:p>
    <w:p w14:paraId="7566FD93">
      <w:pPr>
        <w:pStyle w:val="43"/>
        <w:spacing w:line="360" w:lineRule="auto"/>
        <w:rPr>
          <w:rFonts w:hint="eastAsia" w:ascii="华文仿宋" w:hAnsi="华文仿宋" w:eastAsia="华文仿宋" w:cs="华文仿宋"/>
          <w:color w:val="auto"/>
        </w:rPr>
      </w:pPr>
    </w:p>
    <w:p w14:paraId="212C2358">
      <w:pPr>
        <w:pStyle w:val="12"/>
        <w:spacing w:line="360" w:lineRule="auto"/>
        <w:rPr>
          <w:rFonts w:hint="eastAsia" w:ascii="华文仿宋" w:hAnsi="华文仿宋" w:eastAsia="华文仿宋" w:cs="华文仿宋"/>
          <w:color w:val="auto"/>
        </w:rPr>
      </w:pPr>
    </w:p>
    <w:p w14:paraId="7BD9ED21">
      <w:pPr>
        <w:pageBreakBefore w:val="0"/>
        <w:kinsoku/>
        <w:wordWrap w:val="0"/>
        <w:overflowPunct/>
        <w:topLinePunct/>
        <w:bidi w:val="0"/>
        <w:spacing w:line="360" w:lineRule="auto"/>
        <w:jc w:val="center"/>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u w:val="single"/>
          <w:lang w:val="en-US" w:eastAsia="zh-CN"/>
        </w:rPr>
        <w:t xml:space="preserve">                       </w:t>
      </w:r>
      <w:r>
        <w:rPr>
          <w:rFonts w:hint="eastAsia" w:ascii="华文仿宋" w:hAnsi="华文仿宋" w:eastAsia="华文仿宋" w:cs="华文仿宋"/>
          <w:b/>
          <w:bCs/>
          <w:color w:val="auto"/>
          <w:sz w:val="32"/>
          <w:szCs w:val="32"/>
          <w:highlight w:val="none"/>
        </w:rPr>
        <w:t>（项目名称）竞争性磋商</w:t>
      </w:r>
    </w:p>
    <w:p w14:paraId="7003B173">
      <w:pPr>
        <w:pageBreakBefore w:val="0"/>
        <w:kinsoku/>
        <w:wordWrap w:val="0"/>
        <w:overflowPunct/>
        <w:topLinePunct/>
        <w:bidi w:val="0"/>
        <w:spacing w:line="360" w:lineRule="auto"/>
        <w:jc w:val="center"/>
        <w:rPr>
          <w:rFonts w:hint="eastAsia" w:ascii="华文仿宋" w:hAnsi="华文仿宋" w:eastAsia="华文仿宋" w:cs="华文仿宋"/>
          <w:b/>
          <w:bCs/>
          <w:color w:val="auto"/>
          <w:sz w:val="44"/>
          <w:szCs w:val="44"/>
          <w:highlight w:val="none"/>
        </w:rPr>
      </w:pPr>
    </w:p>
    <w:p w14:paraId="67579E8A">
      <w:pPr>
        <w:pageBreakBefore w:val="0"/>
        <w:kinsoku/>
        <w:wordWrap w:val="0"/>
        <w:overflowPunct/>
        <w:topLinePunct/>
        <w:bidi w:val="0"/>
        <w:spacing w:line="360" w:lineRule="auto"/>
        <w:jc w:val="center"/>
        <w:rPr>
          <w:rFonts w:hint="eastAsia" w:ascii="华文仿宋" w:hAnsi="华文仿宋" w:eastAsia="华文仿宋" w:cs="华文仿宋"/>
          <w:b/>
          <w:bCs/>
          <w:color w:val="auto"/>
          <w:sz w:val="52"/>
          <w:szCs w:val="52"/>
          <w:highlight w:val="none"/>
        </w:rPr>
      </w:pPr>
      <w:r>
        <w:rPr>
          <w:rFonts w:hint="eastAsia" w:ascii="华文仿宋" w:hAnsi="华文仿宋" w:eastAsia="华文仿宋" w:cs="华文仿宋"/>
          <w:b/>
          <w:bCs/>
          <w:color w:val="auto"/>
          <w:sz w:val="52"/>
          <w:szCs w:val="52"/>
          <w:highlight w:val="none"/>
        </w:rPr>
        <w:t>响 应 文 件</w:t>
      </w:r>
    </w:p>
    <w:p w14:paraId="53FAB852">
      <w:pPr>
        <w:pageBreakBefore w:val="0"/>
        <w:kinsoku/>
        <w:wordWrap w:val="0"/>
        <w:overflowPunct/>
        <w:topLinePunct/>
        <w:bidi w:val="0"/>
        <w:spacing w:line="360" w:lineRule="auto"/>
        <w:rPr>
          <w:rFonts w:hint="eastAsia" w:ascii="华文仿宋" w:hAnsi="华文仿宋" w:eastAsia="华文仿宋" w:cs="华文仿宋"/>
          <w:color w:val="auto"/>
          <w:sz w:val="24"/>
          <w:szCs w:val="24"/>
          <w:highlight w:val="none"/>
        </w:rPr>
      </w:pPr>
    </w:p>
    <w:p w14:paraId="101CA815">
      <w:pPr>
        <w:pStyle w:val="52"/>
        <w:pageBreakBefore w:val="0"/>
        <w:kinsoku/>
        <w:wordWrap w:val="0"/>
        <w:overflowPunct/>
        <w:topLinePunct/>
        <w:bidi w:val="0"/>
        <w:spacing w:line="360" w:lineRule="auto"/>
        <w:rPr>
          <w:rFonts w:hint="eastAsia" w:ascii="华文仿宋" w:hAnsi="华文仿宋" w:eastAsia="华文仿宋" w:cs="华文仿宋"/>
          <w:color w:val="auto"/>
          <w:sz w:val="24"/>
          <w:szCs w:val="24"/>
          <w:highlight w:val="none"/>
        </w:rPr>
      </w:pPr>
    </w:p>
    <w:p w14:paraId="32BA792C">
      <w:pPr>
        <w:pStyle w:val="12"/>
        <w:pageBreakBefore w:val="0"/>
        <w:kinsoku/>
        <w:wordWrap w:val="0"/>
        <w:overflowPunct/>
        <w:topLinePunct/>
        <w:bidi w:val="0"/>
        <w:spacing w:line="360" w:lineRule="auto"/>
        <w:rPr>
          <w:rFonts w:hint="eastAsia" w:ascii="华文仿宋" w:hAnsi="华文仿宋" w:eastAsia="华文仿宋" w:cs="华文仿宋"/>
          <w:color w:val="auto"/>
          <w:sz w:val="24"/>
          <w:szCs w:val="24"/>
          <w:highlight w:val="none"/>
        </w:rPr>
      </w:pPr>
    </w:p>
    <w:p w14:paraId="330A19FA">
      <w:pPr>
        <w:pStyle w:val="49"/>
        <w:pageBreakBefore w:val="0"/>
        <w:kinsoku/>
        <w:wordWrap w:val="0"/>
        <w:overflowPunct/>
        <w:topLinePunct/>
        <w:bidi w:val="0"/>
        <w:spacing w:line="360" w:lineRule="auto"/>
        <w:rPr>
          <w:rFonts w:hint="eastAsia" w:ascii="华文仿宋" w:hAnsi="华文仿宋" w:eastAsia="华文仿宋" w:cs="华文仿宋"/>
          <w:color w:val="auto"/>
          <w:sz w:val="24"/>
          <w:szCs w:val="24"/>
          <w:highlight w:val="none"/>
        </w:rPr>
      </w:pPr>
    </w:p>
    <w:p w14:paraId="7FFFC97B">
      <w:pPr>
        <w:pStyle w:val="51"/>
        <w:pageBreakBefore w:val="0"/>
        <w:kinsoku/>
        <w:wordWrap w:val="0"/>
        <w:overflowPunct/>
        <w:topLinePunct/>
        <w:bidi w:val="0"/>
        <w:spacing w:line="360" w:lineRule="auto"/>
        <w:rPr>
          <w:rFonts w:hint="eastAsia" w:ascii="华文仿宋" w:hAnsi="华文仿宋" w:eastAsia="华文仿宋" w:cs="华文仿宋"/>
          <w:color w:val="auto"/>
          <w:sz w:val="24"/>
          <w:szCs w:val="24"/>
          <w:highlight w:val="none"/>
        </w:rPr>
      </w:pPr>
    </w:p>
    <w:p w14:paraId="5CF59C7F">
      <w:pPr>
        <w:pageBreakBefore w:val="0"/>
        <w:kinsoku/>
        <w:wordWrap w:val="0"/>
        <w:overflowPunct/>
        <w:topLinePunct/>
        <w:bidi w:val="0"/>
        <w:spacing w:line="360" w:lineRule="auto"/>
        <w:rPr>
          <w:rFonts w:hint="eastAsia" w:ascii="华文仿宋" w:hAnsi="华文仿宋" w:eastAsia="华文仿宋" w:cs="华文仿宋"/>
          <w:color w:val="auto"/>
          <w:sz w:val="24"/>
          <w:szCs w:val="24"/>
          <w:highlight w:val="none"/>
        </w:rPr>
      </w:pPr>
    </w:p>
    <w:p w14:paraId="357FE47F">
      <w:pPr>
        <w:pageBreakBefore w:val="0"/>
        <w:kinsoku/>
        <w:wordWrap w:val="0"/>
        <w:overflowPunct/>
        <w:topLinePunct/>
        <w:bidi w:val="0"/>
        <w:spacing w:line="360" w:lineRule="auto"/>
        <w:rPr>
          <w:rFonts w:hint="eastAsia" w:ascii="华文仿宋" w:hAnsi="华文仿宋" w:eastAsia="华文仿宋" w:cs="华文仿宋"/>
          <w:color w:val="auto"/>
          <w:highlight w:val="none"/>
          <w:lang w:eastAsia="zh-CN"/>
        </w:rPr>
      </w:pPr>
    </w:p>
    <w:p w14:paraId="3EE8E0CB">
      <w:pPr>
        <w:pStyle w:val="43"/>
        <w:rPr>
          <w:rFonts w:hint="eastAsia" w:ascii="华文仿宋" w:hAnsi="华文仿宋" w:eastAsia="华文仿宋" w:cs="华文仿宋"/>
          <w:color w:val="auto"/>
          <w:lang w:eastAsia="zh-CN"/>
        </w:rPr>
      </w:pPr>
    </w:p>
    <w:p w14:paraId="2E7C161A">
      <w:pPr>
        <w:pStyle w:val="12"/>
        <w:pageBreakBefore w:val="0"/>
        <w:kinsoku/>
        <w:wordWrap w:val="0"/>
        <w:overflowPunct/>
        <w:topLinePunct/>
        <w:bidi w:val="0"/>
        <w:spacing w:line="360" w:lineRule="auto"/>
        <w:rPr>
          <w:rFonts w:hint="eastAsia" w:ascii="华文仿宋" w:hAnsi="华文仿宋" w:eastAsia="华文仿宋" w:cs="华文仿宋"/>
          <w:color w:val="auto"/>
          <w:highlight w:val="none"/>
        </w:rPr>
      </w:pPr>
    </w:p>
    <w:p w14:paraId="41A7F2AB">
      <w:pPr>
        <w:pageBreakBefore w:val="0"/>
        <w:kinsoku/>
        <w:wordWrap w:val="0"/>
        <w:overflowPunct/>
        <w:topLinePunct/>
        <w:bidi w:val="0"/>
        <w:spacing w:line="360" w:lineRule="auto"/>
        <w:jc w:val="center"/>
        <w:rPr>
          <w:rFonts w:hint="eastAsia" w:ascii="华文仿宋" w:hAnsi="华文仿宋" w:eastAsia="华文仿宋" w:cs="华文仿宋"/>
          <w:color w:val="auto"/>
          <w:sz w:val="28"/>
          <w:szCs w:val="28"/>
          <w:highlight w:val="none"/>
        </w:rPr>
      </w:pPr>
    </w:p>
    <w:p w14:paraId="629614A4">
      <w:pPr>
        <w:pageBreakBefore w:val="0"/>
        <w:kinsoku/>
        <w:wordWrap w:val="0"/>
        <w:overflowPunct/>
        <w:topLinePunct/>
        <w:bidi w:val="0"/>
        <w:spacing w:line="360" w:lineRule="auto"/>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供应商：</w:t>
      </w:r>
      <w:r>
        <w:rPr>
          <w:rFonts w:hint="eastAsia" w:ascii="华文仿宋" w:hAnsi="华文仿宋" w:eastAsia="华文仿宋" w:cs="华文仿宋"/>
          <w:color w:val="auto"/>
          <w:sz w:val="28"/>
          <w:szCs w:val="28"/>
          <w:highlight w:val="none"/>
          <w:u w:val="single"/>
          <w:lang w:val="en-US" w:eastAsia="zh-CN"/>
        </w:rPr>
        <w:t xml:space="preserve">                  </w:t>
      </w:r>
      <w:r>
        <w:rPr>
          <w:rFonts w:hint="eastAsia" w:ascii="华文仿宋" w:hAnsi="华文仿宋" w:eastAsia="华文仿宋" w:cs="华文仿宋"/>
          <w:color w:val="auto"/>
          <w:sz w:val="28"/>
          <w:szCs w:val="28"/>
          <w:highlight w:val="none"/>
        </w:rPr>
        <w:t>（单位电子签章）</w:t>
      </w:r>
    </w:p>
    <w:p w14:paraId="69060C82">
      <w:pPr>
        <w:pageBreakBefore w:val="0"/>
        <w:kinsoku/>
        <w:wordWrap w:val="0"/>
        <w:overflowPunct/>
        <w:topLinePunct/>
        <w:bidi w:val="0"/>
        <w:spacing w:line="360" w:lineRule="auto"/>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法定代表人：</w:t>
      </w:r>
      <w:r>
        <w:rPr>
          <w:rFonts w:hint="eastAsia" w:ascii="华文仿宋" w:hAnsi="华文仿宋" w:eastAsia="华文仿宋" w:cs="华文仿宋"/>
          <w:color w:val="auto"/>
          <w:sz w:val="28"/>
          <w:szCs w:val="28"/>
          <w:highlight w:val="none"/>
          <w:u w:val="single"/>
          <w:lang w:val="en-US" w:eastAsia="zh-CN"/>
        </w:rPr>
        <w:t xml:space="preserve">                  </w:t>
      </w:r>
      <w:r>
        <w:rPr>
          <w:rFonts w:hint="eastAsia" w:ascii="华文仿宋" w:hAnsi="华文仿宋" w:eastAsia="华文仿宋" w:cs="华文仿宋"/>
          <w:color w:val="auto"/>
          <w:sz w:val="28"/>
          <w:szCs w:val="28"/>
          <w:highlight w:val="none"/>
        </w:rPr>
        <w:t>（电子签名</w:t>
      </w:r>
      <w:r>
        <w:rPr>
          <w:rFonts w:hint="eastAsia" w:ascii="华文仿宋" w:hAnsi="华文仿宋" w:eastAsia="华文仿宋" w:cs="华文仿宋"/>
          <w:color w:val="auto"/>
          <w:sz w:val="28"/>
          <w:szCs w:val="28"/>
          <w:highlight w:val="none"/>
          <w:lang w:val="en-US" w:eastAsia="zh-CN"/>
        </w:rPr>
        <w:t>或盖章</w:t>
      </w:r>
      <w:r>
        <w:rPr>
          <w:rFonts w:hint="eastAsia" w:ascii="华文仿宋" w:hAnsi="华文仿宋" w:eastAsia="华文仿宋" w:cs="华文仿宋"/>
          <w:color w:val="auto"/>
          <w:sz w:val="28"/>
          <w:szCs w:val="28"/>
          <w:highlight w:val="none"/>
        </w:rPr>
        <w:t>）</w:t>
      </w:r>
    </w:p>
    <w:p w14:paraId="31C3E06C">
      <w:pPr>
        <w:pageBreakBefore w:val="0"/>
        <w:kinsoku/>
        <w:wordWrap w:val="0"/>
        <w:overflowPunct/>
        <w:topLinePunct/>
        <w:bidi w:val="0"/>
        <w:spacing w:line="360" w:lineRule="auto"/>
        <w:jc w:val="center"/>
        <w:rPr>
          <w:rFonts w:hint="eastAsia" w:ascii="华文仿宋" w:hAnsi="华文仿宋" w:eastAsia="华文仿宋" w:cs="华文仿宋"/>
          <w:color w:val="auto"/>
          <w:sz w:val="28"/>
          <w:szCs w:val="28"/>
          <w:highlight w:val="none"/>
          <w:u w:val="none"/>
        </w:rPr>
      </w:pPr>
      <w:r>
        <w:rPr>
          <w:rFonts w:hint="eastAsia" w:ascii="华文仿宋" w:hAnsi="华文仿宋" w:eastAsia="华文仿宋" w:cs="华文仿宋"/>
          <w:color w:val="auto"/>
          <w:sz w:val="28"/>
          <w:szCs w:val="28"/>
          <w:highlight w:val="none"/>
          <w:u w:val="none"/>
        </w:rPr>
        <w:t>年</w:t>
      </w:r>
      <w:r>
        <w:rPr>
          <w:rFonts w:hint="eastAsia" w:ascii="华文仿宋" w:hAnsi="华文仿宋" w:eastAsia="华文仿宋" w:cs="华文仿宋"/>
          <w:color w:val="auto"/>
          <w:sz w:val="28"/>
          <w:szCs w:val="28"/>
          <w:highlight w:val="none"/>
          <w:u w:val="none"/>
          <w:lang w:val="en-US" w:eastAsia="zh-CN"/>
        </w:rPr>
        <w:t xml:space="preserve">    </w:t>
      </w:r>
      <w:r>
        <w:rPr>
          <w:rFonts w:hint="eastAsia" w:ascii="华文仿宋" w:hAnsi="华文仿宋" w:eastAsia="华文仿宋" w:cs="华文仿宋"/>
          <w:color w:val="auto"/>
          <w:sz w:val="28"/>
          <w:szCs w:val="28"/>
          <w:highlight w:val="none"/>
          <w:u w:val="none"/>
        </w:rPr>
        <w:t xml:space="preserve">月 </w:t>
      </w:r>
      <w:r>
        <w:rPr>
          <w:rFonts w:hint="eastAsia" w:ascii="华文仿宋" w:hAnsi="华文仿宋" w:eastAsia="华文仿宋" w:cs="华文仿宋"/>
          <w:color w:val="auto"/>
          <w:sz w:val="28"/>
          <w:szCs w:val="28"/>
          <w:highlight w:val="none"/>
          <w:u w:val="none"/>
          <w:lang w:val="en-US" w:eastAsia="zh-CN"/>
        </w:rPr>
        <w:t xml:space="preserve">   </w:t>
      </w:r>
      <w:r>
        <w:rPr>
          <w:rFonts w:hint="eastAsia" w:ascii="华文仿宋" w:hAnsi="华文仿宋" w:eastAsia="华文仿宋" w:cs="华文仿宋"/>
          <w:color w:val="auto"/>
          <w:sz w:val="28"/>
          <w:szCs w:val="28"/>
          <w:highlight w:val="none"/>
          <w:u w:val="none"/>
        </w:rPr>
        <w:t>日</w:t>
      </w:r>
    </w:p>
    <w:p w14:paraId="363D4F59">
      <w:pPr>
        <w:pageBreakBefore w:val="0"/>
        <w:kinsoku/>
        <w:wordWrap w:val="0"/>
        <w:overflowPunct/>
        <w:topLinePunct/>
        <w:bidi w:val="0"/>
        <w:spacing w:line="360" w:lineRule="auto"/>
        <w:rPr>
          <w:rFonts w:hint="eastAsia" w:ascii="华文仿宋" w:hAnsi="华文仿宋" w:eastAsia="华文仿宋" w:cs="华文仿宋"/>
          <w:color w:val="auto"/>
          <w:sz w:val="24"/>
          <w:szCs w:val="24"/>
          <w:highlight w:val="none"/>
        </w:rPr>
      </w:pPr>
    </w:p>
    <w:p w14:paraId="4FDB239F">
      <w:pPr>
        <w:pageBreakBefore w:val="0"/>
        <w:kinsoku/>
        <w:wordWrap w:val="0"/>
        <w:overflowPunct/>
        <w:topLinePunct/>
        <w:bidi w:val="0"/>
        <w:spacing w:line="360" w:lineRule="auto"/>
        <w:rPr>
          <w:rFonts w:hint="eastAsia" w:ascii="华文仿宋" w:hAnsi="华文仿宋" w:eastAsia="华文仿宋" w:cs="华文仿宋"/>
          <w:color w:val="auto"/>
          <w:sz w:val="32"/>
          <w:szCs w:val="32"/>
          <w:highlight w:val="none"/>
        </w:rPr>
      </w:pPr>
    </w:p>
    <w:p w14:paraId="66D27D90">
      <w:pPr>
        <w:pageBreakBefore w:val="0"/>
        <w:kinsoku/>
        <w:wordWrap w:val="0"/>
        <w:overflowPunct/>
        <w:topLinePunct/>
        <w:bidi w:val="0"/>
        <w:spacing w:line="360" w:lineRule="auto"/>
        <w:jc w:val="center"/>
        <w:rPr>
          <w:rFonts w:hint="eastAsia" w:ascii="华文仿宋" w:hAnsi="华文仿宋" w:eastAsia="华文仿宋" w:cs="华文仿宋"/>
          <w:color w:val="auto"/>
          <w:sz w:val="32"/>
          <w:szCs w:val="32"/>
          <w:highlight w:val="none"/>
        </w:rPr>
      </w:pPr>
    </w:p>
    <w:p w14:paraId="61726FA3">
      <w:pPr>
        <w:pageBreakBefore w:val="0"/>
        <w:kinsoku/>
        <w:wordWrap w:val="0"/>
        <w:overflowPunct/>
        <w:topLinePunct/>
        <w:bidi w:val="0"/>
        <w:spacing w:line="360" w:lineRule="auto"/>
        <w:jc w:val="center"/>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目</w:t>
      </w:r>
      <w:r>
        <w:rPr>
          <w:rFonts w:hint="eastAsia" w:ascii="华文仿宋" w:hAnsi="华文仿宋" w:eastAsia="华文仿宋" w:cs="华文仿宋"/>
          <w:b/>
          <w:bCs/>
          <w:color w:val="auto"/>
          <w:sz w:val="32"/>
          <w:szCs w:val="32"/>
          <w:highlight w:val="none"/>
          <w:lang w:val="en-US" w:eastAsia="zh-CN"/>
        </w:rPr>
        <w:t xml:space="preserve">    </w:t>
      </w:r>
      <w:r>
        <w:rPr>
          <w:rFonts w:hint="eastAsia" w:ascii="华文仿宋" w:hAnsi="华文仿宋" w:eastAsia="华文仿宋" w:cs="华文仿宋"/>
          <w:b/>
          <w:bCs/>
          <w:color w:val="auto"/>
          <w:sz w:val="32"/>
          <w:szCs w:val="32"/>
          <w:highlight w:val="none"/>
        </w:rPr>
        <w:tab/>
      </w:r>
      <w:r>
        <w:rPr>
          <w:rFonts w:hint="eastAsia" w:ascii="华文仿宋" w:hAnsi="华文仿宋" w:eastAsia="华文仿宋" w:cs="华文仿宋"/>
          <w:b/>
          <w:bCs/>
          <w:color w:val="auto"/>
          <w:sz w:val="32"/>
          <w:szCs w:val="32"/>
          <w:highlight w:val="none"/>
        </w:rPr>
        <w:t>录</w:t>
      </w:r>
    </w:p>
    <w:p w14:paraId="27100F83">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rPr>
          <w:rFonts w:hint="eastAsia" w:ascii="华文仿宋" w:hAnsi="华文仿宋" w:eastAsia="华文仿宋" w:cs="华文仿宋"/>
          <w:color w:val="auto"/>
          <w:sz w:val="28"/>
          <w:szCs w:val="28"/>
          <w:highlight w:val="none"/>
        </w:rPr>
      </w:pPr>
    </w:p>
    <w:p w14:paraId="700D5FD8">
      <w:pPr>
        <w:keepNext w:val="0"/>
        <w:keepLines w:val="0"/>
        <w:pageBreakBefore w:val="0"/>
        <w:widowControl w:val="0"/>
        <w:kinsoku/>
        <w:wordWrap w:val="0"/>
        <w:overflowPunct/>
        <w:topLinePunct/>
        <w:autoSpaceDE/>
        <w:autoSpaceDN/>
        <w:bidi w:val="0"/>
        <w:adjustRightInd/>
        <w:snapToGrid/>
        <w:spacing w:line="480" w:lineRule="auto"/>
        <w:ind w:firstLine="632" w:firstLineChars="300"/>
        <w:textAlignment w:val="auto"/>
        <w:outlineLvl w:val="1"/>
        <w:rPr>
          <w:rFonts w:hint="eastAsia" w:ascii="华文仿宋" w:hAnsi="华文仿宋" w:eastAsia="华文仿宋" w:cs="华文仿宋"/>
          <w:b/>
          <w:bCs/>
          <w:color w:val="auto"/>
          <w:kern w:val="28"/>
          <w:sz w:val="21"/>
          <w:szCs w:val="32"/>
          <w:highlight w:val="none"/>
          <w:lang w:val="en-US" w:eastAsia="zh-CN" w:bidi="ar-SA"/>
        </w:rPr>
      </w:pPr>
      <w:r>
        <w:rPr>
          <w:rFonts w:hint="eastAsia" w:ascii="华文仿宋" w:hAnsi="华文仿宋" w:eastAsia="华文仿宋" w:cs="华文仿宋"/>
          <w:b/>
          <w:bCs/>
          <w:color w:val="auto"/>
          <w:kern w:val="28"/>
          <w:sz w:val="21"/>
          <w:szCs w:val="32"/>
          <w:highlight w:val="none"/>
          <w:lang w:val="en-US" w:eastAsia="zh-CN" w:bidi="ar-SA"/>
        </w:rPr>
        <w:t>一、磋商函及磋商函附录</w:t>
      </w:r>
    </w:p>
    <w:p w14:paraId="0906EE99">
      <w:pPr>
        <w:keepNext w:val="0"/>
        <w:keepLines w:val="0"/>
        <w:pageBreakBefore w:val="0"/>
        <w:widowControl w:val="0"/>
        <w:kinsoku/>
        <w:wordWrap w:val="0"/>
        <w:overflowPunct/>
        <w:topLinePunct/>
        <w:autoSpaceDE/>
        <w:autoSpaceDN/>
        <w:bidi w:val="0"/>
        <w:adjustRightInd/>
        <w:snapToGrid/>
        <w:spacing w:line="480" w:lineRule="auto"/>
        <w:ind w:firstLine="632" w:firstLineChars="300"/>
        <w:textAlignment w:val="auto"/>
        <w:outlineLvl w:val="1"/>
        <w:rPr>
          <w:rFonts w:hint="eastAsia" w:ascii="华文仿宋" w:hAnsi="华文仿宋" w:eastAsia="华文仿宋" w:cs="华文仿宋"/>
          <w:b/>
          <w:bCs/>
          <w:color w:val="auto"/>
          <w:kern w:val="28"/>
          <w:sz w:val="21"/>
          <w:szCs w:val="32"/>
          <w:highlight w:val="none"/>
          <w:lang w:val="en-US" w:eastAsia="zh-CN" w:bidi="ar-SA"/>
        </w:rPr>
      </w:pPr>
      <w:r>
        <w:rPr>
          <w:rFonts w:hint="eastAsia" w:ascii="华文仿宋" w:hAnsi="华文仿宋" w:eastAsia="华文仿宋" w:cs="华文仿宋"/>
          <w:b/>
          <w:bCs/>
          <w:color w:val="auto"/>
          <w:kern w:val="28"/>
          <w:sz w:val="21"/>
          <w:szCs w:val="32"/>
          <w:highlight w:val="none"/>
          <w:lang w:val="en-US" w:eastAsia="zh-CN" w:bidi="ar-SA"/>
        </w:rPr>
        <w:t>二、法定代表人身份证明和法定代表人授权委托书</w:t>
      </w:r>
    </w:p>
    <w:p w14:paraId="755EBE53">
      <w:pPr>
        <w:keepNext w:val="0"/>
        <w:keepLines w:val="0"/>
        <w:pageBreakBefore w:val="0"/>
        <w:widowControl w:val="0"/>
        <w:kinsoku/>
        <w:wordWrap w:val="0"/>
        <w:overflowPunct/>
        <w:topLinePunct/>
        <w:autoSpaceDE/>
        <w:autoSpaceDN/>
        <w:bidi w:val="0"/>
        <w:adjustRightInd/>
        <w:snapToGrid/>
        <w:spacing w:line="480" w:lineRule="auto"/>
        <w:ind w:firstLine="632" w:firstLineChars="300"/>
        <w:textAlignment w:val="auto"/>
        <w:outlineLvl w:val="1"/>
        <w:rPr>
          <w:rFonts w:hint="eastAsia" w:ascii="华文仿宋" w:hAnsi="华文仿宋" w:eastAsia="华文仿宋" w:cs="华文仿宋"/>
          <w:b/>
          <w:bCs/>
          <w:color w:val="auto"/>
          <w:kern w:val="28"/>
          <w:sz w:val="21"/>
          <w:szCs w:val="32"/>
          <w:highlight w:val="none"/>
          <w:lang w:val="en-US" w:eastAsia="zh-CN" w:bidi="ar-SA"/>
        </w:rPr>
      </w:pPr>
      <w:r>
        <w:rPr>
          <w:rFonts w:hint="eastAsia" w:ascii="华文仿宋" w:hAnsi="华文仿宋" w:eastAsia="华文仿宋" w:cs="华文仿宋"/>
          <w:b/>
          <w:bCs/>
          <w:color w:val="auto"/>
          <w:kern w:val="28"/>
          <w:sz w:val="21"/>
          <w:szCs w:val="32"/>
          <w:highlight w:val="none"/>
          <w:lang w:val="en-US" w:eastAsia="zh-CN" w:bidi="ar-SA"/>
        </w:rPr>
        <w:t>三、采购服务内容及要求偏离表</w:t>
      </w:r>
    </w:p>
    <w:p w14:paraId="5B3C7435">
      <w:pPr>
        <w:keepNext w:val="0"/>
        <w:keepLines w:val="0"/>
        <w:pageBreakBefore w:val="0"/>
        <w:widowControl w:val="0"/>
        <w:kinsoku/>
        <w:wordWrap w:val="0"/>
        <w:overflowPunct/>
        <w:topLinePunct/>
        <w:autoSpaceDE/>
        <w:autoSpaceDN/>
        <w:bidi w:val="0"/>
        <w:adjustRightInd/>
        <w:snapToGrid/>
        <w:spacing w:line="480" w:lineRule="auto"/>
        <w:ind w:firstLine="632" w:firstLineChars="300"/>
        <w:textAlignment w:val="auto"/>
        <w:outlineLvl w:val="1"/>
        <w:rPr>
          <w:rFonts w:hint="eastAsia" w:ascii="华文仿宋" w:hAnsi="华文仿宋" w:eastAsia="华文仿宋" w:cs="华文仿宋"/>
          <w:b/>
          <w:bCs/>
          <w:color w:val="auto"/>
          <w:kern w:val="28"/>
          <w:sz w:val="21"/>
          <w:szCs w:val="32"/>
          <w:highlight w:val="none"/>
          <w:lang w:val="en-US" w:eastAsia="zh-CN" w:bidi="ar-SA"/>
        </w:rPr>
      </w:pPr>
      <w:r>
        <w:rPr>
          <w:rFonts w:hint="eastAsia" w:ascii="华文仿宋" w:hAnsi="华文仿宋" w:eastAsia="华文仿宋" w:cs="华文仿宋"/>
          <w:b/>
          <w:bCs/>
          <w:color w:val="auto"/>
          <w:kern w:val="28"/>
          <w:sz w:val="21"/>
          <w:szCs w:val="32"/>
          <w:highlight w:val="none"/>
          <w:lang w:val="en-US" w:eastAsia="zh-CN" w:bidi="ar-SA"/>
        </w:rPr>
        <w:fldChar w:fldCharType="begin"/>
      </w:r>
      <w:r>
        <w:rPr>
          <w:rFonts w:hint="eastAsia" w:ascii="华文仿宋" w:hAnsi="华文仿宋" w:eastAsia="华文仿宋" w:cs="华文仿宋"/>
          <w:b/>
          <w:bCs/>
          <w:color w:val="auto"/>
          <w:kern w:val="28"/>
          <w:sz w:val="21"/>
          <w:szCs w:val="32"/>
          <w:highlight w:val="none"/>
          <w:lang w:val="en-US" w:eastAsia="zh-CN" w:bidi="ar-SA"/>
        </w:rPr>
        <w:instrText xml:space="preserve"> HYPERLINK \l "_Toc19229_WPSOffice_Level1" </w:instrText>
      </w:r>
      <w:r>
        <w:rPr>
          <w:rFonts w:hint="eastAsia" w:ascii="华文仿宋" w:hAnsi="华文仿宋" w:eastAsia="华文仿宋" w:cs="华文仿宋"/>
          <w:b/>
          <w:bCs/>
          <w:color w:val="auto"/>
          <w:kern w:val="28"/>
          <w:sz w:val="21"/>
          <w:szCs w:val="32"/>
          <w:highlight w:val="none"/>
          <w:lang w:val="en-US" w:eastAsia="zh-CN" w:bidi="ar-SA"/>
        </w:rPr>
        <w:fldChar w:fldCharType="separate"/>
      </w:r>
      <w:r>
        <w:rPr>
          <w:rFonts w:hint="eastAsia" w:ascii="华文仿宋" w:hAnsi="华文仿宋" w:eastAsia="华文仿宋" w:cs="华文仿宋"/>
          <w:b/>
          <w:bCs/>
          <w:color w:val="auto"/>
          <w:kern w:val="28"/>
          <w:sz w:val="21"/>
          <w:szCs w:val="32"/>
          <w:highlight w:val="none"/>
          <w:lang w:val="en-US" w:eastAsia="zh-CN" w:bidi="ar-SA"/>
        </w:rPr>
        <w:t>四、服务</w:t>
      </w:r>
      <w:r>
        <w:rPr>
          <w:rFonts w:hint="eastAsia" w:ascii="华文仿宋" w:hAnsi="华文仿宋" w:eastAsia="华文仿宋" w:cs="华文仿宋"/>
          <w:b/>
          <w:bCs/>
          <w:color w:val="auto"/>
          <w:kern w:val="28"/>
          <w:sz w:val="21"/>
          <w:szCs w:val="32"/>
          <w:highlight w:val="none"/>
          <w:lang w:val="en-US" w:eastAsia="zh-CN" w:bidi="ar-SA"/>
        </w:rPr>
        <w:fldChar w:fldCharType="end"/>
      </w:r>
      <w:r>
        <w:rPr>
          <w:rFonts w:hint="eastAsia" w:ascii="华文仿宋" w:hAnsi="华文仿宋" w:eastAsia="华文仿宋" w:cs="华文仿宋"/>
          <w:b/>
          <w:bCs/>
          <w:color w:val="auto"/>
          <w:kern w:val="28"/>
          <w:sz w:val="21"/>
          <w:szCs w:val="32"/>
          <w:highlight w:val="none"/>
          <w:lang w:val="en-US" w:eastAsia="zh-CN" w:bidi="ar-SA"/>
        </w:rPr>
        <w:t>方案</w:t>
      </w:r>
    </w:p>
    <w:p w14:paraId="7942C4B1">
      <w:pPr>
        <w:keepNext w:val="0"/>
        <w:keepLines w:val="0"/>
        <w:pageBreakBefore w:val="0"/>
        <w:widowControl w:val="0"/>
        <w:kinsoku/>
        <w:wordWrap w:val="0"/>
        <w:overflowPunct/>
        <w:topLinePunct/>
        <w:autoSpaceDE/>
        <w:autoSpaceDN/>
        <w:bidi w:val="0"/>
        <w:adjustRightInd/>
        <w:snapToGrid/>
        <w:spacing w:line="480" w:lineRule="auto"/>
        <w:ind w:firstLine="632" w:firstLineChars="300"/>
        <w:textAlignment w:val="auto"/>
        <w:outlineLvl w:val="1"/>
        <w:rPr>
          <w:rFonts w:hint="eastAsia" w:ascii="华文仿宋" w:hAnsi="华文仿宋" w:eastAsia="华文仿宋" w:cs="华文仿宋"/>
          <w:b/>
          <w:bCs/>
          <w:color w:val="auto"/>
          <w:kern w:val="28"/>
          <w:sz w:val="21"/>
          <w:szCs w:val="32"/>
          <w:highlight w:val="none"/>
          <w:lang w:val="en-US" w:eastAsia="zh-CN" w:bidi="ar-SA"/>
        </w:rPr>
      </w:pPr>
      <w:r>
        <w:rPr>
          <w:rFonts w:hint="eastAsia" w:ascii="华文仿宋" w:hAnsi="华文仿宋" w:eastAsia="华文仿宋" w:cs="华文仿宋"/>
          <w:b/>
          <w:bCs/>
          <w:color w:val="auto"/>
          <w:kern w:val="28"/>
          <w:sz w:val="21"/>
          <w:szCs w:val="32"/>
          <w:highlight w:val="none"/>
          <w:lang w:val="en-US" w:eastAsia="zh-CN" w:bidi="ar-SA"/>
        </w:rPr>
        <w:fldChar w:fldCharType="begin"/>
      </w:r>
      <w:r>
        <w:rPr>
          <w:rFonts w:hint="eastAsia" w:ascii="华文仿宋" w:hAnsi="华文仿宋" w:eastAsia="华文仿宋" w:cs="华文仿宋"/>
          <w:b/>
          <w:bCs/>
          <w:color w:val="auto"/>
          <w:kern w:val="28"/>
          <w:sz w:val="21"/>
          <w:szCs w:val="32"/>
          <w:highlight w:val="none"/>
          <w:lang w:val="en-US" w:eastAsia="zh-CN" w:bidi="ar-SA"/>
        </w:rPr>
        <w:instrText xml:space="preserve"> HYPERLINK \l "_Toc17602_WPSOffice_Level1" </w:instrText>
      </w:r>
      <w:r>
        <w:rPr>
          <w:rFonts w:hint="eastAsia" w:ascii="华文仿宋" w:hAnsi="华文仿宋" w:eastAsia="华文仿宋" w:cs="华文仿宋"/>
          <w:b/>
          <w:bCs/>
          <w:color w:val="auto"/>
          <w:kern w:val="28"/>
          <w:sz w:val="21"/>
          <w:szCs w:val="32"/>
          <w:highlight w:val="none"/>
          <w:lang w:val="en-US" w:eastAsia="zh-CN" w:bidi="ar-SA"/>
        </w:rPr>
        <w:fldChar w:fldCharType="separate"/>
      </w:r>
      <w:r>
        <w:rPr>
          <w:rFonts w:hint="eastAsia" w:ascii="华文仿宋" w:hAnsi="华文仿宋" w:eastAsia="华文仿宋" w:cs="华文仿宋"/>
          <w:b/>
          <w:bCs/>
          <w:color w:val="auto"/>
          <w:kern w:val="28"/>
          <w:sz w:val="21"/>
          <w:szCs w:val="32"/>
          <w:highlight w:val="none"/>
          <w:lang w:val="en-US" w:eastAsia="zh-CN" w:bidi="ar-SA"/>
        </w:rPr>
        <w:t>五、</w:t>
      </w:r>
      <w:r>
        <w:rPr>
          <w:rFonts w:hint="eastAsia" w:ascii="华文仿宋" w:hAnsi="华文仿宋" w:eastAsia="华文仿宋" w:cs="华文仿宋"/>
          <w:b/>
          <w:bCs/>
          <w:color w:val="auto"/>
          <w:kern w:val="28"/>
          <w:sz w:val="21"/>
          <w:szCs w:val="32"/>
          <w:highlight w:val="none"/>
          <w:lang w:val="en-US" w:eastAsia="zh-CN" w:bidi="ar-SA"/>
        </w:rPr>
        <w:fldChar w:fldCharType="end"/>
      </w:r>
      <w:r>
        <w:rPr>
          <w:rFonts w:hint="eastAsia" w:ascii="华文仿宋" w:hAnsi="华文仿宋" w:eastAsia="华文仿宋" w:cs="华文仿宋"/>
          <w:b/>
          <w:bCs/>
          <w:color w:val="auto"/>
          <w:kern w:val="28"/>
          <w:sz w:val="21"/>
          <w:szCs w:val="32"/>
          <w:highlight w:val="none"/>
          <w:lang w:val="en-US" w:eastAsia="zh-CN" w:bidi="ar-SA"/>
        </w:rPr>
        <w:t>类似项目业绩</w:t>
      </w:r>
    </w:p>
    <w:p w14:paraId="6115B140">
      <w:pPr>
        <w:keepNext w:val="0"/>
        <w:keepLines w:val="0"/>
        <w:pageBreakBefore w:val="0"/>
        <w:widowControl w:val="0"/>
        <w:kinsoku/>
        <w:wordWrap w:val="0"/>
        <w:overflowPunct/>
        <w:topLinePunct/>
        <w:autoSpaceDE/>
        <w:autoSpaceDN/>
        <w:bidi w:val="0"/>
        <w:adjustRightInd/>
        <w:snapToGrid/>
        <w:spacing w:line="480" w:lineRule="auto"/>
        <w:ind w:firstLine="632" w:firstLineChars="300"/>
        <w:textAlignment w:val="auto"/>
        <w:outlineLvl w:val="1"/>
        <w:rPr>
          <w:rFonts w:hint="eastAsia" w:ascii="华文仿宋" w:hAnsi="华文仿宋" w:eastAsia="华文仿宋" w:cs="华文仿宋"/>
          <w:b/>
          <w:bCs/>
          <w:color w:val="auto"/>
          <w:kern w:val="28"/>
          <w:sz w:val="21"/>
          <w:szCs w:val="32"/>
          <w:highlight w:val="none"/>
          <w:lang w:val="en-US" w:eastAsia="zh-CN" w:bidi="ar-SA"/>
        </w:rPr>
      </w:pPr>
      <w:r>
        <w:rPr>
          <w:rFonts w:hint="eastAsia" w:ascii="华文仿宋" w:hAnsi="华文仿宋" w:eastAsia="华文仿宋" w:cs="华文仿宋"/>
          <w:b/>
          <w:bCs/>
          <w:color w:val="auto"/>
          <w:kern w:val="28"/>
          <w:sz w:val="21"/>
          <w:szCs w:val="32"/>
          <w:highlight w:val="none"/>
          <w:lang w:val="en-US" w:eastAsia="zh-CN" w:bidi="ar-SA"/>
        </w:rPr>
        <w:t>六、拟投机械设备一览表</w:t>
      </w:r>
    </w:p>
    <w:p w14:paraId="0F9F18F1">
      <w:pPr>
        <w:keepNext w:val="0"/>
        <w:keepLines w:val="0"/>
        <w:pageBreakBefore w:val="0"/>
        <w:widowControl w:val="0"/>
        <w:kinsoku/>
        <w:wordWrap w:val="0"/>
        <w:overflowPunct/>
        <w:topLinePunct/>
        <w:autoSpaceDE/>
        <w:autoSpaceDN/>
        <w:bidi w:val="0"/>
        <w:adjustRightInd/>
        <w:snapToGrid/>
        <w:spacing w:line="480" w:lineRule="auto"/>
        <w:ind w:firstLine="632" w:firstLineChars="300"/>
        <w:textAlignment w:val="auto"/>
        <w:outlineLvl w:val="1"/>
        <w:rPr>
          <w:rFonts w:hint="eastAsia" w:ascii="华文仿宋" w:hAnsi="华文仿宋" w:eastAsia="华文仿宋" w:cs="华文仿宋"/>
          <w:b/>
          <w:bCs/>
          <w:color w:val="auto"/>
          <w:kern w:val="28"/>
          <w:sz w:val="21"/>
          <w:szCs w:val="32"/>
          <w:highlight w:val="none"/>
          <w:lang w:val="en-US" w:eastAsia="zh-CN" w:bidi="ar-SA"/>
        </w:rPr>
      </w:pPr>
      <w:r>
        <w:rPr>
          <w:rFonts w:hint="eastAsia" w:ascii="华文仿宋" w:hAnsi="华文仿宋" w:eastAsia="华文仿宋" w:cs="华文仿宋"/>
          <w:b/>
          <w:bCs/>
          <w:color w:val="auto"/>
          <w:kern w:val="28"/>
          <w:sz w:val="21"/>
          <w:szCs w:val="32"/>
          <w:highlight w:val="none"/>
          <w:lang w:val="en-US" w:eastAsia="zh-CN" w:bidi="ar-SA"/>
        </w:rPr>
        <w:fldChar w:fldCharType="begin"/>
      </w:r>
      <w:r>
        <w:rPr>
          <w:rFonts w:hint="eastAsia" w:ascii="华文仿宋" w:hAnsi="华文仿宋" w:eastAsia="华文仿宋" w:cs="华文仿宋"/>
          <w:b/>
          <w:bCs/>
          <w:color w:val="auto"/>
          <w:kern w:val="28"/>
          <w:sz w:val="21"/>
          <w:szCs w:val="32"/>
          <w:highlight w:val="none"/>
          <w:lang w:val="en-US" w:eastAsia="zh-CN" w:bidi="ar-SA"/>
        </w:rPr>
        <w:instrText xml:space="preserve"> HYPERLINK \l "_Toc60_WPSOffice_Level1" </w:instrText>
      </w:r>
      <w:r>
        <w:rPr>
          <w:rFonts w:hint="eastAsia" w:ascii="华文仿宋" w:hAnsi="华文仿宋" w:eastAsia="华文仿宋" w:cs="华文仿宋"/>
          <w:b/>
          <w:bCs/>
          <w:color w:val="auto"/>
          <w:kern w:val="28"/>
          <w:sz w:val="21"/>
          <w:szCs w:val="32"/>
          <w:highlight w:val="none"/>
          <w:lang w:val="en-US" w:eastAsia="zh-CN" w:bidi="ar-SA"/>
        </w:rPr>
        <w:fldChar w:fldCharType="separate"/>
      </w:r>
      <w:r>
        <w:rPr>
          <w:rFonts w:hint="eastAsia" w:ascii="华文仿宋" w:hAnsi="华文仿宋" w:eastAsia="华文仿宋" w:cs="华文仿宋"/>
          <w:b/>
          <w:bCs/>
          <w:color w:val="auto"/>
          <w:kern w:val="28"/>
          <w:sz w:val="21"/>
          <w:szCs w:val="32"/>
          <w:highlight w:val="none"/>
          <w:lang w:val="en-US" w:eastAsia="zh-CN" w:bidi="ar-SA"/>
        </w:rPr>
        <w:t>七、</w:t>
      </w:r>
      <w:r>
        <w:rPr>
          <w:rFonts w:hint="eastAsia" w:ascii="华文仿宋" w:hAnsi="华文仿宋" w:eastAsia="华文仿宋" w:cs="华文仿宋"/>
          <w:b/>
          <w:bCs/>
          <w:color w:val="auto"/>
          <w:kern w:val="28"/>
          <w:sz w:val="21"/>
          <w:szCs w:val="32"/>
          <w:highlight w:val="none"/>
          <w:lang w:val="en-US" w:eastAsia="zh-CN" w:bidi="ar-SA"/>
        </w:rPr>
        <w:fldChar w:fldCharType="end"/>
      </w:r>
      <w:r>
        <w:rPr>
          <w:rFonts w:hint="eastAsia" w:ascii="华文仿宋" w:hAnsi="华文仿宋" w:eastAsia="华文仿宋" w:cs="华文仿宋"/>
          <w:b/>
          <w:bCs/>
          <w:color w:val="auto"/>
          <w:kern w:val="28"/>
          <w:sz w:val="21"/>
          <w:szCs w:val="32"/>
          <w:highlight w:val="none"/>
          <w:lang w:val="en-US" w:eastAsia="zh-CN" w:bidi="ar-SA"/>
        </w:rPr>
        <w:t>资格证明文件</w:t>
      </w:r>
    </w:p>
    <w:p w14:paraId="42BDECEB">
      <w:pPr>
        <w:keepNext w:val="0"/>
        <w:keepLines w:val="0"/>
        <w:pageBreakBefore w:val="0"/>
        <w:widowControl w:val="0"/>
        <w:kinsoku/>
        <w:wordWrap w:val="0"/>
        <w:overflowPunct/>
        <w:topLinePunct/>
        <w:autoSpaceDE/>
        <w:autoSpaceDN/>
        <w:bidi w:val="0"/>
        <w:adjustRightInd/>
        <w:snapToGrid/>
        <w:spacing w:line="480" w:lineRule="auto"/>
        <w:ind w:firstLine="632" w:firstLineChars="300"/>
        <w:textAlignment w:val="auto"/>
        <w:outlineLvl w:val="1"/>
        <w:rPr>
          <w:rFonts w:hint="eastAsia" w:ascii="华文仿宋" w:hAnsi="华文仿宋" w:eastAsia="华文仿宋" w:cs="华文仿宋"/>
          <w:b/>
          <w:bCs/>
          <w:color w:val="auto"/>
          <w:kern w:val="28"/>
          <w:sz w:val="21"/>
          <w:szCs w:val="32"/>
          <w:highlight w:val="none"/>
          <w:lang w:val="en-US" w:eastAsia="zh-CN" w:bidi="ar-SA"/>
        </w:rPr>
      </w:pPr>
      <w:r>
        <w:rPr>
          <w:rFonts w:hint="eastAsia" w:ascii="华文仿宋" w:hAnsi="华文仿宋" w:eastAsia="华文仿宋" w:cs="华文仿宋"/>
          <w:b/>
          <w:bCs/>
          <w:color w:val="auto"/>
          <w:kern w:val="28"/>
          <w:sz w:val="21"/>
          <w:szCs w:val="32"/>
          <w:highlight w:val="none"/>
          <w:lang w:val="en-US" w:eastAsia="zh-CN" w:bidi="ar-SA"/>
        </w:rPr>
        <w:t>八、中小企业声明函</w:t>
      </w:r>
    </w:p>
    <w:p w14:paraId="217AF961">
      <w:pPr>
        <w:keepNext w:val="0"/>
        <w:keepLines w:val="0"/>
        <w:pageBreakBefore w:val="0"/>
        <w:widowControl w:val="0"/>
        <w:kinsoku/>
        <w:wordWrap w:val="0"/>
        <w:overflowPunct/>
        <w:topLinePunct/>
        <w:autoSpaceDE/>
        <w:autoSpaceDN/>
        <w:bidi w:val="0"/>
        <w:adjustRightInd/>
        <w:snapToGrid/>
        <w:spacing w:line="480" w:lineRule="auto"/>
        <w:ind w:firstLine="632" w:firstLineChars="300"/>
        <w:textAlignment w:val="auto"/>
        <w:outlineLvl w:val="1"/>
        <w:rPr>
          <w:rFonts w:hint="eastAsia" w:ascii="华文仿宋" w:hAnsi="华文仿宋" w:eastAsia="华文仿宋" w:cs="华文仿宋"/>
          <w:b/>
          <w:bCs/>
          <w:color w:val="auto"/>
          <w:kern w:val="28"/>
          <w:sz w:val="21"/>
          <w:szCs w:val="32"/>
          <w:highlight w:val="none"/>
          <w:lang w:val="en-US" w:eastAsia="zh-CN" w:bidi="ar-SA"/>
        </w:rPr>
      </w:pPr>
      <w:r>
        <w:rPr>
          <w:rFonts w:hint="eastAsia" w:ascii="华文仿宋" w:hAnsi="华文仿宋" w:eastAsia="华文仿宋" w:cs="华文仿宋"/>
          <w:b/>
          <w:bCs/>
          <w:color w:val="auto"/>
          <w:kern w:val="28"/>
          <w:sz w:val="21"/>
          <w:szCs w:val="32"/>
          <w:highlight w:val="none"/>
          <w:lang w:val="en-US" w:eastAsia="zh-CN" w:bidi="ar-SA"/>
        </w:rPr>
        <w:t>九、残疾人福利性单位声明函</w:t>
      </w:r>
    </w:p>
    <w:p w14:paraId="560139E1">
      <w:pPr>
        <w:keepNext w:val="0"/>
        <w:keepLines w:val="0"/>
        <w:pageBreakBefore w:val="0"/>
        <w:widowControl w:val="0"/>
        <w:kinsoku/>
        <w:wordWrap w:val="0"/>
        <w:overflowPunct/>
        <w:topLinePunct/>
        <w:autoSpaceDE/>
        <w:autoSpaceDN/>
        <w:bidi w:val="0"/>
        <w:adjustRightInd/>
        <w:snapToGrid/>
        <w:spacing w:line="480" w:lineRule="auto"/>
        <w:ind w:firstLine="632" w:firstLineChars="300"/>
        <w:textAlignment w:val="auto"/>
        <w:outlineLvl w:val="1"/>
        <w:rPr>
          <w:rFonts w:hint="eastAsia" w:ascii="华文仿宋" w:hAnsi="华文仿宋" w:eastAsia="华文仿宋" w:cs="华文仿宋"/>
          <w:b/>
          <w:bCs/>
          <w:color w:val="auto"/>
          <w:kern w:val="28"/>
          <w:sz w:val="21"/>
          <w:szCs w:val="32"/>
          <w:highlight w:val="none"/>
          <w:lang w:val="en-US" w:eastAsia="zh-CN" w:bidi="ar-SA"/>
        </w:rPr>
      </w:pPr>
      <w:r>
        <w:rPr>
          <w:rFonts w:hint="eastAsia" w:ascii="华文仿宋" w:hAnsi="华文仿宋" w:eastAsia="华文仿宋" w:cs="华文仿宋"/>
          <w:b/>
          <w:bCs/>
          <w:color w:val="auto"/>
          <w:kern w:val="28"/>
          <w:sz w:val="21"/>
          <w:szCs w:val="32"/>
          <w:highlight w:val="none"/>
          <w:lang w:val="en-US" w:eastAsia="zh-CN" w:bidi="ar-SA"/>
        </w:rPr>
        <w:t>十、反商业贿赂承诺书</w:t>
      </w:r>
    </w:p>
    <w:p w14:paraId="7187C83D">
      <w:pPr>
        <w:keepNext w:val="0"/>
        <w:keepLines w:val="0"/>
        <w:pageBreakBefore w:val="0"/>
        <w:widowControl w:val="0"/>
        <w:kinsoku/>
        <w:wordWrap w:val="0"/>
        <w:overflowPunct/>
        <w:topLinePunct/>
        <w:autoSpaceDE/>
        <w:autoSpaceDN/>
        <w:bidi w:val="0"/>
        <w:adjustRightInd/>
        <w:snapToGrid/>
        <w:spacing w:line="480" w:lineRule="auto"/>
        <w:ind w:firstLine="632" w:firstLineChars="300"/>
        <w:textAlignment w:val="auto"/>
        <w:outlineLvl w:val="1"/>
        <w:rPr>
          <w:rFonts w:hint="eastAsia" w:ascii="华文仿宋" w:hAnsi="华文仿宋" w:eastAsia="华文仿宋" w:cs="华文仿宋"/>
          <w:b/>
          <w:bCs/>
          <w:color w:val="auto"/>
          <w:kern w:val="28"/>
          <w:sz w:val="21"/>
          <w:szCs w:val="32"/>
          <w:highlight w:val="none"/>
          <w:lang w:val="en-US" w:eastAsia="zh-CN" w:bidi="ar-SA"/>
        </w:rPr>
      </w:pPr>
      <w:r>
        <w:rPr>
          <w:rFonts w:hint="eastAsia" w:ascii="华文仿宋" w:hAnsi="华文仿宋" w:eastAsia="华文仿宋" w:cs="华文仿宋"/>
          <w:b/>
          <w:bCs/>
          <w:color w:val="auto"/>
          <w:kern w:val="28"/>
          <w:sz w:val="21"/>
          <w:szCs w:val="32"/>
          <w:highlight w:val="none"/>
          <w:lang w:val="en-US" w:eastAsia="zh-CN" w:bidi="ar-SA"/>
        </w:rPr>
        <w:t>十一、其他材料</w:t>
      </w:r>
    </w:p>
    <w:p w14:paraId="6FCBBAFE">
      <w:pPr>
        <w:keepNext w:val="0"/>
        <w:keepLines w:val="0"/>
        <w:pageBreakBefore w:val="0"/>
        <w:widowControl w:val="0"/>
        <w:kinsoku/>
        <w:wordWrap w:val="0"/>
        <w:overflowPunct/>
        <w:topLinePunct/>
        <w:autoSpaceDE/>
        <w:autoSpaceDN/>
        <w:bidi w:val="0"/>
        <w:adjustRightInd/>
        <w:snapToGrid/>
        <w:spacing w:line="600" w:lineRule="auto"/>
        <w:ind w:firstLine="480" w:firstLineChars="200"/>
        <w:textAlignment w:val="auto"/>
        <w:rPr>
          <w:rFonts w:hint="eastAsia" w:ascii="华文仿宋" w:hAnsi="华文仿宋" w:eastAsia="华文仿宋" w:cs="华文仿宋"/>
          <w:b w:val="0"/>
          <w:bCs w:val="0"/>
          <w:color w:val="auto"/>
          <w:sz w:val="24"/>
          <w:szCs w:val="24"/>
          <w:highlight w:val="none"/>
        </w:rPr>
      </w:pPr>
    </w:p>
    <w:p w14:paraId="0086F08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p>
    <w:p w14:paraId="0AB49615">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43D576E3">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04F2D61F">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rPr>
        <w:br w:type="page"/>
      </w:r>
    </w:p>
    <w:p w14:paraId="4C29F38D">
      <w:pPr>
        <w:keepNext w:val="0"/>
        <w:keepLines w:val="0"/>
        <w:pageBreakBefore w:val="0"/>
        <w:widowControl w:val="0"/>
        <w:kinsoku/>
        <w:wordWrap w:val="0"/>
        <w:overflowPunct/>
        <w:topLinePunct/>
        <w:bidi w:val="0"/>
        <w:snapToGrid/>
        <w:spacing w:line="360" w:lineRule="auto"/>
        <w:jc w:val="center"/>
        <w:textAlignment w:val="auto"/>
        <w:outlineLvl w:val="1"/>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32"/>
          <w:szCs w:val="32"/>
          <w:highlight w:val="none"/>
        </w:rPr>
        <w:t>一、</w:t>
      </w:r>
      <w:r>
        <w:rPr>
          <w:rFonts w:hint="eastAsia" w:ascii="华文仿宋" w:hAnsi="华文仿宋" w:eastAsia="华文仿宋" w:cs="华文仿宋"/>
          <w:b/>
          <w:bCs/>
          <w:color w:val="auto"/>
          <w:sz w:val="32"/>
          <w:szCs w:val="32"/>
          <w:highlight w:val="none"/>
          <w:lang w:eastAsia="zh-CN"/>
        </w:rPr>
        <w:t>磋商</w:t>
      </w:r>
      <w:r>
        <w:rPr>
          <w:rFonts w:hint="eastAsia" w:ascii="华文仿宋" w:hAnsi="华文仿宋" w:eastAsia="华文仿宋" w:cs="华文仿宋"/>
          <w:b/>
          <w:bCs/>
          <w:color w:val="auto"/>
          <w:sz w:val="32"/>
          <w:szCs w:val="32"/>
          <w:highlight w:val="none"/>
        </w:rPr>
        <w:t>函及</w:t>
      </w:r>
      <w:r>
        <w:rPr>
          <w:rFonts w:hint="eastAsia" w:ascii="华文仿宋" w:hAnsi="华文仿宋" w:eastAsia="华文仿宋" w:cs="华文仿宋"/>
          <w:b/>
          <w:bCs/>
          <w:color w:val="auto"/>
          <w:sz w:val="32"/>
          <w:szCs w:val="32"/>
          <w:highlight w:val="none"/>
          <w:lang w:eastAsia="zh-CN"/>
        </w:rPr>
        <w:t>磋商</w:t>
      </w:r>
      <w:r>
        <w:rPr>
          <w:rFonts w:hint="eastAsia" w:ascii="华文仿宋" w:hAnsi="华文仿宋" w:eastAsia="华文仿宋" w:cs="华文仿宋"/>
          <w:b/>
          <w:bCs/>
          <w:color w:val="auto"/>
          <w:sz w:val="32"/>
          <w:szCs w:val="32"/>
          <w:highlight w:val="none"/>
        </w:rPr>
        <w:t>函附录</w:t>
      </w:r>
    </w:p>
    <w:p w14:paraId="7F560A7C">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2"/>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rPr>
        <w:t xml:space="preserve">（一） </w:t>
      </w:r>
      <w:r>
        <w:rPr>
          <w:rFonts w:hint="eastAsia" w:ascii="华文仿宋" w:hAnsi="华文仿宋" w:eastAsia="华文仿宋" w:cs="华文仿宋"/>
          <w:b/>
          <w:bCs/>
          <w:color w:val="auto"/>
          <w:highlight w:val="none"/>
          <w:lang w:eastAsia="zh-CN"/>
        </w:rPr>
        <w:t>磋商</w:t>
      </w:r>
      <w:r>
        <w:rPr>
          <w:rFonts w:hint="eastAsia" w:ascii="华文仿宋" w:hAnsi="华文仿宋" w:eastAsia="华文仿宋" w:cs="华文仿宋"/>
          <w:b/>
          <w:bCs/>
          <w:color w:val="auto"/>
          <w:sz w:val="21"/>
          <w:szCs w:val="21"/>
          <w:highlight w:val="none"/>
        </w:rPr>
        <w:t>函</w:t>
      </w:r>
    </w:p>
    <w:p w14:paraId="7FCD400B">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致 ：（采购人）</w:t>
      </w:r>
    </w:p>
    <w:p w14:paraId="36DCCF3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1.根据已收到的</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（项目名称）的竞争性磋商文件，遵照《中华人民共和国政府采购法》等有关规定，经考察和认真研究本项目竞争性磋商文件及其它有关文件后，愿以人民币</w:t>
      </w:r>
      <w:r>
        <w:rPr>
          <w:rFonts w:hint="eastAsia" w:ascii="华文仿宋" w:hAnsi="华文仿宋" w:eastAsia="华文仿宋" w:cs="华文仿宋"/>
          <w:color w:val="auto"/>
          <w:sz w:val="21"/>
          <w:szCs w:val="21"/>
          <w:highlight w:val="none"/>
          <w:u w:val="single"/>
        </w:rPr>
        <w:t>（大写）</w:t>
      </w:r>
      <w:r>
        <w:rPr>
          <w:rFonts w:hint="eastAsia" w:ascii="华文仿宋" w:hAnsi="华文仿宋" w:eastAsia="华文仿宋" w:cs="华文仿宋"/>
          <w:color w:val="auto"/>
          <w:sz w:val="21"/>
          <w:szCs w:val="21"/>
          <w:highlight w:val="none"/>
          <w:u w:val="single"/>
        </w:rPr>
        <w:tab/>
      </w:r>
      <w:r>
        <w:rPr>
          <w:rFonts w:hint="eastAsia" w:ascii="华文仿宋" w:hAnsi="华文仿宋" w:eastAsia="华文仿宋" w:cs="华文仿宋"/>
          <w:color w:val="auto"/>
          <w:sz w:val="21"/>
          <w:szCs w:val="21"/>
          <w:highlight w:val="none"/>
          <w:u w:val="single"/>
        </w:rPr>
        <w:tab/>
      </w:r>
      <w:r>
        <w:rPr>
          <w:rFonts w:hint="eastAsia" w:ascii="华文仿宋" w:hAnsi="华文仿宋" w:eastAsia="华文仿宋" w:cs="华文仿宋"/>
          <w:color w:val="auto"/>
          <w:sz w:val="21"/>
          <w:szCs w:val="21"/>
          <w:highlight w:val="none"/>
          <w:u w:val="single"/>
        </w:rPr>
        <w:t>（￥   ）</w:t>
      </w:r>
      <w:r>
        <w:rPr>
          <w:rFonts w:hint="eastAsia" w:ascii="华文仿宋" w:hAnsi="华文仿宋" w:eastAsia="华文仿宋" w:cs="华文仿宋"/>
          <w:color w:val="auto"/>
          <w:sz w:val="21"/>
          <w:szCs w:val="21"/>
          <w:highlight w:val="none"/>
        </w:rPr>
        <w:t>的磋商总报价作为第一次磋商报价，按合同约定实施和完成本项目，并承担其任何质量缺陷等问题所造成的任何损失。</w:t>
      </w:r>
    </w:p>
    <w:p w14:paraId="5706FB6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2.我方已详细检查全部竞争性磋商文件包括澄清文件、补充通知（如有的话）及有关 附件，并完全理解我方必须放弃提出含糊不清或误解的权力，愿按照竞争性磋商文件中的条款和要求按最后一次的报价做为最后报价。</w:t>
      </w:r>
    </w:p>
    <w:p w14:paraId="2E9395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3.我方在此承诺，我方若能成交，保证在</w:t>
      </w:r>
      <w:r>
        <w:rPr>
          <w:rFonts w:hint="eastAsia" w:ascii="华文仿宋" w:hAnsi="华文仿宋" w:eastAsia="华文仿宋" w:cs="华文仿宋"/>
          <w:color w:val="auto"/>
          <w:sz w:val="21"/>
          <w:szCs w:val="21"/>
          <w:highlight w:val="none"/>
          <w:lang w:eastAsia="zh-CN"/>
        </w:rPr>
        <w:t>合同履行期限</w:t>
      </w:r>
      <w:r>
        <w:rPr>
          <w:rFonts w:hint="eastAsia" w:ascii="华文仿宋" w:hAnsi="华文仿宋" w:eastAsia="华文仿宋" w:cs="华文仿宋"/>
          <w:color w:val="auto"/>
          <w:sz w:val="21"/>
          <w:szCs w:val="21"/>
          <w:highlight w:val="none"/>
        </w:rPr>
        <w:t>内，全面履行竞争性磋商文件中规定的职责和义务。</w:t>
      </w:r>
    </w:p>
    <w:p w14:paraId="548A8AC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4.如果我方成交，我方保证按合同条款中规定的内容执行；我方保证质量达到国家及行业现行标准规范规定的合格要求，并按竞争性磋商文件和有关规定提交一切资料。</w:t>
      </w:r>
    </w:p>
    <w:p w14:paraId="1424849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5</w:t>
      </w:r>
      <w:r>
        <w:rPr>
          <w:rFonts w:hint="eastAsia" w:ascii="华文仿宋" w:hAnsi="华文仿宋" w:eastAsia="华文仿宋" w:cs="华文仿宋"/>
          <w:color w:val="auto"/>
          <w:sz w:val="21"/>
          <w:szCs w:val="21"/>
          <w:highlight w:val="none"/>
        </w:rPr>
        <w:t>.我方同意从响应文件递交截止日期起 60 日历天内保持响应文件有效，在此有效期内，我方将严格遵守响应文件的承诺，本响应文件对我方具有约束力，并可随时被接受成交。</w:t>
      </w:r>
    </w:p>
    <w:p w14:paraId="13E4B09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6</w:t>
      </w:r>
      <w:r>
        <w:rPr>
          <w:rFonts w:hint="eastAsia" w:ascii="华文仿宋" w:hAnsi="华文仿宋" w:eastAsia="华文仿宋" w:cs="华文仿宋"/>
          <w:color w:val="auto"/>
          <w:sz w:val="21"/>
          <w:szCs w:val="21"/>
          <w:highlight w:val="none"/>
        </w:rPr>
        <w:t>.除响应文件所提交的资料外，我方同意随时接受贵方的检查、询问，并根据磋商需要补充贵方要求提交的资料。</w:t>
      </w:r>
    </w:p>
    <w:p w14:paraId="2F49B5E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7</w:t>
      </w:r>
      <w:r>
        <w:rPr>
          <w:rFonts w:hint="eastAsia" w:ascii="华文仿宋" w:hAnsi="华文仿宋" w:eastAsia="华文仿宋" w:cs="华文仿宋"/>
          <w:color w:val="auto"/>
          <w:sz w:val="21"/>
          <w:szCs w:val="21"/>
          <w:highlight w:val="none"/>
        </w:rPr>
        <w:t>.如果我方成交后，我方没有任何正当理由而拒签合同，同时我方愿意补偿该项工作  因我方延误所造成的经济损失。</w:t>
      </w:r>
    </w:p>
    <w:p w14:paraId="01D3966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3"/>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8</w:t>
      </w:r>
      <w:r>
        <w:rPr>
          <w:rFonts w:hint="eastAsia" w:ascii="华文仿宋" w:hAnsi="华文仿宋" w:eastAsia="华文仿宋" w:cs="华文仿宋"/>
          <w:color w:val="auto"/>
          <w:sz w:val="21"/>
          <w:szCs w:val="21"/>
          <w:highlight w:val="none"/>
        </w:rPr>
        <w:t>.我方愿接受合同条款中规定的合同价款计算和调整方式。</w:t>
      </w:r>
    </w:p>
    <w:p w14:paraId="368742A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9</w:t>
      </w:r>
      <w:r>
        <w:rPr>
          <w:rFonts w:hint="eastAsia" w:ascii="华文仿宋" w:hAnsi="华文仿宋" w:eastAsia="华文仿宋" w:cs="华文仿宋"/>
          <w:color w:val="auto"/>
          <w:sz w:val="21"/>
          <w:szCs w:val="21"/>
          <w:highlight w:val="none"/>
        </w:rPr>
        <w:t>.除非另外达成协议并生效，贵方的成交通知书和本响应文件将成为约束我方的合同文件组成部分。</w:t>
      </w:r>
    </w:p>
    <w:p w14:paraId="5EDE205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供应商：</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（单位电子签章</w:t>
      </w:r>
      <w:r>
        <w:rPr>
          <w:rFonts w:hint="eastAsia" w:ascii="华文仿宋" w:hAnsi="华文仿宋" w:eastAsia="华文仿宋" w:cs="华文仿宋"/>
          <w:color w:val="auto"/>
          <w:sz w:val="21"/>
          <w:szCs w:val="21"/>
          <w:highlight w:val="none"/>
          <w:lang w:val="en-US" w:eastAsia="zh-CN"/>
        </w:rPr>
        <w:t>或盖章</w:t>
      </w:r>
      <w:r>
        <w:rPr>
          <w:rFonts w:hint="eastAsia" w:ascii="华文仿宋" w:hAnsi="华文仿宋" w:eastAsia="华文仿宋" w:cs="华文仿宋"/>
          <w:color w:val="auto"/>
          <w:sz w:val="21"/>
          <w:szCs w:val="21"/>
          <w:highlight w:val="none"/>
        </w:rPr>
        <w:t xml:space="preserve">） </w:t>
      </w:r>
    </w:p>
    <w:p w14:paraId="704B8AA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法定代表人：</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kern w:val="0"/>
          <w:szCs w:val="21"/>
          <w:lang w:val="en-US" w:eastAsia="zh-CN"/>
        </w:rPr>
        <w:t>签字或盖章或</w:t>
      </w:r>
      <w:r>
        <w:rPr>
          <w:rFonts w:hint="eastAsia" w:ascii="华文仿宋" w:hAnsi="华文仿宋" w:eastAsia="华文仿宋" w:cs="华文仿宋"/>
          <w:color w:val="auto"/>
          <w:kern w:val="0"/>
          <w:szCs w:val="21"/>
        </w:rPr>
        <w:t>电子签名</w:t>
      </w:r>
      <w:r>
        <w:rPr>
          <w:rFonts w:hint="eastAsia" w:ascii="华文仿宋" w:hAnsi="华文仿宋" w:eastAsia="华文仿宋" w:cs="华文仿宋"/>
          <w:color w:val="auto"/>
          <w:sz w:val="21"/>
          <w:szCs w:val="21"/>
          <w:highlight w:val="none"/>
        </w:rPr>
        <w:t xml:space="preserve">） </w:t>
      </w:r>
    </w:p>
    <w:p w14:paraId="2DF722A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委托代理人：</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kern w:val="0"/>
          <w:szCs w:val="21"/>
          <w:lang w:val="en-US" w:eastAsia="zh-CN"/>
        </w:rPr>
        <w:t>签字或盖章或</w:t>
      </w:r>
      <w:r>
        <w:rPr>
          <w:rFonts w:hint="eastAsia" w:ascii="华文仿宋" w:hAnsi="华文仿宋" w:eastAsia="华文仿宋" w:cs="华文仿宋"/>
          <w:color w:val="auto"/>
          <w:kern w:val="0"/>
          <w:szCs w:val="21"/>
        </w:rPr>
        <w:t>电子签名</w:t>
      </w:r>
      <w:r>
        <w:rPr>
          <w:rFonts w:hint="eastAsia" w:ascii="华文仿宋" w:hAnsi="华文仿宋" w:eastAsia="华文仿宋" w:cs="华文仿宋"/>
          <w:color w:val="auto"/>
          <w:sz w:val="21"/>
          <w:szCs w:val="21"/>
          <w:highlight w:val="none"/>
        </w:rPr>
        <w:t>）</w:t>
      </w:r>
    </w:p>
    <w:p w14:paraId="64688D3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日期：</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年</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月</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日</w:t>
      </w:r>
    </w:p>
    <w:p w14:paraId="19B4803E">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0893CDC4">
      <w:pPr>
        <w:pageBreakBefore w:val="0"/>
        <w:kinsoku/>
        <w:wordWrap w:val="0"/>
        <w:overflowPunct/>
        <w:topLinePunct/>
        <w:bidi w:val="0"/>
        <w:spacing w:line="360" w:lineRule="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br w:type="page"/>
      </w:r>
    </w:p>
    <w:p w14:paraId="0D526B4F">
      <w:pPr>
        <w:pStyle w:val="44"/>
        <w:pageBreakBefore w:val="0"/>
        <w:kinsoku/>
        <w:wordWrap w:val="0"/>
        <w:overflowPunct/>
        <w:topLinePunct/>
        <w:bidi w:val="0"/>
        <w:spacing w:line="360" w:lineRule="auto"/>
        <w:rPr>
          <w:rFonts w:hint="eastAsia" w:ascii="华文仿宋" w:hAnsi="华文仿宋" w:eastAsia="华文仿宋" w:cs="华文仿宋"/>
          <w:color w:val="auto"/>
          <w:highlight w:val="none"/>
        </w:rPr>
      </w:pPr>
    </w:p>
    <w:p w14:paraId="4332E83C">
      <w:pPr>
        <w:keepNext w:val="0"/>
        <w:keepLines w:val="0"/>
        <w:pageBreakBefore w:val="0"/>
        <w:widowControl w:val="0"/>
        <w:numPr>
          <w:ilvl w:val="0"/>
          <w:numId w:val="5"/>
        </w:numPr>
        <w:kinsoku/>
        <w:wordWrap w:val="0"/>
        <w:overflowPunct/>
        <w:topLinePunct/>
        <w:bidi w:val="0"/>
        <w:snapToGrid/>
        <w:spacing w:line="360" w:lineRule="auto"/>
        <w:jc w:val="center"/>
        <w:textAlignment w:val="auto"/>
        <w:outlineLvl w:val="2"/>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highlight w:val="none"/>
          <w:lang w:eastAsia="zh-CN"/>
        </w:rPr>
        <w:t>磋商</w:t>
      </w:r>
      <w:r>
        <w:rPr>
          <w:rFonts w:hint="eastAsia" w:ascii="华文仿宋" w:hAnsi="华文仿宋" w:eastAsia="华文仿宋" w:cs="华文仿宋"/>
          <w:b/>
          <w:bCs/>
          <w:color w:val="auto"/>
          <w:sz w:val="21"/>
          <w:szCs w:val="21"/>
          <w:highlight w:val="none"/>
        </w:rPr>
        <w:t>函附录</w:t>
      </w:r>
      <w:r>
        <w:rPr>
          <w:rFonts w:hint="eastAsia" w:ascii="华文仿宋" w:hAnsi="华文仿宋" w:eastAsia="华文仿宋" w:cs="华文仿宋"/>
          <w:b/>
          <w:bCs/>
          <w:color w:val="auto"/>
          <w:sz w:val="21"/>
          <w:szCs w:val="21"/>
          <w:highlight w:val="none"/>
          <w:lang w:eastAsia="zh-CN"/>
        </w:rPr>
        <w:t>（</w:t>
      </w:r>
      <w:r>
        <w:rPr>
          <w:rFonts w:hint="eastAsia" w:ascii="华文仿宋" w:hAnsi="华文仿宋" w:eastAsia="华文仿宋" w:cs="华文仿宋"/>
          <w:b/>
          <w:bCs/>
          <w:color w:val="auto"/>
          <w:sz w:val="21"/>
          <w:szCs w:val="21"/>
          <w:highlight w:val="none"/>
          <w:lang w:val="en-US" w:eastAsia="zh-CN"/>
        </w:rPr>
        <w:t>第一轮报价）</w:t>
      </w:r>
    </w:p>
    <w:tbl>
      <w:tblPr>
        <w:tblStyle w:val="25"/>
        <w:tblW w:w="9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3877"/>
        <w:gridCol w:w="3294"/>
      </w:tblGrid>
      <w:tr w14:paraId="6E5B5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2143" w:type="dxa"/>
            <w:vAlign w:val="center"/>
          </w:tcPr>
          <w:p w14:paraId="302CEB6F">
            <w:pPr>
              <w:pStyle w:val="58"/>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项目名称</w:t>
            </w:r>
          </w:p>
        </w:tc>
        <w:tc>
          <w:tcPr>
            <w:tcW w:w="7171" w:type="dxa"/>
            <w:gridSpan w:val="2"/>
            <w:vAlign w:val="center"/>
          </w:tcPr>
          <w:p w14:paraId="4E0F943E">
            <w:pPr>
              <w:pStyle w:val="58"/>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tc>
      </w:tr>
      <w:tr w14:paraId="08D98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2143" w:type="dxa"/>
            <w:vAlign w:val="center"/>
          </w:tcPr>
          <w:p w14:paraId="24132D01">
            <w:pPr>
              <w:pStyle w:val="58"/>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供应商</w:t>
            </w:r>
          </w:p>
        </w:tc>
        <w:tc>
          <w:tcPr>
            <w:tcW w:w="7171" w:type="dxa"/>
            <w:gridSpan w:val="2"/>
            <w:vAlign w:val="center"/>
          </w:tcPr>
          <w:p w14:paraId="34862BD5">
            <w:pPr>
              <w:pStyle w:val="58"/>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tc>
      </w:tr>
      <w:tr w14:paraId="5B88E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2143" w:type="dxa"/>
            <w:vMerge w:val="restart"/>
            <w:vAlign w:val="center"/>
          </w:tcPr>
          <w:p w14:paraId="6E4235B7">
            <w:pPr>
              <w:pStyle w:val="58"/>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eastAsia="zh-CN"/>
              </w:rPr>
              <w:t>磋商总</w:t>
            </w:r>
            <w:r>
              <w:rPr>
                <w:rFonts w:hint="eastAsia" w:ascii="华文仿宋" w:hAnsi="华文仿宋" w:eastAsia="华文仿宋" w:cs="华文仿宋"/>
                <w:color w:val="auto"/>
                <w:sz w:val="21"/>
                <w:szCs w:val="21"/>
                <w:highlight w:val="none"/>
              </w:rPr>
              <w:t>报价（元）</w:t>
            </w:r>
          </w:p>
        </w:tc>
        <w:tc>
          <w:tcPr>
            <w:tcW w:w="3877" w:type="dxa"/>
            <w:vAlign w:val="center"/>
          </w:tcPr>
          <w:p w14:paraId="5FCE441C">
            <w:pPr>
              <w:pStyle w:val="58"/>
              <w:keepNext w:val="0"/>
              <w:keepLines w:val="0"/>
              <w:pageBreakBefore w:val="0"/>
              <w:widowControl w:val="0"/>
              <w:kinsoku/>
              <w:wordWrap w:val="0"/>
              <w:overflowPunct/>
              <w:topLinePunct/>
              <w:bidi w:val="0"/>
              <w:snapToGrid/>
              <w:spacing w:line="360" w:lineRule="auto"/>
              <w:ind w:left="527"/>
              <w:textAlignment w:val="auto"/>
              <w:rPr>
                <w:rFonts w:hint="eastAsia" w:ascii="华文仿宋" w:hAnsi="华文仿宋" w:eastAsia="华文仿宋" w:cs="华文仿宋"/>
                <w:color w:val="auto"/>
                <w:sz w:val="21"/>
                <w:szCs w:val="21"/>
                <w:highlight w:val="none"/>
              </w:rPr>
            </w:pPr>
          </w:p>
          <w:p w14:paraId="3CB5D7B2">
            <w:pPr>
              <w:pStyle w:val="58"/>
              <w:keepNext w:val="0"/>
              <w:keepLines w:val="0"/>
              <w:pageBreakBefore w:val="0"/>
              <w:widowControl w:val="0"/>
              <w:kinsoku/>
              <w:wordWrap w:val="0"/>
              <w:overflowPunct/>
              <w:topLinePunct/>
              <w:bidi w:val="0"/>
              <w:snapToGrid/>
              <w:spacing w:line="360" w:lineRule="auto"/>
              <w:ind w:left="527"/>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（大写）</w:t>
            </w:r>
          </w:p>
        </w:tc>
        <w:tc>
          <w:tcPr>
            <w:tcW w:w="3294" w:type="dxa"/>
            <w:vAlign w:val="center"/>
          </w:tcPr>
          <w:p w14:paraId="1638C419">
            <w:pPr>
              <w:pStyle w:val="58"/>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b/>
                <w:color w:val="auto"/>
                <w:sz w:val="21"/>
                <w:szCs w:val="21"/>
                <w:highlight w:val="none"/>
              </w:rPr>
            </w:pPr>
          </w:p>
          <w:p w14:paraId="245ABADE">
            <w:pPr>
              <w:pStyle w:val="58"/>
              <w:keepNext w:val="0"/>
              <w:keepLines w:val="0"/>
              <w:pageBreakBefore w:val="0"/>
              <w:widowControl w:val="0"/>
              <w:kinsoku/>
              <w:wordWrap w:val="0"/>
              <w:overflowPunct/>
              <w:topLinePunct/>
              <w:bidi w:val="0"/>
              <w:snapToGrid/>
              <w:spacing w:line="360" w:lineRule="auto"/>
              <w:ind w:left="527"/>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（小写）</w:t>
            </w:r>
          </w:p>
        </w:tc>
      </w:tr>
      <w:tr w14:paraId="57A97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2143" w:type="dxa"/>
            <w:vMerge w:val="continue"/>
            <w:tcBorders>
              <w:top w:val="nil"/>
            </w:tcBorders>
            <w:vAlign w:val="center"/>
          </w:tcPr>
          <w:p w14:paraId="7AE2A7B5">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华文仿宋" w:hAnsi="华文仿宋" w:eastAsia="华文仿宋" w:cs="华文仿宋"/>
                <w:color w:val="auto"/>
                <w:sz w:val="21"/>
                <w:szCs w:val="21"/>
                <w:highlight w:val="none"/>
              </w:rPr>
            </w:pPr>
          </w:p>
        </w:tc>
        <w:tc>
          <w:tcPr>
            <w:tcW w:w="7171" w:type="dxa"/>
            <w:gridSpan w:val="2"/>
            <w:vAlign w:val="center"/>
          </w:tcPr>
          <w:p w14:paraId="36BFD293">
            <w:pPr>
              <w:pStyle w:val="58"/>
              <w:keepNext w:val="0"/>
              <w:keepLines w:val="0"/>
              <w:pageBreakBefore w:val="0"/>
              <w:widowControl w:val="0"/>
              <w:kinsoku/>
              <w:wordWrap w:val="0"/>
              <w:overflowPunct/>
              <w:topLinePunct/>
              <w:bidi w:val="0"/>
              <w:snapToGrid/>
              <w:spacing w:line="360" w:lineRule="auto"/>
              <w:ind w:right="34"/>
              <w:textAlignment w:val="auto"/>
              <w:rPr>
                <w:rFonts w:hint="eastAsia" w:ascii="华文仿宋" w:hAnsi="华文仿宋" w:eastAsia="华文仿宋" w:cs="华文仿宋"/>
                <w:b/>
                <w:color w:val="auto"/>
                <w:sz w:val="21"/>
                <w:szCs w:val="21"/>
                <w:highlight w:val="none"/>
              </w:rPr>
            </w:pPr>
            <w:r>
              <w:rPr>
                <w:rFonts w:hint="eastAsia" w:ascii="华文仿宋" w:hAnsi="华文仿宋" w:eastAsia="华文仿宋" w:cs="华文仿宋"/>
                <w:b/>
                <w:color w:val="auto"/>
                <w:sz w:val="21"/>
                <w:szCs w:val="21"/>
                <w:highlight w:val="none"/>
              </w:rPr>
              <w:t>（供应商应在此填列第一次报价，但以供应商最后一次的磋商报价为成交价）</w:t>
            </w:r>
          </w:p>
        </w:tc>
      </w:tr>
      <w:tr w14:paraId="15B63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2143" w:type="dxa"/>
            <w:vAlign w:val="center"/>
          </w:tcPr>
          <w:p w14:paraId="6A654750">
            <w:pPr>
              <w:pStyle w:val="58"/>
              <w:keepNext w:val="0"/>
              <w:keepLines w:val="0"/>
              <w:pageBreakBefore w:val="0"/>
              <w:widowControl w:val="0"/>
              <w:tabs>
                <w:tab w:val="left" w:pos="1838"/>
              </w:tabs>
              <w:kinsoku/>
              <w:wordWrap w:val="0"/>
              <w:overflowPunct/>
              <w:topLinePunct/>
              <w:autoSpaceDE/>
              <w:autoSpaceDN/>
              <w:bidi w:val="0"/>
              <w:adjustRightInd/>
              <w:snapToGrid/>
              <w:spacing w:line="360" w:lineRule="auto"/>
              <w:ind w:right="0"/>
              <w:jc w:val="center"/>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响应内容</w:t>
            </w:r>
          </w:p>
        </w:tc>
        <w:tc>
          <w:tcPr>
            <w:tcW w:w="7171" w:type="dxa"/>
            <w:gridSpan w:val="2"/>
            <w:vAlign w:val="center"/>
          </w:tcPr>
          <w:p w14:paraId="77573BA4">
            <w:pPr>
              <w:pStyle w:val="58"/>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tc>
      </w:tr>
      <w:tr w14:paraId="562B4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2143" w:type="dxa"/>
            <w:vAlign w:val="center"/>
          </w:tcPr>
          <w:p w14:paraId="3EBA23F3">
            <w:pPr>
              <w:pStyle w:val="58"/>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eastAsia="zh-CN"/>
              </w:rPr>
              <w:t>合同履行期限</w:t>
            </w:r>
          </w:p>
        </w:tc>
        <w:tc>
          <w:tcPr>
            <w:tcW w:w="7171" w:type="dxa"/>
            <w:gridSpan w:val="2"/>
            <w:vAlign w:val="center"/>
          </w:tcPr>
          <w:p w14:paraId="772495C7">
            <w:pPr>
              <w:pStyle w:val="58"/>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tc>
      </w:tr>
      <w:tr w14:paraId="6B80D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2143" w:type="dxa"/>
            <w:vAlign w:val="center"/>
          </w:tcPr>
          <w:p w14:paraId="4FC01DA0">
            <w:pPr>
              <w:pStyle w:val="58"/>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华文仿宋" w:hAnsi="华文仿宋" w:eastAsia="华文仿宋" w:cs="华文仿宋"/>
                <w:color w:val="auto"/>
                <w:sz w:val="21"/>
                <w:szCs w:val="21"/>
                <w:highlight w:val="none"/>
                <w:lang w:eastAsia="zh-CN"/>
              </w:rPr>
            </w:pPr>
            <w:r>
              <w:rPr>
                <w:rFonts w:hint="eastAsia" w:ascii="华文仿宋" w:hAnsi="华文仿宋" w:eastAsia="华文仿宋" w:cs="华文仿宋"/>
                <w:color w:val="auto"/>
                <w:sz w:val="21"/>
                <w:szCs w:val="21"/>
                <w:highlight w:val="none"/>
                <w:lang w:val="en-US" w:eastAsia="zh-CN"/>
              </w:rPr>
              <w:t>服务质量</w:t>
            </w:r>
          </w:p>
        </w:tc>
        <w:tc>
          <w:tcPr>
            <w:tcW w:w="7171" w:type="dxa"/>
            <w:gridSpan w:val="2"/>
            <w:vAlign w:val="center"/>
          </w:tcPr>
          <w:p w14:paraId="1CB846FA">
            <w:pPr>
              <w:pStyle w:val="58"/>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tc>
      </w:tr>
      <w:tr w14:paraId="06512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2143" w:type="dxa"/>
            <w:vAlign w:val="center"/>
          </w:tcPr>
          <w:p w14:paraId="31ED5857">
            <w:pPr>
              <w:pStyle w:val="58"/>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磋商有效期</w:t>
            </w:r>
          </w:p>
        </w:tc>
        <w:tc>
          <w:tcPr>
            <w:tcW w:w="7171" w:type="dxa"/>
            <w:gridSpan w:val="2"/>
            <w:vAlign w:val="center"/>
          </w:tcPr>
          <w:p w14:paraId="1A1B5B61">
            <w:pPr>
              <w:pStyle w:val="58"/>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tc>
      </w:tr>
      <w:tr w14:paraId="5A8DC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2143" w:type="dxa"/>
            <w:vAlign w:val="center"/>
          </w:tcPr>
          <w:p w14:paraId="58462611">
            <w:pPr>
              <w:pStyle w:val="58"/>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lang w:val="en-US" w:eastAsia="zh-CN"/>
              </w:rPr>
              <w:t>备  注</w:t>
            </w:r>
          </w:p>
        </w:tc>
        <w:tc>
          <w:tcPr>
            <w:tcW w:w="7171" w:type="dxa"/>
            <w:gridSpan w:val="2"/>
            <w:vAlign w:val="center"/>
          </w:tcPr>
          <w:p w14:paraId="340CC7E5">
            <w:pPr>
              <w:pStyle w:val="58"/>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tc>
      </w:tr>
    </w:tbl>
    <w:p w14:paraId="1EFA2914">
      <w:pPr>
        <w:pStyle w:val="52"/>
        <w:keepNext w:val="0"/>
        <w:keepLines w:val="0"/>
        <w:pageBreakBefore w:val="0"/>
        <w:widowControl w:val="0"/>
        <w:numPr>
          <w:ilvl w:val="0"/>
          <w:numId w:val="0"/>
        </w:numPr>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7F3B5E9B">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6C81352B">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75D61B88">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u w:val="single"/>
          <w:lang w:val="en-US" w:eastAsia="zh-CN"/>
        </w:rPr>
      </w:pPr>
      <w:r>
        <w:rPr>
          <w:rFonts w:hint="eastAsia" w:ascii="华文仿宋" w:hAnsi="华文仿宋" w:eastAsia="华文仿宋" w:cs="华文仿宋"/>
          <w:color w:val="auto"/>
          <w:sz w:val="21"/>
          <w:szCs w:val="21"/>
          <w:highlight w:val="none"/>
        </w:rPr>
        <w:t>供应商法定代表人或其授权委托人(</w:t>
      </w:r>
      <w:r>
        <w:rPr>
          <w:rFonts w:hint="eastAsia" w:ascii="华文仿宋" w:hAnsi="华文仿宋" w:eastAsia="华文仿宋" w:cs="华文仿宋"/>
          <w:color w:val="auto"/>
          <w:kern w:val="0"/>
          <w:szCs w:val="21"/>
          <w:lang w:val="en-US" w:eastAsia="zh-CN"/>
        </w:rPr>
        <w:t>签字或盖章或</w:t>
      </w:r>
      <w:r>
        <w:rPr>
          <w:rFonts w:hint="eastAsia" w:ascii="华文仿宋" w:hAnsi="华文仿宋" w:eastAsia="华文仿宋" w:cs="华文仿宋"/>
          <w:color w:val="auto"/>
          <w:kern w:val="0"/>
          <w:szCs w:val="21"/>
        </w:rPr>
        <w:t>电子签名</w:t>
      </w: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u w:val="single"/>
          <w:lang w:val="en-US" w:eastAsia="zh-CN"/>
        </w:rPr>
        <w:t xml:space="preserve">             </w:t>
      </w:r>
    </w:p>
    <w:p w14:paraId="5C7D23A0">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u w:val="single"/>
          <w:lang w:val="en-US" w:eastAsia="zh-CN"/>
        </w:rPr>
      </w:pPr>
      <w:r>
        <w:rPr>
          <w:rFonts w:hint="eastAsia" w:ascii="华文仿宋" w:hAnsi="华文仿宋" w:eastAsia="华文仿宋" w:cs="华文仿宋"/>
          <w:color w:val="auto"/>
          <w:sz w:val="21"/>
          <w:szCs w:val="21"/>
          <w:highlight w:val="none"/>
        </w:rPr>
        <w:t>供应商(单位电子签章</w:t>
      </w:r>
      <w:r>
        <w:rPr>
          <w:rFonts w:hint="eastAsia" w:ascii="华文仿宋" w:hAnsi="华文仿宋" w:eastAsia="华文仿宋" w:cs="华文仿宋"/>
          <w:color w:val="auto"/>
          <w:sz w:val="21"/>
          <w:szCs w:val="21"/>
          <w:highlight w:val="none"/>
          <w:lang w:val="en-US" w:eastAsia="zh-CN"/>
        </w:rPr>
        <w:t>或盖章</w:t>
      </w:r>
      <w:r>
        <w:rPr>
          <w:rFonts w:hint="eastAsia" w:ascii="华文仿宋" w:hAnsi="华文仿宋" w:eastAsia="华文仿宋" w:cs="华文仿宋"/>
          <w:color w:val="auto"/>
          <w:sz w:val="21"/>
          <w:szCs w:val="21"/>
          <w:highlight w:val="none"/>
        </w:rPr>
        <w:t xml:space="preserve">): </w:t>
      </w:r>
      <w:r>
        <w:rPr>
          <w:rFonts w:hint="eastAsia" w:ascii="华文仿宋" w:hAnsi="华文仿宋" w:eastAsia="华文仿宋" w:cs="华文仿宋"/>
          <w:color w:val="auto"/>
          <w:sz w:val="21"/>
          <w:szCs w:val="21"/>
          <w:highlight w:val="none"/>
          <w:u w:val="single"/>
          <w:lang w:val="en-US" w:eastAsia="zh-CN"/>
        </w:rPr>
        <w:t xml:space="preserve">             </w:t>
      </w:r>
    </w:p>
    <w:p w14:paraId="3DC3BE15">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年</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月</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日</w:t>
      </w:r>
    </w:p>
    <w:p w14:paraId="251661CE">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449F446F">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2B09ED71">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1AA5F4E9">
      <w:pPr>
        <w:pageBreakBefore w:val="0"/>
        <w:kinsoku/>
        <w:wordWrap w:val="0"/>
        <w:overflowPunct/>
        <w:topLinePunct/>
        <w:bidi w:val="0"/>
        <w:spacing w:line="360" w:lineRule="auto"/>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rPr>
        <w:br w:type="page"/>
      </w:r>
    </w:p>
    <w:p w14:paraId="11743E4E">
      <w:pPr>
        <w:tabs>
          <w:tab w:val="left" w:pos="1440"/>
        </w:tabs>
        <w:spacing w:line="480" w:lineRule="auto"/>
        <w:ind w:firstLine="475" w:firstLineChars="148"/>
        <w:rPr>
          <w:rFonts w:hint="eastAsia" w:ascii="华文仿宋" w:hAnsi="华文仿宋" w:eastAsia="华文仿宋" w:cs="华文仿宋"/>
          <w:b/>
          <w:bCs/>
          <w:color w:val="auto"/>
          <w:lang w:val="zh-CN"/>
        </w:rPr>
      </w:pPr>
      <w:r>
        <w:rPr>
          <w:rFonts w:hint="eastAsia" w:ascii="华文仿宋" w:hAnsi="华文仿宋" w:eastAsia="华文仿宋" w:cs="华文仿宋"/>
          <w:b/>
          <w:color w:val="auto"/>
          <w:sz w:val="32"/>
          <w:szCs w:val="32"/>
        </w:rPr>
        <w:t>注：</w:t>
      </w:r>
    </w:p>
    <w:p w14:paraId="1D2CDFF8">
      <w:pPr>
        <w:spacing w:line="480" w:lineRule="auto"/>
        <w:ind w:firstLine="643"/>
        <w:jc w:val="center"/>
        <w:outlineLvl w:val="1"/>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第二轮报价</w:t>
      </w:r>
    </w:p>
    <w:p w14:paraId="0AA709FB">
      <w:pPr>
        <w:widowControl/>
        <w:spacing w:line="480" w:lineRule="auto"/>
        <w:ind w:firstLine="480"/>
        <w:rPr>
          <w:rFonts w:hint="eastAsia" w:ascii="华文仿宋" w:hAnsi="华文仿宋" w:eastAsia="华文仿宋" w:cs="华文仿宋"/>
          <w:color w:val="auto"/>
          <w:kern w:val="0"/>
          <w:sz w:val="24"/>
        </w:rPr>
      </w:pPr>
      <w:r>
        <w:rPr>
          <w:rFonts w:hint="eastAsia" w:ascii="华文仿宋" w:hAnsi="华文仿宋" w:eastAsia="华文仿宋" w:cs="华文仿宋"/>
          <w:color w:val="auto"/>
          <w:kern w:val="0"/>
          <w:sz w:val="24"/>
        </w:rPr>
        <w:t>本项目采用“不见面开标”交易方式，第二轮报价在不见面开标系统上远程报价，不见面开标服务的具体事宜，请查阅信阳市公共资源交易中心网站首页—下载中心—信阳市不见面开标大厅系统操作手册。</w:t>
      </w:r>
    </w:p>
    <w:p w14:paraId="5C04E25C">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2A6F8498">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41FDA68E">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45CCDFBF">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6A8CFFA7">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7567252F">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7A050A0E">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1FA894E3">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40BDF901">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43EF0DFA">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514C34FA">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11A53551">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31529EC9">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152B0C5C">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3B7EF064">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21F42FB9">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245CA720">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06CD21FC">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210A751D">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20085B95">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7FBDC7DA">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1BE33C97">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5B1C2A06">
      <w:pPr>
        <w:keepNext w:val="0"/>
        <w:keepLines w:val="0"/>
        <w:pageBreakBefore w:val="0"/>
        <w:widowControl w:val="0"/>
        <w:kinsoku/>
        <w:wordWrap w:val="0"/>
        <w:overflowPunct/>
        <w:topLinePunct/>
        <w:bidi w:val="0"/>
        <w:snapToGrid/>
        <w:spacing w:line="360" w:lineRule="auto"/>
        <w:jc w:val="center"/>
        <w:textAlignment w:val="auto"/>
        <w:outlineLvl w:val="9"/>
        <w:rPr>
          <w:rFonts w:hint="eastAsia" w:ascii="华文仿宋" w:hAnsi="华文仿宋" w:eastAsia="华文仿宋" w:cs="华文仿宋"/>
          <w:b/>
          <w:bCs/>
          <w:color w:val="auto"/>
          <w:sz w:val="21"/>
          <w:szCs w:val="21"/>
          <w:highlight w:val="none"/>
        </w:rPr>
      </w:pPr>
    </w:p>
    <w:p w14:paraId="47E3AC30">
      <w:pPr>
        <w:autoSpaceDE w:val="0"/>
        <w:autoSpaceDN w:val="0"/>
        <w:adjustRightInd w:val="0"/>
        <w:spacing w:line="500" w:lineRule="exact"/>
        <w:ind w:left="69"/>
        <w:jc w:val="center"/>
        <w:outlineLvl w:val="1"/>
        <w:rPr>
          <w:rFonts w:hint="eastAsia" w:ascii="华文仿宋" w:hAnsi="华文仿宋" w:eastAsia="华文仿宋" w:cs="华文仿宋"/>
          <w:b/>
          <w:color w:val="auto"/>
          <w:kern w:val="0"/>
          <w:sz w:val="32"/>
          <w:szCs w:val="32"/>
        </w:rPr>
      </w:pPr>
      <w:r>
        <w:rPr>
          <w:rFonts w:hint="eastAsia" w:ascii="华文仿宋" w:hAnsi="华文仿宋" w:eastAsia="华文仿宋" w:cs="华文仿宋"/>
          <w:b/>
          <w:color w:val="auto"/>
          <w:sz w:val="32"/>
          <w:szCs w:val="32"/>
          <w:highlight w:val="none"/>
          <w:lang w:val="en-US" w:eastAsia="zh-CN"/>
        </w:rPr>
        <w:t>二、</w:t>
      </w:r>
      <w:r>
        <w:rPr>
          <w:rFonts w:hint="eastAsia" w:ascii="华文仿宋" w:hAnsi="华文仿宋" w:eastAsia="华文仿宋" w:cs="华文仿宋"/>
          <w:b/>
          <w:color w:val="auto"/>
          <w:kern w:val="0"/>
          <w:sz w:val="32"/>
          <w:szCs w:val="32"/>
        </w:rPr>
        <w:t>法定代表人身份证明和法定代表人授权委托书</w:t>
      </w:r>
    </w:p>
    <w:p w14:paraId="42147054">
      <w:pPr>
        <w:keepNext w:val="0"/>
        <w:keepLines w:val="0"/>
        <w:pageBreakBefore w:val="0"/>
        <w:widowControl w:val="0"/>
        <w:kinsoku/>
        <w:wordWrap w:val="0"/>
        <w:overflowPunct/>
        <w:topLinePunct/>
        <w:bidi w:val="0"/>
        <w:snapToGrid/>
        <w:spacing w:line="360" w:lineRule="auto"/>
        <w:jc w:val="center"/>
        <w:textAlignment w:val="auto"/>
        <w:outlineLvl w:val="2"/>
        <w:rPr>
          <w:rFonts w:hint="eastAsia"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bCs/>
          <w:color w:val="auto"/>
          <w:sz w:val="32"/>
          <w:szCs w:val="32"/>
          <w:highlight w:val="none"/>
          <w:lang w:eastAsia="zh-CN"/>
        </w:rPr>
        <w:t>（</w:t>
      </w:r>
      <w:r>
        <w:rPr>
          <w:rFonts w:hint="eastAsia" w:ascii="华文仿宋" w:hAnsi="华文仿宋" w:eastAsia="华文仿宋" w:cs="华文仿宋"/>
          <w:b/>
          <w:bCs/>
          <w:color w:val="auto"/>
          <w:sz w:val="32"/>
          <w:szCs w:val="32"/>
          <w:highlight w:val="none"/>
          <w:lang w:val="en-US" w:eastAsia="zh-CN"/>
        </w:rPr>
        <w:t>一）法定代表人身份证明</w:t>
      </w:r>
    </w:p>
    <w:p w14:paraId="20E3EDE3">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0864A9E3">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u w:val="single"/>
          <w:lang w:val="en-US" w:eastAsia="zh-CN"/>
        </w:rPr>
      </w:pPr>
      <w:r>
        <w:rPr>
          <w:rFonts w:hint="eastAsia" w:ascii="华文仿宋" w:hAnsi="华文仿宋" w:eastAsia="华文仿宋" w:cs="华文仿宋"/>
          <w:color w:val="auto"/>
          <w:sz w:val="21"/>
          <w:szCs w:val="21"/>
          <w:highlight w:val="none"/>
        </w:rPr>
        <w:t>供应商名称：</w:t>
      </w:r>
      <w:r>
        <w:rPr>
          <w:rFonts w:hint="eastAsia" w:ascii="华文仿宋" w:hAnsi="华文仿宋" w:eastAsia="华文仿宋" w:cs="华文仿宋"/>
          <w:color w:val="auto"/>
          <w:sz w:val="21"/>
          <w:szCs w:val="21"/>
          <w:highlight w:val="none"/>
          <w:u w:val="single"/>
          <w:lang w:val="en-US" w:eastAsia="zh-CN"/>
        </w:rPr>
        <w:t xml:space="preserve">                  </w:t>
      </w:r>
    </w:p>
    <w:p w14:paraId="4D2037CA">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单位性质：</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 xml:space="preserve"> </w:t>
      </w:r>
      <w:r>
        <w:rPr>
          <w:rFonts w:hint="eastAsia" w:ascii="华文仿宋" w:hAnsi="华文仿宋" w:eastAsia="华文仿宋" w:cs="华文仿宋"/>
          <w:color w:val="auto"/>
          <w:sz w:val="21"/>
          <w:szCs w:val="21"/>
          <w:highlight w:val="none"/>
        </w:rPr>
        <w:tab/>
      </w:r>
    </w:p>
    <w:p w14:paraId="00FA50C1">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地址：</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 xml:space="preserve"> </w:t>
      </w:r>
      <w:r>
        <w:rPr>
          <w:rFonts w:hint="eastAsia" w:ascii="华文仿宋" w:hAnsi="华文仿宋" w:eastAsia="华文仿宋" w:cs="华文仿宋"/>
          <w:color w:val="auto"/>
          <w:sz w:val="21"/>
          <w:szCs w:val="21"/>
          <w:highlight w:val="none"/>
        </w:rPr>
        <w:tab/>
      </w:r>
    </w:p>
    <w:p w14:paraId="0FF5F803">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u w:val="single"/>
          <w:lang w:val="en-US" w:eastAsia="zh-CN"/>
        </w:rPr>
      </w:pPr>
      <w:r>
        <w:rPr>
          <w:rFonts w:hint="eastAsia" w:ascii="华文仿宋" w:hAnsi="华文仿宋" w:eastAsia="华文仿宋" w:cs="华文仿宋"/>
          <w:color w:val="auto"/>
          <w:sz w:val="21"/>
          <w:szCs w:val="21"/>
          <w:highlight w:val="none"/>
        </w:rPr>
        <w:t>成立时间：</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年</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月</w:t>
      </w:r>
      <w:r>
        <w:rPr>
          <w:rFonts w:hint="eastAsia" w:ascii="华文仿宋" w:hAnsi="华文仿宋" w:eastAsia="华文仿宋" w:cs="华文仿宋"/>
          <w:color w:val="auto"/>
          <w:sz w:val="21"/>
          <w:szCs w:val="21"/>
          <w:highlight w:val="none"/>
          <w:u w:val="single"/>
          <w:lang w:val="en-US" w:eastAsia="zh-CN"/>
        </w:rPr>
        <w:t xml:space="preserve">     </w:t>
      </w:r>
    </w:p>
    <w:p w14:paraId="72773C6E">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u w:val="single"/>
          <w:lang w:val="en-US" w:eastAsia="zh-CN"/>
        </w:rPr>
      </w:pPr>
      <w:r>
        <w:rPr>
          <w:rFonts w:hint="eastAsia" w:ascii="华文仿宋" w:hAnsi="华文仿宋" w:eastAsia="华文仿宋" w:cs="华文仿宋"/>
          <w:color w:val="auto"/>
          <w:sz w:val="21"/>
          <w:szCs w:val="21"/>
          <w:highlight w:val="none"/>
        </w:rPr>
        <w:t>日经营期限：</w:t>
      </w:r>
      <w:r>
        <w:rPr>
          <w:rFonts w:hint="eastAsia" w:ascii="华文仿宋" w:hAnsi="华文仿宋" w:eastAsia="华文仿宋" w:cs="华文仿宋"/>
          <w:color w:val="auto"/>
          <w:sz w:val="21"/>
          <w:szCs w:val="21"/>
          <w:highlight w:val="none"/>
          <w:u w:val="single"/>
          <w:lang w:val="en-US" w:eastAsia="zh-CN"/>
        </w:rPr>
        <w:t xml:space="preserve">                  </w:t>
      </w:r>
    </w:p>
    <w:p w14:paraId="462C2378">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姓名：</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lang w:val="en-US" w:eastAsia="zh-CN"/>
        </w:rPr>
        <w:t xml:space="preserve"> </w:t>
      </w:r>
      <w:r>
        <w:rPr>
          <w:rFonts w:hint="eastAsia" w:ascii="华文仿宋" w:hAnsi="华文仿宋" w:eastAsia="华文仿宋" w:cs="华文仿宋"/>
          <w:color w:val="auto"/>
          <w:sz w:val="21"/>
          <w:szCs w:val="21"/>
          <w:highlight w:val="none"/>
        </w:rPr>
        <w:t>性别：</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年龄：</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lang w:val="en-US" w:eastAsia="zh-CN"/>
        </w:rPr>
        <w:t xml:space="preserve"> </w:t>
      </w:r>
      <w:r>
        <w:rPr>
          <w:rFonts w:hint="eastAsia" w:ascii="华文仿宋" w:hAnsi="华文仿宋" w:eastAsia="华文仿宋" w:cs="华文仿宋"/>
          <w:color w:val="auto"/>
          <w:sz w:val="21"/>
          <w:szCs w:val="21"/>
          <w:highlight w:val="none"/>
        </w:rPr>
        <w:t>职务：</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系</w:t>
      </w:r>
      <w:r>
        <w:rPr>
          <w:rFonts w:hint="eastAsia" w:ascii="华文仿宋" w:hAnsi="华文仿宋" w:eastAsia="华文仿宋" w:cs="华文仿宋"/>
          <w:color w:val="auto"/>
          <w:sz w:val="21"/>
          <w:szCs w:val="21"/>
          <w:highlight w:val="none"/>
          <w:u w:val="single"/>
        </w:rPr>
        <w:t>（供应商名称）</w:t>
      </w:r>
      <w:r>
        <w:rPr>
          <w:rFonts w:hint="eastAsia" w:ascii="华文仿宋" w:hAnsi="华文仿宋" w:eastAsia="华文仿宋" w:cs="华文仿宋"/>
          <w:color w:val="auto"/>
          <w:sz w:val="21"/>
          <w:szCs w:val="21"/>
          <w:highlight w:val="none"/>
        </w:rPr>
        <w:t>的法定代表人。特此证明。</w:t>
      </w:r>
    </w:p>
    <w:p w14:paraId="0B8C4942">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rPr>
      </w:pPr>
    </w:p>
    <w:p w14:paraId="135A7C07">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rPr>
      </w:pPr>
    </w:p>
    <w:p w14:paraId="2EA3BB86">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rPr>
      </w:pPr>
    </w:p>
    <w:p w14:paraId="6AB1B096">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供应商：</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（单位电子签章</w:t>
      </w:r>
      <w:r>
        <w:rPr>
          <w:rFonts w:hint="eastAsia" w:ascii="华文仿宋" w:hAnsi="华文仿宋" w:eastAsia="华文仿宋" w:cs="华文仿宋"/>
          <w:color w:val="auto"/>
          <w:sz w:val="21"/>
          <w:szCs w:val="21"/>
          <w:highlight w:val="none"/>
          <w:lang w:val="en-US" w:eastAsia="zh-CN"/>
        </w:rPr>
        <w:t>或盖章</w:t>
      </w:r>
      <w:r>
        <w:rPr>
          <w:rFonts w:hint="eastAsia" w:ascii="华文仿宋" w:hAnsi="华文仿宋" w:eastAsia="华文仿宋" w:cs="华文仿宋"/>
          <w:color w:val="auto"/>
          <w:sz w:val="21"/>
          <w:szCs w:val="21"/>
          <w:highlight w:val="none"/>
        </w:rPr>
        <w:t>）</w:t>
      </w:r>
    </w:p>
    <w:p w14:paraId="319E621E">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rPr>
      </w:pPr>
    </w:p>
    <w:p w14:paraId="4404C664">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 </w:t>
      </w:r>
      <w:r>
        <w:rPr>
          <w:rFonts w:hint="eastAsia" w:ascii="华文仿宋" w:hAnsi="华文仿宋" w:eastAsia="华文仿宋" w:cs="华文仿宋"/>
          <w:color w:val="auto"/>
          <w:sz w:val="21"/>
          <w:szCs w:val="21"/>
          <w:highlight w:val="none"/>
        </w:rPr>
        <w:tab/>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年</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月</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日</w:t>
      </w:r>
    </w:p>
    <w:p w14:paraId="0B21514D">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5DB9FFC2">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161257FD">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08C57D5D">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266065</wp:posOffset>
                </wp:positionH>
                <wp:positionV relativeFrom="paragraph">
                  <wp:posOffset>-888365</wp:posOffset>
                </wp:positionV>
                <wp:extent cx="5184140" cy="1905000"/>
                <wp:effectExtent l="4445" t="4445" r="12065" b="14605"/>
                <wp:wrapNone/>
                <wp:docPr id="4" name="文本框 4"/>
                <wp:cNvGraphicFramePr/>
                <a:graphic xmlns:a="http://schemas.openxmlformats.org/drawingml/2006/main">
                  <a:graphicData uri="http://schemas.microsoft.com/office/word/2010/wordprocessingShape">
                    <wps:wsp>
                      <wps:cNvSpPr txBox="1"/>
                      <wps:spPr>
                        <a:xfrm>
                          <a:off x="0" y="0"/>
                          <a:ext cx="5184140" cy="1905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B6CA8C6">
                            <w:pPr>
                              <w:jc w:val="center"/>
                            </w:pPr>
                          </w:p>
                          <w:p w14:paraId="0F6F57E4">
                            <w:pPr>
                              <w:pStyle w:val="52"/>
                            </w:pPr>
                          </w:p>
                          <w:p w14:paraId="631FCB85">
                            <w:pPr>
                              <w:jc w:val="center"/>
                            </w:pPr>
                          </w:p>
                          <w:p w14:paraId="1E0CFDD7">
                            <w:pPr>
                              <w:jc w:val="center"/>
                            </w:pPr>
                          </w:p>
                          <w:p w14:paraId="4240BBB5">
                            <w:pPr>
                              <w:jc w:val="center"/>
                              <w:rPr>
                                <w:rFonts w:hint="eastAsia" w:eastAsiaTheme="minorEastAsia"/>
                                <w:lang w:eastAsia="zh-CN"/>
                              </w:rPr>
                            </w:pPr>
                            <w:r>
                              <w:t>法定代表人身份证</w:t>
                            </w:r>
                            <w:r>
                              <w:rPr>
                                <w:rFonts w:hint="eastAsia"/>
                                <w:lang w:val="en-US" w:eastAsia="zh-CN"/>
                              </w:rPr>
                              <w:t>正反面</w:t>
                            </w:r>
                            <w:r>
                              <w:rPr>
                                <w:rFonts w:hint="eastAsia"/>
                                <w:lang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95pt;margin-top:-69.95pt;height:150pt;width:408.2pt;z-index:251662336;mso-width-relative:page;mso-height-relative:page;" fillcolor="#FFFFFF [3201]" filled="t" stroked="t" coordsize="21600,21600" o:gfxdata="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RGCRo&#10;2AAAAAsBAAAPAAAAAAAAAAEAIAAAACIAAABkcnMvZG93bnJldi54bWxQSwECFAAUAAAACACHTuJA&#10;sLopOloCAAC4BAAADgAAAAAAAAABACAAAAAnAQAAZHJzL2Uyb0RvYy54bWxQSwUGAAAAAAYABgBZ&#10;AQAA8wUAAAAA&#10;">
                <v:fill on="t" focussize="0,0"/>
                <v:stroke weight="0.5pt" color="#000000 [3204]" joinstyle="round"/>
                <v:imagedata o:title=""/>
                <o:lock v:ext="edit" aspectratio="f"/>
                <v:textbox>
                  <w:txbxContent>
                    <w:p w14:paraId="6B6CA8C6">
                      <w:pPr>
                        <w:jc w:val="center"/>
                      </w:pPr>
                    </w:p>
                    <w:p w14:paraId="0F6F57E4">
                      <w:pPr>
                        <w:pStyle w:val="52"/>
                      </w:pPr>
                    </w:p>
                    <w:p w14:paraId="631FCB85">
                      <w:pPr>
                        <w:jc w:val="center"/>
                      </w:pPr>
                    </w:p>
                    <w:p w14:paraId="1E0CFDD7">
                      <w:pPr>
                        <w:jc w:val="center"/>
                      </w:pPr>
                    </w:p>
                    <w:p w14:paraId="4240BBB5">
                      <w:pPr>
                        <w:jc w:val="center"/>
                        <w:rPr>
                          <w:rFonts w:hint="eastAsia" w:eastAsiaTheme="minorEastAsia"/>
                          <w:lang w:eastAsia="zh-CN"/>
                        </w:rPr>
                      </w:pPr>
                      <w:r>
                        <w:t>法定代表人身份证</w:t>
                      </w:r>
                      <w:r>
                        <w:rPr>
                          <w:rFonts w:hint="eastAsia"/>
                          <w:lang w:val="en-US" w:eastAsia="zh-CN"/>
                        </w:rPr>
                        <w:t>正反面</w:t>
                      </w:r>
                      <w:r>
                        <w:rPr>
                          <w:rFonts w:hint="eastAsia"/>
                          <w:lang w:eastAsia="zh-CN"/>
                        </w:rPr>
                        <w:t>扫描件</w:t>
                      </w:r>
                    </w:p>
                  </w:txbxContent>
                </v:textbox>
              </v:shape>
            </w:pict>
          </mc:Fallback>
        </mc:AlternateContent>
      </w:r>
    </w:p>
    <w:p w14:paraId="71488E42">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58F124AA">
      <w:pPr>
        <w:pStyle w:val="52"/>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002C764A">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5EEA1C45">
      <w:pPr>
        <w:pStyle w:val="52"/>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4E521C3E">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4274A247">
      <w:pPr>
        <w:pStyle w:val="52"/>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600DEF59">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631D6724">
      <w:pPr>
        <w:pStyle w:val="52"/>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217FCAC1">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728B5718">
      <w:pPr>
        <w:spacing w:line="360" w:lineRule="auto"/>
        <w:jc w:val="center"/>
        <w:outlineLvl w:val="2"/>
        <w:rPr>
          <w:rFonts w:hint="eastAsia" w:ascii="华文仿宋" w:hAnsi="华文仿宋" w:eastAsia="华文仿宋" w:cs="华文仿宋"/>
          <w:color w:val="auto"/>
          <w:sz w:val="21"/>
          <w:szCs w:val="21"/>
          <w:highlight w:val="none"/>
        </w:rPr>
      </w:pPr>
      <w:bookmarkStart w:id="846" w:name="_Toc417567988"/>
      <w:bookmarkStart w:id="847" w:name="_Toc414956971"/>
      <w:r>
        <w:rPr>
          <w:rFonts w:hint="eastAsia" w:ascii="华文仿宋" w:hAnsi="华文仿宋" w:eastAsia="华文仿宋" w:cs="华文仿宋"/>
          <w:b/>
          <w:color w:val="auto"/>
          <w:sz w:val="32"/>
          <w:szCs w:val="32"/>
        </w:rPr>
        <w:t>（二）法定代表人授权委托书</w:t>
      </w:r>
      <w:bookmarkEnd w:id="846"/>
      <w:bookmarkEnd w:id="847"/>
    </w:p>
    <w:p w14:paraId="54A149E9">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62EF0A2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本人</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 xml:space="preserve">（姓名）系 </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（供应商名称）的法定代表人，现委托（姓名）</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为我方代理人。代理人根据授权，以我方名义签署、澄清、说明、补正、递交、撤回、修改（项目名称）响应文件、签订合同和处理有关事宜，其法律后果由我方承担。</w:t>
      </w:r>
    </w:p>
    <w:p w14:paraId="0B03CDA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委托期限：自本委托书签署之日起至磋商有效期期满。代理人无转委托权。</w:t>
      </w:r>
    </w:p>
    <w:p w14:paraId="3B07F90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p>
    <w:p w14:paraId="54BED3B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供应商：</w:t>
      </w:r>
      <w:r>
        <w:rPr>
          <w:rFonts w:hint="eastAsia" w:ascii="华文仿宋" w:hAnsi="华文仿宋" w:eastAsia="华文仿宋" w:cs="华文仿宋"/>
          <w:color w:val="auto"/>
          <w:sz w:val="21"/>
          <w:szCs w:val="21"/>
          <w:highlight w:val="none"/>
          <w:u w:val="single"/>
        </w:rPr>
        <w:t xml:space="preserve"> </w:t>
      </w:r>
      <w:r>
        <w:rPr>
          <w:rFonts w:hint="eastAsia" w:ascii="华文仿宋" w:hAnsi="华文仿宋" w:eastAsia="华文仿宋" w:cs="华文仿宋"/>
          <w:color w:val="auto"/>
          <w:sz w:val="21"/>
          <w:szCs w:val="21"/>
          <w:highlight w:val="none"/>
          <w:u w:val="single"/>
        </w:rPr>
        <w:tab/>
      </w:r>
      <w:r>
        <w:rPr>
          <w:rFonts w:hint="eastAsia" w:ascii="华文仿宋" w:hAnsi="华文仿宋" w:eastAsia="华文仿宋" w:cs="华文仿宋"/>
          <w:color w:val="auto"/>
          <w:sz w:val="21"/>
          <w:szCs w:val="21"/>
          <w:highlight w:val="none"/>
          <w:u w:val="single"/>
        </w:rPr>
        <w:tab/>
      </w:r>
      <w:r>
        <w:rPr>
          <w:rFonts w:hint="eastAsia" w:ascii="华文仿宋" w:hAnsi="华文仿宋" w:eastAsia="华文仿宋" w:cs="华文仿宋"/>
          <w:color w:val="auto"/>
          <w:sz w:val="21"/>
          <w:szCs w:val="21"/>
          <w:highlight w:val="none"/>
          <w:u w:val="single"/>
        </w:rPr>
        <w:t>（单位电子签章</w:t>
      </w:r>
      <w:r>
        <w:rPr>
          <w:rFonts w:hint="eastAsia" w:ascii="华文仿宋" w:hAnsi="华文仿宋" w:eastAsia="华文仿宋" w:cs="华文仿宋"/>
          <w:color w:val="auto"/>
          <w:sz w:val="21"/>
          <w:szCs w:val="21"/>
          <w:highlight w:val="none"/>
          <w:u w:val="single"/>
          <w:lang w:val="en-US" w:eastAsia="zh-CN"/>
        </w:rPr>
        <w:t>或盖章</w:t>
      </w:r>
      <w:r>
        <w:rPr>
          <w:rFonts w:hint="eastAsia" w:ascii="华文仿宋" w:hAnsi="华文仿宋" w:eastAsia="华文仿宋" w:cs="华文仿宋"/>
          <w:color w:val="auto"/>
          <w:sz w:val="21"/>
          <w:szCs w:val="21"/>
          <w:highlight w:val="none"/>
          <w:u w:val="single"/>
        </w:rPr>
        <w:t>）</w:t>
      </w:r>
      <w:r>
        <w:rPr>
          <w:rFonts w:hint="eastAsia" w:ascii="华文仿宋" w:hAnsi="华文仿宋" w:eastAsia="华文仿宋" w:cs="华文仿宋"/>
          <w:color w:val="auto"/>
          <w:sz w:val="21"/>
          <w:szCs w:val="21"/>
          <w:highlight w:val="none"/>
        </w:rPr>
        <w:t xml:space="preserve"> </w:t>
      </w:r>
    </w:p>
    <w:p w14:paraId="686BB34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u w:val="none"/>
        </w:rPr>
      </w:pPr>
      <w:r>
        <w:rPr>
          <w:rFonts w:hint="eastAsia" w:ascii="华文仿宋" w:hAnsi="华文仿宋" w:eastAsia="华文仿宋" w:cs="华文仿宋"/>
          <w:color w:val="auto"/>
          <w:sz w:val="21"/>
          <w:szCs w:val="21"/>
          <w:highlight w:val="none"/>
        </w:rPr>
        <w:t>法定代表人：</w:t>
      </w:r>
      <w:r>
        <w:rPr>
          <w:rFonts w:hint="eastAsia" w:ascii="华文仿宋" w:hAnsi="华文仿宋" w:eastAsia="华文仿宋" w:cs="华文仿宋"/>
          <w:color w:val="auto"/>
          <w:sz w:val="21"/>
          <w:szCs w:val="21"/>
          <w:highlight w:val="none"/>
          <w:u w:val="single"/>
        </w:rPr>
        <w:t xml:space="preserve"> </w:t>
      </w:r>
      <w:r>
        <w:rPr>
          <w:rFonts w:hint="eastAsia" w:ascii="华文仿宋" w:hAnsi="华文仿宋" w:eastAsia="华文仿宋" w:cs="华文仿宋"/>
          <w:color w:val="auto"/>
          <w:sz w:val="21"/>
          <w:szCs w:val="21"/>
          <w:highlight w:val="none"/>
          <w:u w:val="single"/>
        </w:rPr>
        <w:tab/>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u w:val="none"/>
          <w:lang w:val="en-US" w:eastAsia="zh-CN"/>
        </w:rPr>
        <w:t xml:space="preserve"> </w:t>
      </w:r>
      <w:r>
        <w:rPr>
          <w:rFonts w:hint="eastAsia" w:ascii="华文仿宋" w:hAnsi="华文仿宋" w:eastAsia="华文仿宋" w:cs="华文仿宋"/>
          <w:color w:val="auto"/>
          <w:sz w:val="21"/>
          <w:szCs w:val="21"/>
          <w:highlight w:val="none"/>
          <w:u w:val="none"/>
        </w:rPr>
        <w:t>（</w:t>
      </w:r>
      <w:r>
        <w:rPr>
          <w:rFonts w:hint="eastAsia" w:ascii="华文仿宋" w:hAnsi="华文仿宋" w:eastAsia="华文仿宋" w:cs="华文仿宋"/>
          <w:color w:val="auto"/>
          <w:kern w:val="0"/>
          <w:szCs w:val="21"/>
          <w:u w:val="none"/>
          <w:lang w:val="en-US" w:eastAsia="zh-CN"/>
        </w:rPr>
        <w:t>签字或盖章或</w:t>
      </w:r>
      <w:r>
        <w:rPr>
          <w:rFonts w:hint="eastAsia" w:ascii="华文仿宋" w:hAnsi="华文仿宋" w:eastAsia="华文仿宋" w:cs="华文仿宋"/>
          <w:color w:val="auto"/>
          <w:kern w:val="0"/>
          <w:szCs w:val="21"/>
          <w:u w:val="none"/>
        </w:rPr>
        <w:t>电子签名</w:t>
      </w:r>
      <w:r>
        <w:rPr>
          <w:rFonts w:hint="eastAsia" w:ascii="华文仿宋" w:hAnsi="华文仿宋" w:eastAsia="华文仿宋" w:cs="华文仿宋"/>
          <w:color w:val="auto"/>
          <w:sz w:val="21"/>
          <w:szCs w:val="21"/>
          <w:highlight w:val="none"/>
          <w:u w:val="none"/>
        </w:rPr>
        <w:t>）</w:t>
      </w:r>
    </w:p>
    <w:p w14:paraId="0DE7B98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rPr>
        <w:t xml:space="preserve">身份证号码： </w:t>
      </w:r>
      <w:r>
        <w:rPr>
          <w:rFonts w:hint="eastAsia" w:ascii="华文仿宋" w:hAnsi="华文仿宋" w:eastAsia="华文仿宋" w:cs="华文仿宋"/>
          <w:color w:val="auto"/>
          <w:sz w:val="21"/>
          <w:szCs w:val="21"/>
          <w:highlight w:val="none"/>
          <w:u w:val="single"/>
        </w:rPr>
        <w:tab/>
      </w:r>
      <w:r>
        <w:rPr>
          <w:rFonts w:hint="eastAsia" w:ascii="华文仿宋" w:hAnsi="华文仿宋" w:eastAsia="华文仿宋" w:cs="华文仿宋"/>
          <w:color w:val="auto"/>
          <w:sz w:val="21"/>
          <w:szCs w:val="21"/>
          <w:highlight w:val="none"/>
          <w:u w:val="single"/>
          <w:lang w:val="en-US" w:eastAsia="zh-CN"/>
        </w:rPr>
        <w:t xml:space="preserve">                           </w:t>
      </w:r>
    </w:p>
    <w:p w14:paraId="62D7812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委托代理人：</w:t>
      </w:r>
      <w:r>
        <w:rPr>
          <w:rFonts w:hint="eastAsia" w:ascii="华文仿宋" w:hAnsi="华文仿宋" w:eastAsia="华文仿宋" w:cs="华文仿宋"/>
          <w:color w:val="auto"/>
          <w:sz w:val="21"/>
          <w:szCs w:val="21"/>
          <w:highlight w:val="none"/>
          <w:u w:val="single"/>
        </w:rPr>
        <w:t xml:space="preserve">          </w:t>
      </w:r>
      <w:r>
        <w:rPr>
          <w:rFonts w:hint="eastAsia" w:ascii="华文仿宋" w:hAnsi="华文仿宋" w:eastAsia="华文仿宋" w:cs="华文仿宋"/>
          <w:color w:val="auto"/>
          <w:sz w:val="21"/>
          <w:szCs w:val="21"/>
          <w:highlight w:val="none"/>
          <w:u w:val="single"/>
        </w:rPr>
        <w:tab/>
      </w:r>
      <w:r>
        <w:rPr>
          <w:rFonts w:hint="eastAsia" w:ascii="华文仿宋" w:hAnsi="华文仿宋" w:eastAsia="华文仿宋" w:cs="华文仿宋"/>
          <w:color w:val="auto"/>
          <w:szCs w:val="21"/>
          <w:highlight w:val="none"/>
          <w:u w:val="single"/>
        </w:rPr>
        <w:t>（</w:t>
      </w:r>
      <w:r>
        <w:rPr>
          <w:rFonts w:hint="eastAsia" w:ascii="华文仿宋" w:hAnsi="华文仿宋" w:eastAsia="华文仿宋" w:cs="华文仿宋"/>
          <w:color w:val="auto"/>
          <w:kern w:val="0"/>
          <w:szCs w:val="21"/>
          <w:u w:val="single"/>
          <w:lang w:val="en-US" w:eastAsia="zh-CN"/>
        </w:rPr>
        <w:t>签字或盖章或</w:t>
      </w:r>
      <w:r>
        <w:rPr>
          <w:rFonts w:hint="eastAsia" w:ascii="华文仿宋" w:hAnsi="华文仿宋" w:eastAsia="华文仿宋" w:cs="华文仿宋"/>
          <w:color w:val="auto"/>
          <w:kern w:val="0"/>
          <w:szCs w:val="21"/>
          <w:u w:val="single"/>
        </w:rPr>
        <w:t>电子签名</w:t>
      </w:r>
      <w:r>
        <w:rPr>
          <w:rFonts w:hint="eastAsia" w:ascii="华文仿宋" w:hAnsi="华文仿宋" w:eastAsia="华文仿宋" w:cs="华文仿宋"/>
          <w:color w:val="auto"/>
          <w:szCs w:val="21"/>
          <w:highlight w:val="none"/>
          <w:u w:val="single"/>
        </w:rPr>
        <w:t>）</w:t>
      </w:r>
    </w:p>
    <w:p w14:paraId="609D879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lang w:val="en-US" w:eastAsia="zh-CN"/>
        </w:rPr>
      </w:pPr>
      <w:r>
        <w:rPr>
          <w:rFonts w:hint="eastAsia" w:ascii="华文仿宋" w:hAnsi="华文仿宋" w:eastAsia="华文仿宋" w:cs="华文仿宋"/>
          <w:color w:val="auto"/>
          <w:sz w:val="21"/>
          <w:szCs w:val="21"/>
          <w:highlight w:val="none"/>
        </w:rPr>
        <w:t>身份证号码：</w:t>
      </w:r>
      <w:r>
        <w:rPr>
          <w:rFonts w:hint="eastAsia" w:ascii="华文仿宋" w:hAnsi="华文仿宋" w:eastAsia="华文仿宋" w:cs="华文仿宋"/>
          <w:color w:val="auto"/>
          <w:sz w:val="21"/>
          <w:szCs w:val="21"/>
          <w:highlight w:val="none"/>
          <w:u w:val="single"/>
        </w:rPr>
        <w:t xml:space="preserve"> </w:t>
      </w:r>
      <w:r>
        <w:rPr>
          <w:rFonts w:hint="eastAsia" w:ascii="华文仿宋" w:hAnsi="华文仿宋" w:eastAsia="华文仿宋" w:cs="华文仿宋"/>
          <w:color w:val="auto"/>
          <w:sz w:val="21"/>
          <w:szCs w:val="21"/>
          <w:highlight w:val="none"/>
          <w:u w:val="single"/>
          <w:lang w:val="en-US" w:eastAsia="zh-CN"/>
        </w:rPr>
        <w:t xml:space="preserve">                            </w:t>
      </w:r>
    </w:p>
    <w:p w14:paraId="6E9ED06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ab/>
      </w:r>
    </w:p>
    <w:p w14:paraId="14384B13">
      <w:pPr>
        <w:keepNext w:val="0"/>
        <w:keepLines w:val="0"/>
        <w:pageBreakBefore w:val="0"/>
        <w:widowControl w:val="0"/>
        <w:kinsoku/>
        <w:wordWrap w:val="0"/>
        <w:overflowPunct/>
        <w:topLinePunct/>
        <w:bidi w:val="0"/>
        <w:snapToGrid/>
        <w:spacing w:line="360" w:lineRule="auto"/>
        <w:ind w:firstLine="840" w:firstLineChars="4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年</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月</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日</w:t>
      </w:r>
    </w:p>
    <w:p w14:paraId="59A4E917">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01D1F3D1">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266065</wp:posOffset>
                </wp:positionH>
                <wp:positionV relativeFrom="paragraph">
                  <wp:posOffset>3175</wp:posOffset>
                </wp:positionV>
                <wp:extent cx="5184140" cy="1905000"/>
                <wp:effectExtent l="4445" t="4445" r="12065" b="14605"/>
                <wp:wrapNone/>
                <wp:docPr id="1" name="文本框 1"/>
                <wp:cNvGraphicFramePr/>
                <a:graphic xmlns:a="http://schemas.openxmlformats.org/drawingml/2006/main">
                  <a:graphicData uri="http://schemas.microsoft.com/office/word/2010/wordprocessingShape">
                    <wps:wsp>
                      <wps:cNvSpPr txBox="1"/>
                      <wps:spPr>
                        <a:xfrm>
                          <a:off x="1409065" y="7059295"/>
                          <a:ext cx="5184140" cy="1905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FD88121">
                            <w:pPr>
                              <w:jc w:val="center"/>
                            </w:pPr>
                          </w:p>
                          <w:p w14:paraId="5A119859">
                            <w:pPr>
                              <w:pStyle w:val="52"/>
                            </w:pPr>
                          </w:p>
                          <w:p w14:paraId="3DB0D427">
                            <w:pPr>
                              <w:jc w:val="center"/>
                            </w:pPr>
                          </w:p>
                          <w:p w14:paraId="315B6424">
                            <w:pPr>
                              <w:jc w:val="center"/>
                            </w:pPr>
                          </w:p>
                          <w:p w14:paraId="78308E62">
                            <w:pPr>
                              <w:jc w:val="center"/>
                              <w:rPr>
                                <w:rFonts w:hint="eastAsia" w:eastAsiaTheme="minorEastAsia"/>
                                <w:lang w:eastAsia="zh-CN"/>
                              </w:rPr>
                            </w:pPr>
                            <w:r>
                              <w:rPr>
                                <w:rFonts w:hint="eastAsia" w:ascii="宋体" w:hAnsi="宋体"/>
                                <w:color w:val="auto"/>
                                <w:szCs w:val="21"/>
                                <w:highlight w:val="none"/>
                              </w:rPr>
                              <w:t>附法定代表人及授权委托人身份证</w:t>
                            </w:r>
                            <w:r>
                              <w:rPr>
                                <w:rFonts w:hint="eastAsia" w:ascii="宋体" w:hAnsi="宋体"/>
                                <w:color w:val="auto"/>
                                <w:szCs w:val="21"/>
                                <w:highlight w:val="none"/>
                                <w:lang w:val="en-US" w:eastAsia="zh-CN"/>
                              </w:rPr>
                              <w:t>正反面</w:t>
                            </w:r>
                            <w:r>
                              <w:rPr>
                                <w:rFonts w:hint="eastAsia"/>
                                <w:lang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95pt;margin-top:0.25pt;height:150pt;width:408.2pt;z-index:251661312;mso-width-relative:page;mso-height-relative:page;" fillcolor="#FFFFFF [3201]" filled="t" stroked="t" coordsize="21600,21600" o:gfxdata="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LmmNdQAAAAHAQAADwAAAAAAAAABACAAAAAiAAAAZHJzL2Rvd25yZXYueG1sUEsBAhQAFAAA&#10;AAgAh07iQLst7d5lAgAAxAQAAA4AAAAAAAAAAQAgAAAAIwEAAGRycy9lMm9Eb2MueG1sUEsFBgAA&#10;AAAGAAYAWQEAAPoFAAAAAA==&#10;">
                <v:fill on="t" focussize="0,0"/>
                <v:stroke weight="0.5pt" color="#000000 [3204]" joinstyle="round"/>
                <v:imagedata o:title=""/>
                <o:lock v:ext="edit" aspectratio="f"/>
                <v:textbox>
                  <w:txbxContent>
                    <w:p w14:paraId="1FD88121">
                      <w:pPr>
                        <w:jc w:val="center"/>
                      </w:pPr>
                    </w:p>
                    <w:p w14:paraId="5A119859">
                      <w:pPr>
                        <w:pStyle w:val="52"/>
                      </w:pPr>
                    </w:p>
                    <w:p w14:paraId="3DB0D427">
                      <w:pPr>
                        <w:jc w:val="center"/>
                      </w:pPr>
                    </w:p>
                    <w:p w14:paraId="315B6424">
                      <w:pPr>
                        <w:jc w:val="center"/>
                      </w:pPr>
                    </w:p>
                    <w:p w14:paraId="78308E62">
                      <w:pPr>
                        <w:jc w:val="center"/>
                        <w:rPr>
                          <w:rFonts w:hint="eastAsia" w:eastAsiaTheme="minorEastAsia"/>
                          <w:lang w:eastAsia="zh-CN"/>
                        </w:rPr>
                      </w:pPr>
                      <w:r>
                        <w:rPr>
                          <w:rFonts w:hint="eastAsia" w:ascii="宋体" w:hAnsi="宋体"/>
                          <w:color w:val="auto"/>
                          <w:szCs w:val="21"/>
                          <w:highlight w:val="none"/>
                        </w:rPr>
                        <w:t>附法定代表人及授权委托人身份证</w:t>
                      </w:r>
                      <w:r>
                        <w:rPr>
                          <w:rFonts w:hint="eastAsia" w:ascii="宋体" w:hAnsi="宋体"/>
                          <w:color w:val="auto"/>
                          <w:szCs w:val="21"/>
                          <w:highlight w:val="none"/>
                          <w:lang w:val="en-US" w:eastAsia="zh-CN"/>
                        </w:rPr>
                        <w:t>正反面</w:t>
                      </w:r>
                      <w:r>
                        <w:rPr>
                          <w:rFonts w:hint="eastAsia"/>
                          <w:lang w:eastAsia="zh-CN"/>
                        </w:rPr>
                        <w:t>扫描件</w:t>
                      </w:r>
                    </w:p>
                  </w:txbxContent>
                </v:textbox>
              </v:shape>
            </w:pict>
          </mc:Fallback>
        </mc:AlternateContent>
      </w:r>
    </w:p>
    <w:p w14:paraId="1E1A3746">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73195DC2">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3DFBFFDE">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6F669780">
      <w:pPr>
        <w:pStyle w:val="52"/>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3C40C00B">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5359D078">
      <w:pPr>
        <w:pStyle w:val="52"/>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3B9541EB">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5DD37227">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2362AF9F">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0FC69CC9">
      <w:pPr>
        <w:pStyle w:val="41"/>
        <w:rPr>
          <w:rFonts w:hint="eastAsia" w:ascii="华文仿宋" w:hAnsi="华文仿宋" w:eastAsia="华文仿宋" w:cs="华文仿宋"/>
          <w:color w:val="auto"/>
        </w:rPr>
      </w:pPr>
    </w:p>
    <w:p w14:paraId="22D04CB7">
      <w:pPr>
        <w:pStyle w:val="7"/>
        <w:rPr>
          <w:rFonts w:hint="eastAsia" w:ascii="华文仿宋" w:hAnsi="华文仿宋" w:eastAsia="华文仿宋" w:cs="华文仿宋"/>
          <w:color w:val="auto"/>
        </w:rPr>
      </w:pPr>
    </w:p>
    <w:p w14:paraId="475A77DC">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3F073EFA">
      <w:pPr>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p w14:paraId="47C2C71C">
      <w:pPr>
        <w:numPr>
          <w:ilvl w:val="0"/>
          <w:numId w:val="0"/>
        </w:numPr>
        <w:spacing w:line="400" w:lineRule="exact"/>
        <w:jc w:val="center"/>
        <w:outlineLvl w:val="1"/>
        <w:rPr>
          <w:rFonts w:hint="eastAsia" w:ascii="华文仿宋" w:hAnsi="华文仿宋" w:eastAsia="华文仿宋" w:cs="华文仿宋"/>
          <w:b/>
          <w:color w:val="auto"/>
          <w:sz w:val="30"/>
          <w:szCs w:val="30"/>
          <w:highlight w:val="none"/>
        </w:rPr>
      </w:pPr>
      <w:r>
        <w:rPr>
          <w:rFonts w:hint="eastAsia" w:ascii="华文仿宋" w:hAnsi="华文仿宋" w:eastAsia="华文仿宋" w:cs="华文仿宋"/>
          <w:b/>
          <w:bCs w:val="0"/>
          <w:color w:val="auto"/>
          <w:sz w:val="30"/>
          <w:szCs w:val="30"/>
          <w:highlight w:val="none"/>
          <w:lang w:val="en-US" w:eastAsia="zh-CN"/>
        </w:rPr>
        <w:t>三、</w:t>
      </w:r>
      <w:r>
        <w:rPr>
          <w:rFonts w:hint="eastAsia" w:ascii="华文仿宋" w:hAnsi="华文仿宋" w:eastAsia="华文仿宋" w:cs="华文仿宋"/>
          <w:b/>
          <w:bCs w:val="0"/>
          <w:color w:val="auto"/>
          <w:sz w:val="30"/>
          <w:szCs w:val="30"/>
          <w:highlight w:val="none"/>
          <w:lang w:eastAsia="zh-CN"/>
        </w:rPr>
        <w:t>采购服务内容及要求偏离表</w:t>
      </w:r>
    </w:p>
    <w:p w14:paraId="79D439D1">
      <w:pPr>
        <w:pStyle w:val="7"/>
        <w:rPr>
          <w:rFonts w:hint="eastAsia" w:ascii="华文仿宋" w:hAnsi="华文仿宋" w:eastAsia="华文仿宋" w:cs="华文仿宋"/>
          <w:color w:val="auto"/>
          <w:highlight w:val="cyan"/>
        </w:rPr>
      </w:pPr>
    </w:p>
    <w:p w14:paraId="7D20A8BC">
      <w:pPr>
        <w:pStyle w:val="24"/>
        <w:spacing w:line="360" w:lineRule="auto"/>
        <w:ind w:left="0" w:leftChars="0" w:firstLine="0" w:firstLineChars="0"/>
        <w:jc w:val="center"/>
        <w:rPr>
          <w:rFonts w:hint="eastAsia" w:ascii="华文仿宋" w:hAnsi="华文仿宋" w:eastAsia="华文仿宋" w:cs="华文仿宋"/>
          <w:color w:val="auto"/>
          <w:szCs w:val="21"/>
        </w:rPr>
      </w:pPr>
      <w:r>
        <w:rPr>
          <w:rFonts w:hint="eastAsia" w:ascii="华文仿宋" w:hAnsi="华文仿宋" w:eastAsia="华文仿宋" w:cs="华文仿宋"/>
          <w:color w:val="auto"/>
          <w:sz w:val="21"/>
          <w:szCs w:val="21"/>
        </w:rPr>
        <w:t>（</w:t>
      </w:r>
      <w:r>
        <w:rPr>
          <w:rFonts w:hint="eastAsia" w:ascii="华文仿宋" w:hAnsi="华文仿宋" w:eastAsia="华文仿宋" w:cs="华文仿宋"/>
          <w:color w:val="auto"/>
          <w:sz w:val="21"/>
          <w:szCs w:val="21"/>
          <w:lang w:val="en-US"/>
        </w:rPr>
        <w:t>根据实际情况进行填写</w:t>
      </w:r>
      <w:r>
        <w:rPr>
          <w:rFonts w:hint="eastAsia" w:ascii="华文仿宋" w:hAnsi="华文仿宋" w:eastAsia="华文仿宋" w:cs="华文仿宋"/>
          <w:color w:val="auto"/>
          <w:sz w:val="21"/>
          <w:szCs w:val="21"/>
        </w:rPr>
        <w:t>）</w:t>
      </w:r>
      <w:r>
        <w:rPr>
          <w:rFonts w:hint="eastAsia" w:ascii="华文仿宋" w:hAnsi="华文仿宋" w:eastAsia="华文仿宋" w:cs="华文仿宋"/>
          <w:color w:val="auto"/>
          <w:szCs w:val="21"/>
        </w:rPr>
        <w:t xml:space="preserve">        </w:t>
      </w:r>
    </w:p>
    <w:tbl>
      <w:tblPr>
        <w:tblStyle w:val="25"/>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3300"/>
        <w:gridCol w:w="2910"/>
        <w:gridCol w:w="1569"/>
      </w:tblGrid>
      <w:tr w14:paraId="34C8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14:paraId="42E29E04">
            <w:pPr>
              <w:pageBreakBefore w:val="0"/>
              <w:numPr>
                <w:ilvl w:val="0"/>
                <w:numId w:val="0"/>
              </w:numPr>
              <w:kinsoku/>
              <w:topLinePunct w:val="0"/>
              <w:bidi w:val="0"/>
              <w:spacing w:line="360" w:lineRule="auto"/>
              <w:ind w:left="420" w:leftChars="0"/>
              <w:jc w:val="both"/>
              <w:textAlignment w:val="auto"/>
              <w:rPr>
                <w:rFonts w:hint="eastAsia" w:ascii="华文仿宋" w:hAnsi="华文仿宋" w:eastAsia="华文仿宋" w:cs="华文仿宋"/>
                <w:b/>
                <w:color w:val="auto"/>
                <w:sz w:val="21"/>
                <w:szCs w:val="21"/>
                <w:lang w:val="en-US" w:eastAsia="zh-CN"/>
              </w:rPr>
            </w:pPr>
            <w:r>
              <w:rPr>
                <w:rFonts w:hint="eastAsia" w:ascii="华文仿宋" w:hAnsi="华文仿宋" w:eastAsia="华文仿宋" w:cs="华文仿宋"/>
                <w:b/>
                <w:color w:val="auto"/>
                <w:sz w:val="21"/>
                <w:szCs w:val="21"/>
                <w:lang w:val="en-US" w:eastAsia="zh-CN"/>
              </w:rPr>
              <w:t>序号</w:t>
            </w:r>
          </w:p>
        </w:tc>
        <w:tc>
          <w:tcPr>
            <w:tcW w:w="3300" w:type="dxa"/>
            <w:tcBorders>
              <w:top w:val="single" w:color="auto" w:sz="4" w:space="0"/>
              <w:left w:val="single" w:color="auto" w:sz="4" w:space="0"/>
              <w:bottom w:val="single" w:color="auto" w:sz="4" w:space="0"/>
              <w:right w:val="single" w:color="auto" w:sz="4" w:space="0"/>
            </w:tcBorders>
            <w:vAlign w:val="center"/>
          </w:tcPr>
          <w:p w14:paraId="0CE39BB6">
            <w:pPr>
              <w:pageBreakBefore w:val="0"/>
              <w:numPr>
                <w:ilvl w:val="0"/>
                <w:numId w:val="0"/>
              </w:numPr>
              <w:kinsoku/>
              <w:topLinePunct w:val="0"/>
              <w:bidi w:val="0"/>
              <w:spacing w:line="360" w:lineRule="auto"/>
              <w:ind w:left="420" w:leftChars="0"/>
              <w:jc w:val="both"/>
              <w:textAlignment w:val="auto"/>
              <w:rPr>
                <w:rFonts w:hint="eastAsia" w:ascii="华文仿宋" w:hAnsi="华文仿宋" w:eastAsia="华文仿宋" w:cs="华文仿宋"/>
                <w:b/>
                <w:color w:val="auto"/>
                <w:sz w:val="21"/>
                <w:szCs w:val="21"/>
                <w:lang w:val="en-US" w:eastAsia="zh-CN"/>
              </w:rPr>
            </w:pPr>
            <w:r>
              <w:rPr>
                <w:rFonts w:hint="eastAsia" w:ascii="华文仿宋" w:hAnsi="华文仿宋" w:eastAsia="华文仿宋" w:cs="华文仿宋"/>
                <w:b/>
                <w:color w:val="auto"/>
                <w:sz w:val="21"/>
                <w:szCs w:val="21"/>
                <w:lang w:val="en-US" w:eastAsia="zh-CN"/>
              </w:rPr>
              <w:t>采购服务内容及要求</w:t>
            </w:r>
          </w:p>
        </w:tc>
        <w:tc>
          <w:tcPr>
            <w:tcW w:w="2910" w:type="dxa"/>
            <w:tcBorders>
              <w:top w:val="single" w:color="auto" w:sz="4" w:space="0"/>
              <w:left w:val="single" w:color="auto" w:sz="4" w:space="0"/>
              <w:bottom w:val="single" w:color="auto" w:sz="4" w:space="0"/>
              <w:right w:val="single" w:color="auto" w:sz="4" w:space="0"/>
            </w:tcBorders>
            <w:vAlign w:val="center"/>
          </w:tcPr>
          <w:p w14:paraId="3A290E63">
            <w:pPr>
              <w:pageBreakBefore w:val="0"/>
              <w:numPr>
                <w:ilvl w:val="0"/>
                <w:numId w:val="0"/>
              </w:numPr>
              <w:kinsoku/>
              <w:topLinePunct w:val="0"/>
              <w:bidi w:val="0"/>
              <w:spacing w:line="360" w:lineRule="auto"/>
              <w:ind w:left="420" w:leftChars="0"/>
              <w:jc w:val="both"/>
              <w:textAlignment w:val="auto"/>
              <w:rPr>
                <w:rFonts w:hint="eastAsia" w:ascii="华文仿宋" w:hAnsi="华文仿宋" w:eastAsia="华文仿宋" w:cs="华文仿宋"/>
                <w:b/>
                <w:color w:val="auto"/>
                <w:sz w:val="21"/>
                <w:szCs w:val="21"/>
                <w:lang w:val="en-US" w:eastAsia="zh-CN"/>
              </w:rPr>
            </w:pPr>
            <w:r>
              <w:rPr>
                <w:rFonts w:hint="eastAsia" w:ascii="华文仿宋" w:hAnsi="华文仿宋" w:eastAsia="华文仿宋" w:cs="华文仿宋"/>
                <w:b/>
                <w:color w:val="auto"/>
                <w:sz w:val="21"/>
                <w:szCs w:val="21"/>
                <w:lang w:val="en-US" w:eastAsia="zh-CN"/>
              </w:rPr>
              <w:t>投标服务内容及要求</w:t>
            </w:r>
          </w:p>
        </w:tc>
        <w:tc>
          <w:tcPr>
            <w:tcW w:w="1569" w:type="dxa"/>
            <w:tcBorders>
              <w:top w:val="single" w:color="auto" w:sz="4" w:space="0"/>
              <w:left w:val="single" w:color="auto" w:sz="4" w:space="0"/>
              <w:bottom w:val="single" w:color="auto" w:sz="4" w:space="0"/>
              <w:right w:val="single" w:color="auto" w:sz="4" w:space="0"/>
            </w:tcBorders>
            <w:vAlign w:val="center"/>
          </w:tcPr>
          <w:p w14:paraId="22E2FC59">
            <w:pPr>
              <w:pageBreakBefore w:val="0"/>
              <w:numPr>
                <w:ilvl w:val="0"/>
                <w:numId w:val="0"/>
              </w:numPr>
              <w:kinsoku/>
              <w:topLinePunct w:val="0"/>
              <w:bidi w:val="0"/>
              <w:spacing w:line="360" w:lineRule="auto"/>
              <w:ind w:left="420" w:leftChars="0"/>
              <w:jc w:val="both"/>
              <w:textAlignment w:val="auto"/>
              <w:rPr>
                <w:rFonts w:hint="eastAsia" w:ascii="华文仿宋" w:hAnsi="华文仿宋" w:eastAsia="华文仿宋" w:cs="华文仿宋"/>
                <w:b/>
                <w:color w:val="auto"/>
                <w:sz w:val="21"/>
                <w:szCs w:val="21"/>
                <w:lang w:val="en-US" w:eastAsia="zh-CN"/>
              </w:rPr>
            </w:pPr>
            <w:r>
              <w:rPr>
                <w:rFonts w:hint="eastAsia" w:ascii="华文仿宋" w:hAnsi="华文仿宋" w:eastAsia="华文仿宋" w:cs="华文仿宋"/>
                <w:b/>
                <w:color w:val="auto"/>
                <w:sz w:val="21"/>
                <w:szCs w:val="21"/>
                <w:lang w:val="en-US" w:eastAsia="zh-CN"/>
              </w:rPr>
              <w:t>偏离说明</w:t>
            </w:r>
          </w:p>
        </w:tc>
      </w:tr>
      <w:tr w14:paraId="7B24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vAlign w:val="top"/>
          </w:tcPr>
          <w:p w14:paraId="269EB7FF">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vAlign w:val="top"/>
          </w:tcPr>
          <w:p w14:paraId="674D5905">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vAlign w:val="top"/>
          </w:tcPr>
          <w:p w14:paraId="180B6C15">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vAlign w:val="top"/>
          </w:tcPr>
          <w:p w14:paraId="45504F80">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r>
      <w:tr w14:paraId="5E6A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16" w:type="dxa"/>
            <w:tcBorders>
              <w:top w:val="single" w:color="auto" w:sz="4" w:space="0"/>
              <w:left w:val="single" w:color="auto" w:sz="4" w:space="0"/>
              <w:bottom w:val="single" w:color="auto" w:sz="4" w:space="0"/>
              <w:right w:val="single" w:color="auto" w:sz="4" w:space="0"/>
            </w:tcBorders>
            <w:vAlign w:val="top"/>
          </w:tcPr>
          <w:p w14:paraId="6EAAAFE4">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vAlign w:val="top"/>
          </w:tcPr>
          <w:p w14:paraId="3B81D7A0">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vAlign w:val="top"/>
          </w:tcPr>
          <w:p w14:paraId="5A8E4206">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vAlign w:val="top"/>
          </w:tcPr>
          <w:p w14:paraId="616A1F9C">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r>
      <w:tr w14:paraId="4091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vAlign w:val="top"/>
          </w:tcPr>
          <w:p w14:paraId="7606FEA8">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vAlign w:val="top"/>
          </w:tcPr>
          <w:p w14:paraId="6538E2E3">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vAlign w:val="top"/>
          </w:tcPr>
          <w:p w14:paraId="7246D61A">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vAlign w:val="top"/>
          </w:tcPr>
          <w:p w14:paraId="61D856DA">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r>
      <w:tr w14:paraId="2A17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vAlign w:val="top"/>
          </w:tcPr>
          <w:p w14:paraId="581437B9">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vAlign w:val="top"/>
          </w:tcPr>
          <w:p w14:paraId="0177BD87">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vAlign w:val="top"/>
          </w:tcPr>
          <w:p w14:paraId="39D3D2AD">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vAlign w:val="top"/>
          </w:tcPr>
          <w:p w14:paraId="22DF6366">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r>
      <w:tr w14:paraId="6CAE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vAlign w:val="top"/>
          </w:tcPr>
          <w:p w14:paraId="549C2F84">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vAlign w:val="top"/>
          </w:tcPr>
          <w:p w14:paraId="0A6A188D">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vAlign w:val="top"/>
          </w:tcPr>
          <w:p w14:paraId="703B6A43">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vAlign w:val="top"/>
          </w:tcPr>
          <w:p w14:paraId="23032DEB">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r>
      <w:tr w14:paraId="4B7A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vAlign w:val="top"/>
          </w:tcPr>
          <w:p w14:paraId="7AF34C5F">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vAlign w:val="top"/>
          </w:tcPr>
          <w:p w14:paraId="611413A3">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vAlign w:val="top"/>
          </w:tcPr>
          <w:p w14:paraId="68E26528">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vAlign w:val="top"/>
          </w:tcPr>
          <w:p w14:paraId="1B105AB4">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r>
      <w:tr w14:paraId="0264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vAlign w:val="top"/>
          </w:tcPr>
          <w:p w14:paraId="5BA1E485">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vAlign w:val="top"/>
          </w:tcPr>
          <w:p w14:paraId="07B99A35">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vAlign w:val="top"/>
          </w:tcPr>
          <w:p w14:paraId="471AC637">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vAlign w:val="top"/>
          </w:tcPr>
          <w:p w14:paraId="5A809307">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r>
      <w:tr w14:paraId="3E6C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vAlign w:val="top"/>
          </w:tcPr>
          <w:p w14:paraId="31B2F0C8">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vAlign w:val="top"/>
          </w:tcPr>
          <w:p w14:paraId="2B9B5B99">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vAlign w:val="top"/>
          </w:tcPr>
          <w:p w14:paraId="2C0657F0">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vAlign w:val="top"/>
          </w:tcPr>
          <w:p w14:paraId="20CC131D">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r>
      <w:tr w14:paraId="49FA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vAlign w:val="top"/>
          </w:tcPr>
          <w:p w14:paraId="694AE9CA">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vAlign w:val="top"/>
          </w:tcPr>
          <w:p w14:paraId="3D7DE561">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vAlign w:val="top"/>
          </w:tcPr>
          <w:p w14:paraId="65F5E2F4">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vAlign w:val="top"/>
          </w:tcPr>
          <w:p w14:paraId="0134DC95">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r>
      <w:tr w14:paraId="31D7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vAlign w:val="top"/>
          </w:tcPr>
          <w:p w14:paraId="256E921E">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vAlign w:val="top"/>
          </w:tcPr>
          <w:p w14:paraId="5DB61F45">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vAlign w:val="top"/>
          </w:tcPr>
          <w:p w14:paraId="4769DBE5">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vAlign w:val="top"/>
          </w:tcPr>
          <w:p w14:paraId="517C7FBF">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r>
      <w:tr w14:paraId="1567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16" w:type="dxa"/>
            <w:tcBorders>
              <w:top w:val="single" w:color="auto" w:sz="4" w:space="0"/>
              <w:left w:val="single" w:color="auto" w:sz="4" w:space="0"/>
              <w:bottom w:val="single" w:color="auto" w:sz="4" w:space="0"/>
              <w:right w:val="single" w:color="auto" w:sz="4" w:space="0"/>
            </w:tcBorders>
            <w:vAlign w:val="top"/>
          </w:tcPr>
          <w:p w14:paraId="7D926070">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vAlign w:val="top"/>
          </w:tcPr>
          <w:p w14:paraId="5075957F">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vAlign w:val="top"/>
          </w:tcPr>
          <w:p w14:paraId="7B285BA5">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vAlign w:val="top"/>
          </w:tcPr>
          <w:p w14:paraId="57E2AE2F">
            <w:pPr>
              <w:pageBreakBefore w:val="0"/>
              <w:numPr>
                <w:ilvl w:val="0"/>
                <w:numId w:val="0"/>
              </w:numPr>
              <w:kinsoku/>
              <w:topLinePunct w:val="0"/>
              <w:bidi w:val="0"/>
              <w:spacing w:line="400" w:lineRule="exact"/>
              <w:ind w:left="420" w:leftChars="0"/>
              <w:jc w:val="center"/>
              <w:textAlignment w:val="auto"/>
              <w:rPr>
                <w:rFonts w:hint="eastAsia" w:ascii="华文仿宋" w:hAnsi="华文仿宋" w:eastAsia="华文仿宋" w:cs="华文仿宋"/>
                <w:b/>
                <w:color w:val="auto"/>
                <w:sz w:val="21"/>
                <w:szCs w:val="21"/>
                <w:lang w:val="en-US" w:eastAsia="zh-CN"/>
              </w:rPr>
            </w:pPr>
          </w:p>
        </w:tc>
      </w:tr>
    </w:tbl>
    <w:p w14:paraId="77B934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200"/>
        <w:jc w:val="left"/>
        <w:textAlignment w:val="auto"/>
        <w:rPr>
          <w:rFonts w:hint="eastAsia" w:ascii="华文仿宋" w:hAnsi="华文仿宋" w:eastAsia="华文仿宋" w:cs="华文仿宋"/>
          <w:b/>
          <w:color w:val="auto"/>
          <w:sz w:val="21"/>
          <w:szCs w:val="21"/>
          <w:lang w:val="en-US" w:eastAsia="zh-CN"/>
        </w:rPr>
      </w:pPr>
      <w:r>
        <w:rPr>
          <w:rFonts w:hint="eastAsia" w:ascii="华文仿宋" w:hAnsi="华文仿宋" w:eastAsia="华文仿宋" w:cs="华文仿宋"/>
          <w:b/>
          <w:color w:val="auto"/>
          <w:sz w:val="21"/>
          <w:szCs w:val="21"/>
          <w:lang w:val="en-US" w:eastAsia="zh-CN"/>
        </w:rPr>
        <w:t>注：</w:t>
      </w:r>
    </w:p>
    <w:p w14:paraId="6E9507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200"/>
        <w:jc w:val="left"/>
        <w:textAlignment w:val="auto"/>
        <w:outlineLvl w:val="2"/>
        <w:rPr>
          <w:rFonts w:hint="eastAsia" w:ascii="华文仿宋" w:hAnsi="华文仿宋" w:eastAsia="华文仿宋" w:cs="华文仿宋"/>
          <w:b/>
          <w:color w:val="auto"/>
          <w:sz w:val="21"/>
          <w:szCs w:val="21"/>
          <w:lang w:val="en-US" w:eastAsia="zh-CN"/>
        </w:rPr>
      </w:pPr>
      <w:r>
        <w:rPr>
          <w:rFonts w:hint="eastAsia" w:ascii="华文仿宋" w:hAnsi="华文仿宋" w:eastAsia="华文仿宋" w:cs="华文仿宋"/>
          <w:b/>
          <w:color w:val="auto"/>
          <w:sz w:val="21"/>
          <w:szCs w:val="21"/>
          <w:lang w:val="en-US" w:eastAsia="zh-CN"/>
        </w:rPr>
        <w:t>1、投标人可根据招标项目情况，对表格进行调整。</w:t>
      </w:r>
    </w:p>
    <w:p w14:paraId="539609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200"/>
        <w:jc w:val="left"/>
        <w:textAlignment w:val="auto"/>
        <w:rPr>
          <w:rFonts w:hint="eastAsia" w:ascii="华文仿宋" w:hAnsi="华文仿宋" w:eastAsia="华文仿宋" w:cs="华文仿宋"/>
          <w:b/>
          <w:color w:val="auto"/>
          <w:sz w:val="21"/>
          <w:szCs w:val="21"/>
          <w:lang w:val="en-US" w:eastAsia="zh-CN"/>
        </w:rPr>
      </w:pPr>
      <w:r>
        <w:rPr>
          <w:rFonts w:hint="eastAsia" w:ascii="华文仿宋" w:hAnsi="华文仿宋" w:eastAsia="华文仿宋" w:cs="华文仿宋"/>
          <w:b/>
          <w:color w:val="auto"/>
          <w:sz w:val="21"/>
          <w:szCs w:val="21"/>
          <w:lang w:val="en-US" w:eastAsia="zh-CN"/>
        </w:rPr>
        <w:t xml:space="preserve">2、若投标人未列出但经审查确实存在或在以后的合同执行中发现技术偏离，投标人应弥补这些偏离并不能要求改变投标价格或合同价格，否则将被作为无效标处理或合同违约。  </w:t>
      </w:r>
    </w:p>
    <w:p w14:paraId="14FABF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200"/>
        <w:jc w:val="left"/>
        <w:textAlignment w:val="auto"/>
        <w:outlineLvl w:val="2"/>
        <w:rPr>
          <w:rFonts w:hint="eastAsia" w:ascii="华文仿宋" w:hAnsi="华文仿宋" w:eastAsia="华文仿宋" w:cs="华文仿宋"/>
          <w:b/>
          <w:color w:val="auto"/>
          <w:sz w:val="21"/>
          <w:szCs w:val="21"/>
          <w:lang w:val="en-US" w:eastAsia="zh-CN"/>
        </w:rPr>
      </w:pPr>
      <w:r>
        <w:rPr>
          <w:rFonts w:hint="eastAsia" w:ascii="华文仿宋" w:hAnsi="华文仿宋" w:eastAsia="华文仿宋" w:cs="华文仿宋"/>
          <w:b/>
          <w:color w:val="auto"/>
          <w:sz w:val="21"/>
          <w:szCs w:val="21"/>
          <w:lang w:val="en-US" w:eastAsia="zh-CN"/>
        </w:rPr>
        <w:t>3、结合“第五章 采购内容及项目要求”内容情况填写此表。</w:t>
      </w:r>
    </w:p>
    <w:p w14:paraId="092B806C">
      <w:pPr>
        <w:spacing w:line="360" w:lineRule="auto"/>
        <w:ind w:right="480" w:firstLine="4410" w:firstLineChars="2100"/>
        <w:rPr>
          <w:rFonts w:hint="eastAsia" w:ascii="华文仿宋" w:hAnsi="华文仿宋" w:eastAsia="华文仿宋" w:cs="华文仿宋"/>
          <w:color w:val="auto"/>
          <w:szCs w:val="21"/>
        </w:rPr>
      </w:pPr>
      <w:r>
        <w:rPr>
          <w:rFonts w:hint="eastAsia" w:ascii="华文仿宋" w:hAnsi="华文仿宋" w:eastAsia="华文仿宋" w:cs="华文仿宋"/>
          <w:color w:val="auto"/>
          <w:szCs w:val="21"/>
          <w:lang w:val="en-US" w:eastAsia="zh-CN"/>
        </w:rPr>
        <w:t>供应商</w:t>
      </w:r>
      <w:r>
        <w:rPr>
          <w:rFonts w:hint="eastAsia" w:ascii="华文仿宋" w:hAnsi="华文仿宋" w:eastAsia="华文仿宋" w:cs="华文仿宋"/>
          <w:color w:val="auto"/>
          <w:szCs w:val="21"/>
        </w:rPr>
        <w:t>（</w:t>
      </w:r>
      <w:r>
        <w:rPr>
          <w:rFonts w:hint="eastAsia" w:ascii="华文仿宋" w:hAnsi="华文仿宋" w:eastAsia="华文仿宋" w:cs="华文仿宋"/>
          <w:snapToGrid w:val="0"/>
          <w:color w:val="auto"/>
          <w:kern w:val="0"/>
          <w:szCs w:val="21"/>
          <w:lang w:eastAsia="zh-CN"/>
        </w:rPr>
        <w:t>单位电子签章或盖章</w:t>
      </w:r>
      <w:r>
        <w:rPr>
          <w:rFonts w:hint="eastAsia" w:ascii="华文仿宋" w:hAnsi="华文仿宋" w:eastAsia="华文仿宋" w:cs="华文仿宋"/>
          <w:color w:val="auto"/>
          <w:szCs w:val="21"/>
        </w:rPr>
        <w:t xml:space="preserve">）： </w:t>
      </w:r>
    </w:p>
    <w:p w14:paraId="3CB6D323">
      <w:pPr>
        <w:adjustRightInd w:val="0"/>
        <w:snapToGrid w:val="0"/>
        <w:spacing w:line="360" w:lineRule="auto"/>
        <w:ind w:firstLine="3360" w:firstLineChars="1600"/>
        <w:rPr>
          <w:rFonts w:hint="eastAsia" w:ascii="华文仿宋" w:hAnsi="华文仿宋" w:eastAsia="华文仿宋" w:cs="华文仿宋"/>
          <w:color w:val="auto"/>
          <w:szCs w:val="21"/>
        </w:rPr>
      </w:pPr>
      <w:r>
        <w:rPr>
          <w:rFonts w:hint="eastAsia" w:ascii="华文仿宋" w:hAnsi="华文仿宋" w:eastAsia="华文仿宋" w:cs="华文仿宋"/>
          <w:color w:val="auto"/>
          <w:szCs w:val="21"/>
        </w:rPr>
        <w:t>法定代表人</w:t>
      </w:r>
      <w:r>
        <w:rPr>
          <w:rFonts w:hint="eastAsia" w:ascii="华文仿宋" w:hAnsi="华文仿宋" w:eastAsia="华文仿宋" w:cs="华文仿宋"/>
          <w:color w:val="auto"/>
          <w:szCs w:val="21"/>
          <w:lang w:val="en-US" w:eastAsia="zh-CN"/>
        </w:rPr>
        <w:t>或其委托代理人</w:t>
      </w:r>
      <w:r>
        <w:rPr>
          <w:rFonts w:hint="eastAsia" w:ascii="华文仿宋" w:hAnsi="华文仿宋" w:eastAsia="华文仿宋" w:cs="华文仿宋"/>
          <w:color w:val="auto"/>
          <w:szCs w:val="21"/>
        </w:rPr>
        <w:t>（</w:t>
      </w:r>
      <w:r>
        <w:rPr>
          <w:rFonts w:hint="eastAsia" w:ascii="华文仿宋" w:hAnsi="华文仿宋" w:eastAsia="华文仿宋" w:cs="华文仿宋"/>
          <w:color w:val="auto"/>
          <w:kern w:val="0"/>
          <w:szCs w:val="21"/>
          <w:lang w:val="en-US" w:eastAsia="zh-CN"/>
        </w:rPr>
        <w:t>签字或盖章或</w:t>
      </w:r>
      <w:r>
        <w:rPr>
          <w:rFonts w:hint="eastAsia" w:ascii="华文仿宋" w:hAnsi="华文仿宋" w:eastAsia="华文仿宋" w:cs="华文仿宋"/>
          <w:color w:val="auto"/>
          <w:kern w:val="0"/>
          <w:szCs w:val="21"/>
        </w:rPr>
        <w:t>电子签名</w:t>
      </w:r>
      <w:r>
        <w:rPr>
          <w:rFonts w:hint="eastAsia" w:ascii="华文仿宋" w:hAnsi="华文仿宋" w:eastAsia="华文仿宋" w:cs="华文仿宋"/>
          <w:color w:val="auto"/>
          <w:szCs w:val="21"/>
        </w:rPr>
        <w:t xml:space="preserve">）： </w:t>
      </w:r>
    </w:p>
    <w:p w14:paraId="00AB7387">
      <w:pPr>
        <w:spacing w:line="360" w:lineRule="auto"/>
        <w:ind w:right="360" w:firstLine="630" w:firstLineChars="300"/>
        <w:jc w:val="right"/>
        <w:rPr>
          <w:rFonts w:hint="eastAsia" w:ascii="华文仿宋" w:hAnsi="华文仿宋" w:eastAsia="华文仿宋" w:cs="华文仿宋"/>
          <w:color w:val="auto"/>
        </w:rPr>
      </w:pPr>
      <w:r>
        <w:rPr>
          <w:rFonts w:hint="eastAsia" w:ascii="华文仿宋" w:hAnsi="华文仿宋" w:eastAsia="华文仿宋" w:cs="华文仿宋"/>
          <w:color w:val="auto"/>
        </w:rPr>
        <w:t>年      月      日</w:t>
      </w:r>
    </w:p>
    <w:p w14:paraId="125B826D">
      <w:pPr>
        <w:pageBreakBefore w:val="0"/>
        <w:kinsoku/>
        <w:wordWrap w:val="0"/>
        <w:overflowPunct/>
        <w:topLinePunct/>
        <w:bidi w:val="0"/>
        <w:spacing w:line="360" w:lineRule="auto"/>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rPr>
        <w:br w:type="page"/>
      </w:r>
    </w:p>
    <w:p w14:paraId="13100943">
      <w:pPr>
        <w:pStyle w:val="3"/>
        <w:numPr>
          <w:ilvl w:val="0"/>
          <w:numId w:val="0"/>
        </w:numPr>
        <w:jc w:val="center"/>
        <w:rPr>
          <w:rFonts w:hint="eastAsia" w:ascii="华文仿宋" w:hAnsi="华文仿宋" w:eastAsia="华文仿宋" w:cs="华文仿宋"/>
          <w:color w:val="auto"/>
          <w:sz w:val="32"/>
          <w:szCs w:val="32"/>
          <w:highlight w:val="none"/>
        </w:rPr>
      </w:pPr>
      <w:bookmarkStart w:id="848" w:name="_Toc5293"/>
      <w:bookmarkStart w:id="849" w:name="_Toc28639"/>
      <w:bookmarkStart w:id="850" w:name="_Toc30347"/>
      <w:r>
        <w:rPr>
          <w:rFonts w:hint="eastAsia" w:ascii="华文仿宋" w:hAnsi="华文仿宋" w:eastAsia="华文仿宋" w:cs="华文仿宋"/>
          <w:color w:val="auto"/>
          <w:sz w:val="32"/>
          <w:szCs w:val="32"/>
          <w:highlight w:val="none"/>
          <w:lang w:val="en-US" w:eastAsia="zh-CN"/>
        </w:rPr>
        <w:t>四、服务方案</w:t>
      </w:r>
    </w:p>
    <w:p w14:paraId="330C49DD">
      <w:pPr>
        <w:pStyle w:val="3"/>
        <w:numPr>
          <w:ilvl w:val="0"/>
          <w:numId w:val="0"/>
        </w:numPr>
        <w:spacing w:before="0" w:after="0" w:line="240" w:lineRule="auto"/>
        <w:jc w:val="center"/>
        <w:outlineLvl w:val="2"/>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lang w:val="en-US" w:eastAsia="zh-CN"/>
        </w:rPr>
        <w:t>（格式自拟）</w:t>
      </w:r>
    </w:p>
    <w:p w14:paraId="316281C7">
      <w:pPr>
        <w:rPr>
          <w:rFonts w:hint="eastAsia" w:ascii="华文仿宋" w:hAnsi="华文仿宋" w:eastAsia="华文仿宋" w:cs="华文仿宋"/>
          <w:color w:val="auto"/>
          <w:sz w:val="32"/>
          <w:szCs w:val="32"/>
          <w:highlight w:val="none"/>
          <w:lang w:val="en-US" w:eastAsia="zh-CN"/>
        </w:rPr>
      </w:pPr>
    </w:p>
    <w:p w14:paraId="5D0414D6">
      <w:pPr>
        <w:rPr>
          <w:rFonts w:hint="eastAsia" w:ascii="华文仿宋" w:hAnsi="华文仿宋" w:eastAsia="华文仿宋" w:cs="华文仿宋"/>
          <w:color w:val="auto"/>
          <w:sz w:val="32"/>
          <w:szCs w:val="32"/>
          <w:highlight w:val="none"/>
          <w:lang w:val="en-US" w:eastAsia="zh-CN"/>
        </w:rPr>
      </w:pPr>
    </w:p>
    <w:p w14:paraId="2C045E5B">
      <w:pPr>
        <w:rPr>
          <w:rFonts w:hint="eastAsia" w:ascii="华文仿宋" w:hAnsi="华文仿宋" w:eastAsia="华文仿宋" w:cs="华文仿宋"/>
          <w:color w:val="auto"/>
          <w:sz w:val="32"/>
          <w:szCs w:val="32"/>
          <w:highlight w:val="none"/>
          <w:lang w:val="en-US" w:eastAsia="zh-CN"/>
        </w:rPr>
      </w:pPr>
    </w:p>
    <w:p w14:paraId="512A0560">
      <w:pPr>
        <w:rPr>
          <w:rFonts w:hint="eastAsia" w:ascii="华文仿宋" w:hAnsi="华文仿宋" w:eastAsia="华文仿宋" w:cs="华文仿宋"/>
          <w:color w:val="auto"/>
          <w:sz w:val="32"/>
          <w:szCs w:val="32"/>
          <w:highlight w:val="none"/>
          <w:lang w:val="en-US" w:eastAsia="zh-CN"/>
        </w:rPr>
      </w:pPr>
    </w:p>
    <w:p w14:paraId="1ECA0284">
      <w:pPr>
        <w:rPr>
          <w:rFonts w:hint="eastAsia" w:ascii="华文仿宋" w:hAnsi="华文仿宋" w:eastAsia="华文仿宋" w:cs="华文仿宋"/>
          <w:color w:val="auto"/>
          <w:sz w:val="32"/>
          <w:szCs w:val="32"/>
          <w:highlight w:val="none"/>
          <w:lang w:val="en-US" w:eastAsia="zh-CN"/>
        </w:rPr>
      </w:pPr>
    </w:p>
    <w:p w14:paraId="41AF3DE4">
      <w:pPr>
        <w:rPr>
          <w:rFonts w:hint="eastAsia" w:ascii="华文仿宋" w:hAnsi="华文仿宋" w:eastAsia="华文仿宋" w:cs="华文仿宋"/>
          <w:color w:val="auto"/>
          <w:sz w:val="32"/>
          <w:szCs w:val="32"/>
          <w:highlight w:val="none"/>
          <w:lang w:val="en-US" w:eastAsia="zh-CN"/>
        </w:rPr>
      </w:pPr>
    </w:p>
    <w:p w14:paraId="0B26DC56">
      <w:pPr>
        <w:rPr>
          <w:rFonts w:hint="eastAsia" w:ascii="华文仿宋" w:hAnsi="华文仿宋" w:eastAsia="华文仿宋" w:cs="华文仿宋"/>
          <w:color w:val="auto"/>
          <w:sz w:val="32"/>
          <w:szCs w:val="32"/>
          <w:highlight w:val="none"/>
          <w:lang w:val="en-US" w:eastAsia="zh-CN"/>
        </w:rPr>
      </w:pPr>
    </w:p>
    <w:p w14:paraId="75142007">
      <w:pPr>
        <w:rPr>
          <w:rFonts w:hint="eastAsia" w:ascii="华文仿宋" w:hAnsi="华文仿宋" w:eastAsia="华文仿宋" w:cs="华文仿宋"/>
          <w:color w:val="auto"/>
          <w:sz w:val="32"/>
          <w:szCs w:val="32"/>
          <w:highlight w:val="none"/>
          <w:lang w:val="en-US" w:eastAsia="zh-CN"/>
        </w:rPr>
      </w:pPr>
    </w:p>
    <w:p w14:paraId="135EC689">
      <w:pPr>
        <w:rPr>
          <w:rFonts w:hint="eastAsia" w:ascii="华文仿宋" w:hAnsi="华文仿宋" w:eastAsia="华文仿宋" w:cs="华文仿宋"/>
          <w:color w:val="auto"/>
          <w:sz w:val="32"/>
          <w:szCs w:val="32"/>
          <w:highlight w:val="none"/>
          <w:lang w:val="en-US" w:eastAsia="zh-CN"/>
        </w:rPr>
      </w:pPr>
    </w:p>
    <w:p w14:paraId="7977B6C5">
      <w:pPr>
        <w:rPr>
          <w:rFonts w:hint="eastAsia" w:ascii="华文仿宋" w:hAnsi="华文仿宋" w:eastAsia="华文仿宋" w:cs="华文仿宋"/>
          <w:color w:val="auto"/>
          <w:sz w:val="32"/>
          <w:szCs w:val="32"/>
          <w:highlight w:val="none"/>
          <w:lang w:val="en-US" w:eastAsia="zh-CN"/>
        </w:rPr>
      </w:pPr>
    </w:p>
    <w:p w14:paraId="7BAC8CF0">
      <w:pPr>
        <w:rPr>
          <w:rFonts w:hint="eastAsia" w:ascii="华文仿宋" w:hAnsi="华文仿宋" w:eastAsia="华文仿宋" w:cs="华文仿宋"/>
          <w:color w:val="auto"/>
          <w:sz w:val="32"/>
          <w:szCs w:val="32"/>
          <w:highlight w:val="none"/>
          <w:lang w:val="en-US" w:eastAsia="zh-CN"/>
        </w:rPr>
      </w:pPr>
    </w:p>
    <w:p w14:paraId="16782EC8">
      <w:pPr>
        <w:rPr>
          <w:rFonts w:hint="eastAsia" w:ascii="华文仿宋" w:hAnsi="华文仿宋" w:eastAsia="华文仿宋" w:cs="华文仿宋"/>
          <w:color w:val="auto"/>
          <w:sz w:val="32"/>
          <w:szCs w:val="32"/>
          <w:highlight w:val="none"/>
          <w:lang w:val="en-US" w:eastAsia="zh-CN"/>
        </w:rPr>
      </w:pPr>
    </w:p>
    <w:p w14:paraId="5EDD2E48">
      <w:pPr>
        <w:rPr>
          <w:rFonts w:hint="eastAsia" w:ascii="华文仿宋" w:hAnsi="华文仿宋" w:eastAsia="华文仿宋" w:cs="华文仿宋"/>
          <w:color w:val="auto"/>
          <w:sz w:val="32"/>
          <w:szCs w:val="32"/>
          <w:highlight w:val="none"/>
          <w:lang w:val="en-US" w:eastAsia="zh-CN"/>
        </w:rPr>
      </w:pPr>
    </w:p>
    <w:p w14:paraId="51676329">
      <w:pPr>
        <w:rPr>
          <w:rFonts w:hint="eastAsia" w:ascii="华文仿宋" w:hAnsi="华文仿宋" w:eastAsia="华文仿宋" w:cs="华文仿宋"/>
          <w:color w:val="auto"/>
          <w:sz w:val="32"/>
          <w:szCs w:val="32"/>
          <w:highlight w:val="none"/>
          <w:lang w:val="en-US" w:eastAsia="zh-CN"/>
        </w:rPr>
      </w:pPr>
    </w:p>
    <w:p w14:paraId="0603B6C2">
      <w:pPr>
        <w:rPr>
          <w:rFonts w:hint="eastAsia" w:ascii="华文仿宋" w:hAnsi="华文仿宋" w:eastAsia="华文仿宋" w:cs="华文仿宋"/>
          <w:color w:val="auto"/>
          <w:sz w:val="32"/>
          <w:szCs w:val="32"/>
          <w:highlight w:val="none"/>
          <w:lang w:val="en-US" w:eastAsia="zh-CN"/>
        </w:rPr>
      </w:pPr>
    </w:p>
    <w:p w14:paraId="5B8C2FC3">
      <w:pPr>
        <w:rPr>
          <w:rFonts w:hint="eastAsia" w:ascii="华文仿宋" w:hAnsi="华文仿宋" w:eastAsia="华文仿宋" w:cs="华文仿宋"/>
          <w:color w:val="auto"/>
          <w:sz w:val="32"/>
          <w:szCs w:val="32"/>
          <w:highlight w:val="none"/>
          <w:lang w:val="en-US" w:eastAsia="zh-CN"/>
        </w:rPr>
      </w:pPr>
    </w:p>
    <w:p w14:paraId="29C129C0">
      <w:pPr>
        <w:rPr>
          <w:rFonts w:hint="eastAsia" w:ascii="华文仿宋" w:hAnsi="华文仿宋" w:eastAsia="华文仿宋" w:cs="华文仿宋"/>
          <w:color w:val="auto"/>
          <w:sz w:val="32"/>
          <w:szCs w:val="32"/>
          <w:highlight w:val="none"/>
          <w:lang w:val="en-US" w:eastAsia="zh-CN"/>
        </w:rPr>
      </w:pPr>
    </w:p>
    <w:p w14:paraId="57CC23B0">
      <w:pPr>
        <w:rPr>
          <w:rFonts w:hint="eastAsia" w:ascii="华文仿宋" w:hAnsi="华文仿宋" w:eastAsia="华文仿宋" w:cs="华文仿宋"/>
          <w:color w:val="auto"/>
          <w:sz w:val="32"/>
          <w:szCs w:val="32"/>
          <w:highlight w:val="none"/>
          <w:lang w:val="en-US" w:eastAsia="zh-CN"/>
        </w:rPr>
      </w:pPr>
    </w:p>
    <w:p w14:paraId="7D39047C">
      <w:pPr>
        <w:rPr>
          <w:rFonts w:hint="eastAsia" w:ascii="华文仿宋" w:hAnsi="华文仿宋" w:eastAsia="华文仿宋" w:cs="华文仿宋"/>
          <w:color w:val="auto"/>
          <w:sz w:val="32"/>
          <w:szCs w:val="32"/>
          <w:highlight w:val="none"/>
          <w:lang w:val="en-US" w:eastAsia="zh-CN"/>
        </w:rPr>
      </w:pPr>
    </w:p>
    <w:p w14:paraId="354E292E">
      <w:pPr>
        <w:pStyle w:val="3"/>
        <w:numPr>
          <w:ilvl w:val="0"/>
          <w:numId w:val="0"/>
        </w:numPr>
        <w:jc w:val="center"/>
        <w:rPr>
          <w:rFonts w:hint="eastAsia" w:ascii="华文仿宋" w:hAnsi="华文仿宋" w:eastAsia="华文仿宋" w:cs="华文仿宋"/>
          <w:color w:val="auto"/>
          <w:sz w:val="28"/>
          <w:highlight w:val="none"/>
        </w:rPr>
      </w:pPr>
      <w:r>
        <w:rPr>
          <w:rFonts w:hint="eastAsia" w:ascii="华文仿宋" w:hAnsi="华文仿宋" w:eastAsia="华文仿宋" w:cs="华文仿宋"/>
          <w:color w:val="auto"/>
          <w:sz w:val="32"/>
          <w:szCs w:val="32"/>
          <w:highlight w:val="none"/>
          <w:lang w:val="en-US" w:eastAsia="zh-CN"/>
        </w:rPr>
        <w:t>五</w:t>
      </w:r>
      <w:r>
        <w:rPr>
          <w:rFonts w:hint="eastAsia" w:ascii="华文仿宋" w:hAnsi="华文仿宋" w:eastAsia="华文仿宋" w:cs="华文仿宋"/>
          <w:color w:val="auto"/>
          <w:sz w:val="32"/>
          <w:szCs w:val="32"/>
          <w:highlight w:val="none"/>
        </w:rPr>
        <w:t>、类似项目业绩</w:t>
      </w:r>
    </w:p>
    <w:p w14:paraId="21586A20">
      <w:pPr>
        <w:pStyle w:val="22"/>
        <w:widowControl w:val="0"/>
        <w:spacing w:before="0" w:beforeAutospacing="0" w:after="0" w:afterAutospacing="0" w:line="500" w:lineRule="exact"/>
        <w:jc w:val="center"/>
        <w:rPr>
          <w:rFonts w:hint="eastAsia" w:ascii="华文仿宋" w:hAnsi="华文仿宋" w:eastAsia="华文仿宋" w:cs="华文仿宋"/>
          <w:color w:val="auto"/>
          <w:highlight w:val="none"/>
        </w:rPr>
      </w:pPr>
      <w:r>
        <w:rPr>
          <w:rFonts w:hint="eastAsia" w:ascii="华文仿宋" w:hAnsi="华文仿宋" w:eastAsia="华文仿宋" w:cs="华文仿宋"/>
          <w:color w:val="auto"/>
          <w:highlight w:val="none"/>
        </w:rPr>
        <w:t>供应商应提供</w:t>
      </w:r>
      <w:r>
        <w:rPr>
          <w:rFonts w:hint="eastAsia" w:ascii="华文仿宋" w:hAnsi="华文仿宋" w:eastAsia="华文仿宋" w:cs="华文仿宋"/>
          <w:color w:val="auto"/>
          <w:kern w:val="2"/>
          <w:highlight w:val="none"/>
        </w:rPr>
        <w:t>（20</w:t>
      </w:r>
      <w:r>
        <w:rPr>
          <w:rFonts w:hint="eastAsia" w:ascii="华文仿宋" w:hAnsi="华文仿宋" w:eastAsia="华文仿宋" w:cs="华文仿宋"/>
          <w:color w:val="auto"/>
          <w:kern w:val="2"/>
          <w:highlight w:val="none"/>
          <w:lang w:val="en-US" w:eastAsia="zh-CN"/>
        </w:rPr>
        <w:t>22</w:t>
      </w:r>
      <w:r>
        <w:rPr>
          <w:rFonts w:hint="eastAsia" w:ascii="华文仿宋" w:hAnsi="华文仿宋" w:eastAsia="华文仿宋" w:cs="华文仿宋"/>
          <w:color w:val="auto"/>
          <w:kern w:val="2"/>
          <w:highlight w:val="none"/>
        </w:rPr>
        <w:t>年</w:t>
      </w:r>
      <w:r>
        <w:rPr>
          <w:rFonts w:hint="eastAsia" w:ascii="华文仿宋" w:hAnsi="华文仿宋" w:eastAsia="华文仿宋" w:cs="华文仿宋"/>
          <w:color w:val="auto"/>
          <w:kern w:val="2"/>
          <w:highlight w:val="none"/>
          <w:lang w:val="en-US" w:eastAsia="zh-CN"/>
        </w:rPr>
        <w:t>1</w:t>
      </w:r>
      <w:r>
        <w:rPr>
          <w:rFonts w:hint="eastAsia" w:ascii="华文仿宋" w:hAnsi="华文仿宋" w:eastAsia="华文仿宋" w:cs="华文仿宋"/>
          <w:color w:val="auto"/>
          <w:kern w:val="2"/>
          <w:highlight w:val="none"/>
        </w:rPr>
        <w:t>月1日以来，以合同签订时间为准）</w:t>
      </w:r>
      <w:r>
        <w:rPr>
          <w:rFonts w:hint="eastAsia" w:ascii="华文仿宋" w:hAnsi="华文仿宋" w:eastAsia="华文仿宋" w:cs="华文仿宋"/>
          <w:color w:val="auto"/>
          <w:highlight w:val="none"/>
        </w:rPr>
        <w:t>类似项目的业绩。</w:t>
      </w:r>
    </w:p>
    <w:tbl>
      <w:tblPr>
        <w:tblStyle w:val="25"/>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4936"/>
        <w:gridCol w:w="1764"/>
        <w:gridCol w:w="1401"/>
      </w:tblGrid>
      <w:tr w14:paraId="2819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39" w:type="dxa"/>
            <w:vAlign w:val="center"/>
          </w:tcPr>
          <w:p w14:paraId="53CD6996">
            <w:pPr>
              <w:pStyle w:val="80"/>
              <w:ind w:firstLine="0" w:firstLineChars="0"/>
              <w:jc w:val="center"/>
              <w:rPr>
                <w:rFonts w:hint="eastAsia" w:ascii="华文仿宋" w:hAnsi="华文仿宋" w:eastAsia="华文仿宋" w:cs="华文仿宋"/>
                <w:b/>
                <w:bCs/>
                <w:color w:val="auto"/>
                <w:sz w:val="24"/>
                <w:szCs w:val="24"/>
                <w:highlight w:val="none"/>
              </w:rPr>
            </w:pPr>
            <w:r>
              <w:rPr>
                <w:rFonts w:hint="eastAsia" w:ascii="华文仿宋" w:hAnsi="华文仿宋" w:eastAsia="华文仿宋" w:cs="华文仿宋"/>
                <w:b/>
                <w:bCs/>
                <w:color w:val="auto"/>
                <w:sz w:val="24"/>
                <w:szCs w:val="24"/>
                <w:highlight w:val="none"/>
              </w:rPr>
              <w:t>序号</w:t>
            </w:r>
          </w:p>
        </w:tc>
        <w:tc>
          <w:tcPr>
            <w:tcW w:w="4936" w:type="dxa"/>
            <w:vAlign w:val="center"/>
          </w:tcPr>
          <w:p w14:paraId="6604046C">
            <w:pPr>
              <w:pStyle w:val="80"/>
              <w:ind w:firstLine="0" w:firstLineChars="0"/>
              <w:jc w:val="center"/>
              <w:rPr>
                <w:rFonts w:hint="eastAsia" w:ascii="华文仿宋" w:hAnsi="华文仿宋" w:eastAsia="华文仿宋" w:cs="华文仿宋"/>
                <w:b/>
                <w:bCs/>
                <w:color w:val="auto"/>
                <w:sz w:val="24"/>
                <w:szCs w:val="24"/>
                <w:highlight w:val="none"/>
              </w:rPr>
            </w:pPr>
            <w:r>
              <w:rPr>
                <w:rFonts w:hint="eastAsia" w:ascii="华文仿宋" w:hAnsi="华文仿宋" w:eastAsia="华文仿宋" w:cs="华文仿宋"/>
                <w:b/>
                <w:bCs/>
                <w:color w:val="auto"/>
                <w:sz w:val="24"/>
                <w:szCs w:val="24"/>
                <w:highlight w:val="none"/>
              </w:rPr>
              <w:t>项目名称</w:t>
            </w:r>
          </w:p>
        </w:tc>
        <w:tc>
          <w:tcPr>
            <w:tcW w:w="1764" w:type="dxa"/>
            <w:vAlign w:val="center"/>
          </w:tcPr>
          <w:p w14:paraId="2B78F30B">
            <w:pPr>
              <w:pStyle w:val="80"/>
              <w:ind w:firstLine="0" w:firstLineChars="0"/>
              <w:jc w:val="center"/>
              <w:rPr>
                <w:rFonts w:hint="eastAsia" w:ascii="华文仿宋" w:hAnsi="华文仿宋" w:eastAsia="华文仿宋" w:cs="华文仿宋"/>
                <w:b/>
                <w:bCs/>
                <w:color w:val="auto"/>
                <w:sz w:val="24"/>
                <w:szCs w:val="24"/>
                <w:highlight w:val="none"/>
              </w:rPr>
            </w:pPr>
            <w:r>
              <w:rPr>
                <w:rFonts w:hint="eastAsia" w:ascii="华文仿宋" w:hAnsi="华文仿宋" w:eastAsia="华文仿宋" w:cs="华文仿宋"/>
                <w:b/>
                <w:bCs/>
                <w:color w:val="auto"/>
                <w:sz w:val="24"/>
                <w:szCs w:val="24"/>
                <w:highlight w:val="none"/>
              </w:rPr>
              <w:t>金额</w:t>
            </w:r>
          </w:p>
        </w:tc>
        <w:tc>
          <w:tcPr>
            <w:tcW w:w="1401" w:type="dxa"/>
            <w:vAlign w:val="center"/>
          </w:tcPr>
          <w:p w14:paraId="458F391E">
            <w:pPr>
              <w:pStyle w:val="80"/>
              <w:ind w:firstLine="0" w:firstLineChars="0"/>
              <w:jc w:val="center"/>
              <w:rPr>
                <w:rFonts w:hint="eastAsia" w:ascii="华文仿宋" w:hAnsi="华文仿宋" w:eastAsia="华文仿宋" w:cs="华文仿宋"/>
                <w:b/>
                <w:bCs/>
                <w:color w:val="auto"/>
                <w:sz w:val="24"/>
                <w:szCs w:val="24"/>
                <w:highlight w:val="none"/>
              </w:rPr>
            </w:pPr>
            <w:r>
              <w:rPr>
                <w:rFonts w:hint="eastAsia" w:ascii="华文仿宋" w:hAnsi="华文仿宋" w:eastAsia="华文仿宋" w:cs="华文仿宋"/>
                <w:b/>
                <w:bCs/>
                <w:color w:val="auto"/>
                <w:sz w:val="24"/>
                <w:szCs w:val="24"/>
                <w:highlight w:val="none"/>
              </w:rPr>
              <w:t>签订日期</w:t>
            </w:r>
          </w:p>
        </w:tc>
      </w:tr>
      <w:tr w14:paraId="3870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939" w:type="dxa"/>
            <w:vAlign w:val="center"/>
          </w:tcPr>
          <w:p w14:paraId="50CFF716">
            <w:pPr>
              <w:pStyle w:val="80"/>
              <w:ind w:firstLine="0" w:firstLineChars="0"/>
              <w:jc w:val="center"/>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1</w:t>
            </w:r>
          </w:p>
        </w:tc>
        <w:tc>
          <w:tcPr>
            <w:tcW w:w="4936" w:type="dxa"/>
            <w:vAlign w:val="top"/>
          </w:tcPr>
          <w:p w14:paraId="3000C910">
            <w:pPr>
              <w:pStyle w:val="80"/>
              <w:ind w:firstLine="0" w:firstLineChars="0"/>
              <w:rPr>
                <w:rFonts w:hint="eastAsia" w:ascii="华文仿宋" w:hAnsi="华文仿宋" w:eastAsia="华文仿宋" w:cs="华文仿宋"/>
                <w:color w:val="auto"/>
                <w:sz w:val="24"/>
                <w:szCs w:val="24"/>
                <w:highlight w:val="none"/>
              </w:rPr>
            </w:pPr>
          </w:p>
        </w:tc>
        <w:tc>
          <w:tcPr>
            <w:tcW w:w="1764" w:type="dxa"/>
            <w:vAlign w:val="top"/>
          </w:tcPr>
          <w:p w14:paraId="34FE005F">
            <w:pPr>
              <w:pStyle w:val="80"/>
              <w:ind w:firstLine="0" w:firstLineChars="0"/>
              <w:rPr>
                <w:rFonts w:hint="eastAsia" w:ascii="华文仿宋" w:hAnsi="华文仿宋" w:eastAsia="华文仿宋" w:cs="华文仿宋"/>
                <w:color w:val="auto"/>
                <w:sz w:val="24"/>
                <w:szCs w:val="24"/>
                <w:highlight w:val="none"/>
              </w:rPr>
            </w:pPr>
          </w:p>
        </w:tc>
        <w:tc>
          <w:tcPr>
            <w:tcW w:w="1401" w:type="dxa"/>
            <w:vAlign w:val="top"/>
          </w:tcPr>
          <w:p w14:paraId="24DAB256">
            <w:pPr>
              <w:pStyle w:val="80"/>
              <w:ind w:firstLine="0" w:firstLineChars="0"/>
              <w:rPr>
                <w:rFonts w:hint="eastAsia" w:ascii="华文仿宋" w:hAnsi="华文仿宋" w:eastAsia="华文仿宋" w:cs="华文仿宋"/>
                <w:color w:val="auto"/>
                <w:sz w:val="24"/>
                <w:szCs w:val="24"/>
                <w:highlight w:val="none"/>
              </w:rPr>
            </w:pPr>
          </w:p>
        </w:tc>
      </w:tr>
      <w:tr w14:paraId="7012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39" w:type="dxa"/>
            <w:vAlign w:val="center"/>
          </w:tcPr>
          <w:p w14:paraId="3F76BFAF">
            <w:pPr>
              <w:pStyle w:val="80"/>
              <w:ind w:firstLine="0" w:firstLineChars="0"/>
              <w:jc w:val="center"/>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2</w:t>
            </w:r>
          </w:p>
        </w:tc>
        <w:tc>
          <w:tcPr>
            <w:tcW w:w="4936" w:type="dxa"/>
            <w:vAlign w:val="top"/>
          </w:tcPr>
          <w:p w14:paraId="617C7B2D">
            <w:pPr>
              <w:pStyle w:val="80"/>
              <w:ind w:firstLine="0" w:firstLineChars="0"/>
              <w:rPr>
                <w:rFonts w:hint="eastAsia" w:ascii="华文仿宋" w:hAnsi="华文仿宋" w:eastAsia="华文仿宋" w:cs="华文仿宋"/>
                <w:color w:val="auto"/>
                <w:sz w:val="24"/>
                <w:szCs w:val="24"/>
                <w:highlight w:val="none"/>
              </w:rPr>
            </w:pPr>
          </w:p>
        </w:tc>
        <w:tc>
          <w:tcPr>
            <w:tcW w:w="1764" w:type="dxa"/>
            <w:vAlign w:val="top"/>
          </w:tcPr>
          <w:p w14:paraId="2471EE03">
            <w:pPr>
              <w:pStyle w:val="80"/>
              <w:ind w:firstLine="0" w:firstLineChars="0"/>
              <w:rPr>
                <w:rFonts w:hint="eastAsia" w:ascii="华文仿宋" w:hAnsi="华文仿宋" w:eastAsia="华文仿宋" w:cs="华文仿宋"/>
                <w:color w:val="auto"/>
                <w:sz w:val="24"/>
                <w:szCs w:val="24"/>
                <w:highlight w:val="none"/>
              </w:rPr>
            </w:pPr>
          </w:p>
        </w:tc>
        <w:tc>
          <w:tcPr>
            <w:tcW w:w="1401" w:type="dxa"/>
            <w:vAlign w:val="top"/>
          </w:tcPr>
          <w:p w14:paraId="4ECED622">
            <w:pPr>
              <w:pStyle w:val="80"/>
              <w:ind w:firstLine="0" w:firstLineChars="0"/>
              <w:rPr>
                <w:rFonts w:hint="eastAsia" w:ascii="华文仿宋" w:hAnsi="华文仿宋" w:eastAsia="华文仿宋" w:cs="华文仿宋"/>
                <w:color w:val="auto"/>
                <w:sz w:val="24"/>
                <w:szCs w:val="24"/>
                <w:highlight w:val="none"/>
              </w:rPr>
            </w:pPr>
          </w:p>
        </w:tc>
      </w:tr>
      <w:tr w14:paraId="13ED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39" w:type="dxa"/>
            <w:vAlign w:val="center"/>
          </w:tcPr>
          <w:p w14:paraId="20236C07">
            <w:pPr>
              <w:pStyle w:val="80"/>
              <w:ind w:firstLine="0" w:firstLineChars="0"/>
              <w:jc w:val="center"/>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3</w:t>
            </w:r>
          </w:p>
        </w:tc>
        <w:tc>
          <w:tcPr>
            <w:tcW w:w="4936" w:type="dxa"/>
            <w:vAlign w:val="top"/>
          </w:tcPr>
          <w:p w14:paraId="7D52B45A">
            <w:pPr>
              <w:pStyle w:val="80"/>
              <w:ind w:firstLine="0" w:firstLineChars="0"/>
              <w:rPr>
                <w:rFonts w:hint="eastAsia" w:ascii="华文仿宋" w:hAnsi="华文仿宋" w:eastAsia="华文仿宋" w:cs="华文仿宋"/>
                <w:color w:val="auto"/>
                <w:sz w:val="24"/>
                <w:szCs w:val="24"/>
                <w:highlight w:val="none"/>
              </w:rPr>
            </w:pPr>
          </w:p>
        </w:tc>
        <w:tc>
          <w:tcPr>
            <w:tcW w:w="1764" w:type="dxa"/>
            <w:vAlign w:val="top"/>
          </w:tcPr>
          <w:p w14:paraId="496AEB4F">
            <w:pPr>
              <w:pStyle w:val="80"/>
              <w:ind w:firstLine="0" w:firstLineChars="0"/>
              <w:rPr>
                <w:rFonts w:hint="eastAsia" w:ascii="华文仿宋" w:hAnsi="华文仿宋" w:eastAsia="华文仿宋" w:cs="华文仿宋"/>
                <w:color w:val="auto"/>
                <w:sz w:val="24"/>
                <w:szCs w:val="24"/>
                <w:highlight w:val="none"/>
              </w:rPr>
            </w:pPr>
          </w:p>
        </w:tc>
        <w:tc>
          <w:tcPr>
            <w:tcW w:w="1401" w:type="dxa"/>
            <w:vAlign w:val="top"/>
          </w:tcPr>
          <w:p w14:paraId="5FC66883">
            <w:pPr>
              <w:pStyle w:val="80"/>
              <w:ind w:firstLine="0" w:firstLineChars="0"/>
              <w:rPr>
                <w:rFonts w:hint="eastAsia" w:ascii="华文仿宋" w:hAnsi="华文仿宋" w:eastAsia="华文仿宋" w:cs="华文仿宋"/>
                <w:color w:val="auto"/>
                <w:sz w:val="24"/>
                <w:szCs w:val="24"/>
                <w:highlight w:val="none"/>
              </w:rPr>
            </w:pPr>
          </w:p>
        </w:tc>
      </w:tr>
      <w:tr w14:paraId="082D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39" w:type="dxa"/>
            <w:vAlign w:val="center"/>
          </w:tcPr>
          <w:p w14:paraId="289EEAE5">
            <w:pPr>
              <w:pStyle w:val="80"/>
              <w:ind w:firstLine="0" w:firstLineChars="0"/>
              <w:jc w:val="center"/>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4</w:t>
            </w:r>
          </w:p>
        </w:tc>
        <w:tc>
          <w:tcPr>
            <w:tcW w:w="4936" w:type="dxa"/>
            <w:vAlign w:val="top"/>
          </w:tcPr>
          <w:p w14:paraId="426DB1AC">
            <w:pPr>
              <w:pStyle w:val="80"/>
              <w:ind w:firstLine="0" w:firstLineChars="0"/>
              <w:rPr>
                <w:rFonts w:hint="eastAsia" w:ascii="华文仿宋" w:hAnsi="华文仿宋" w:eastAsia="华文仿宋" w:cs="华文仿宋"/>
                <w:color w:val="auto"/>
                <w:sz w:val="24"/>
                <w:szCs w:val="24"/>
                <w:highlight w:val="none"/>
              </w:rPr>
            </w:pPr>
          </w:p>
        </w:tc>
        <w:tc>
          <w:tcPr>
            <w:tcW w:w="1764" w:type="dxa"/>
            <w:vAlign w:val="top"/>
          </w:tcPr>
          <w:p w14:paraId="0A97754C">
            <w:pPr>
              <w:pStyle w:val="80"/>
              <w:ind w:firstLine="0" w:firstLineChars="0"/>
              <w:rPr>
                <w:rFonts w:hint="eastAsia" w:ascii="华文仿宋" w:hAnsi="华文仿宋" w:eastAsia="华文仿宋" w:cs="华文仿宋"/>
                <w:color w:val="auto"/>
                <w:sz w:val="24"/>
                <w:szCs w:val="24"/>
                <w:highlight w:val="none"/>
              </w:rPr>
            </w:pPr>
          </w:p>
        </w:tc>
        <w:tc>
          <w:tcPr>
            <w:tcW w:w="1401" w:type="dxa"/>
            <w:vAlign w:val="top"/>
          </w:tcPr>
          <w:p w14:paraId="318DA5E2">
            <w:pPr>
              <w:pStyle w:val="80"/>
              <w:ind w:firstLine="0" w:firstLineChars="0"/>
              <w:rPr>
                <w:rFonts w:hint="eastAsia" w:ascii="华文仿宋" w:hAnsi="华文仿宋" w:eastAsia="华文仿宋" w:cs="华文仿宋"/>
                <w:color w:val="auto"/>
                <w:sz w:val="24"/>
                <w:szCs w:val="24"/>
                <w:highlight w:val="none"/>
              </w:rPr>
            </w:pPr>
          </w:p>
        </w:tc>
      </w:tr>
      <w:tr w14:paraId="41B1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39" w:type="dxa"/>
            <w:vAlign w:val="center"/>
          </w:tcPr>
          <w:p w14:paraId="31B4C3F6">
            <w:pPr>
              <w:pStyle w:val="80"/>
              <w:ind w:firstLine="0" w:firstLineChars="0"/>
              <w:jc w:val="center"/>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5</w:t>
            </w:r>
          </w:p>
        </w:tc>
        <w:tc>
          <w:tcPr>
            <w:tcW w:w="4936" w:type="dxa"/>
            <w:vAlign w:val="top"/>
          </w:tcPr>
          <w:p w14:paraId="162DCCF8">
            <w:pPr>
              <w:pStyle w:val="80"/>
              <w:ind w:firstLine="0" w:firstLineChars="0"/>
              <w:rPr>
                <w:rFonts w:hint="eastAsia" w:ascii="华文仿宋" w:hAnsi="华文仿宋" w:eastAsia="华文仿宋" w:cs="华文仿宋"/>
                <w:color w:val="auto"/>
                <w:sz w:val="24"/>
                <w:szCs w:val="24"/>
                <w:highlight w:val="none"/>
              </w:rPr>
            </w:pPr>
          </w:p>
        </w:tc>
        <w:tc>
          <w:tcPr>
            <w:tcW w:w="1764" w:type="dxa"/>
            <w:vAlign w:val="top"/>
          </w:tcPr>
          <w:p w14:paraId="147F4212">
            <w:pPr>
              <w:pStyle w:val="80"/>
              <w:ind w:firstLine="0" w:firstLineChars="0"/>
              <w:rPr>
                <w:rFonts w:hint="eastAsia" w:ascii="华文仿宋" w:hAnsi="华文仿宋" w:eastAsia="华文仿宋" w:cs="华文仿宋"/>
                <w:color w:val="auto"/>
                <w:sz w:val="24"/>
                <w:szCs w:val="24"/>
                <w:highlight w:val="none"/>
              </w:rPr>
            </w:pPr>
          </w:p>
        </w:tc>
        <w:tc>
          <w:tcPr>
            <w:tcW w:w="1401" w:type="dxa"/>
            <w:vAlign w:val="top"/>
          </w:tcPr>
          <w:p w14:paraId="5FDF2D0F">
            <w:pPr>
              <w:pStyle w:val="80"/>
              <w:ind w:firstLine="0" w:firstLineChars="0"/>
              <w:rPr>
                <w:rFonts w:hint="eastAsia" w:ascii="华文仿宋" w:hAnsi="华文仿宋" w:eastAsia="华文仿宋" w:cs="华文仿宋"/>
                <w:color w:val="auto"/>
                <w:sz w:val="24"/>
                <w:szCs w:val="24"/>
                <w:highlight w:val="none"/>
              </w:rPr>
            </w:pPr>
          </w:p>
        </w:tc>
      </w:tr>
      <w:tr w14:paraId="61BE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39" w:type="dxa"/>
            <w:vAlign w:val="center"/>
          </w:tcPr>
          <w:p w14:paraId="2FC5D647">
            <w:pPr>
              <w:pStyle w:val="80"/>
              <w:ind w:firstLine="0" w:firstLineChars="0"/>
              <w:jc w:val="center"/>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6</w:t>
            </w:r>
          </w:p>
        </w:tc>
        <w:tc>
          <w:tcPr>
            <w:tcW w:w="4936" w:type="dxa"/>
            <w:vAlign w:val="top"/>
          </w:tcPr>
          <w:p w14:paraId="15DDBA2B">
            <w:pPr>
              <w:pStyle w:val="80"/>
              <w:ind w:firstLine="0" w:firstLineChars="0"/>
              <w:rPr>
                <w:rFonts w:hint="eastAsia" w:ascii="华文仿宋" w:hAnsi="华文仿宋" w:eastAsia="华文仿宋" w:cs="华文仿宋"/>
                <w:color w:val="auto"/>
                <w:sz w:val="24"/>
                <w:szCs w:val="24"/>
                <w:highlight w:val="none"/>
              </w:rPr>
            </w:pPr>
          </w:p>
        </w:tc>
        <w:tc>
          <w:tcPr>
            <w:tcW w:w="1764" w:type="dxa"/>
            <w:vAlign w:val="top"/>
          </w:tcPr>
          <w:p w14:paraId="28B74497">
            <w:pPr>
              <w:pStyle w:val="80"/>
              <w:ind w:firstLine="0" w:firstLineChars="0"/>
              <w:rPr>
                <w:rFonts w:hint="eastAsia" w:ascii="华文仿宋" w:hAnsi="华文仿宋" w:eastAsia="华文仿宋" w:cs="华文仿宋"/>
                <w:color w:val="auto"/>
                <w:sz w:val="24"/>
                <w:szCs w:val="24"/>
                <w:highlight w:val="none"/>
              </w:rPr>
            </w:pPr>
          </w:p>
        </w:tc>
        <w:tc>
          <w:tcPr>
            <w:tcW w:w="1401" w:type="dxa"/>
            <w:vAlign w:val="top"/>
          </w:tcPr>
          <w:p w14:paraId="760D0D51">
            <w:pPr>
              <w:pStyle w:val="80"/>
              <w:ind w:firstLine="0" w:firstLineChars="0"/>
              <w:rPr>
                <w:rFonts w:hint="eastAsia" w:ascii="华文仿宋" w:hAnsi="华文仿宋" w:eastAsia="华文仿宋" w:cs="华文仿宋"/>
                <w:color w:val="auto"/>
                <w:sz w:val="24"/>
                <w:szCs w:val="24"/>
                <w:highlight w:val="none"/>
              </w:rPr>
            </w:pPr>
          </w:p>
        </w:tc>
      </w:tr>
      <w:tr w14:paraId="38D8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39" w:type="dxa"/>
            <w:vAlign w:val="center"/>
          </w:tcPr>
          <w:p w14:paraId="526BD35F">
            <w:pPr>
              <w:pStyle w:val="80"/>
              <w:ind w:firstLine="0" w:firstLineChars="0"/>
              <w:jc w:val="center"/>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w:t>
            </w:r>
          </w:p>
        </w:tc>
        <w:tc>
          <w:tcPr>
            <w:tcW w:w="4936" w:type="dxa"/>
            <w:vAlign w:val="top"/>
          </w:tcPr>
          <w:p w14:paraId="4F697C34">
            <w:pPr>
              <w:pStyle w:val="80"/>
              <w:ind w:firstLine="0" w:firstLineChars="0"/>
              <w:rPr>
                <w:rFonts w:hint="eastAsia" w:ascii="华文仿宋" w:hAnsi="华文仿宋" w:eastAsia="华文仿宋" w:cs="华文仿宋"/>
                <w:color w:val="auto"/>
                <w:sz w:val="24"/>
                <w:szCs w:val="24"/>
                <w:highlight w:val="none"/>
              </w:rPr>
            </w:pPr>
          </w:p>
        </w:tc>
        <w:tc>
          <w:tcPr>
            <w:tcW w:w="1764" w:type="dxa"/>
            <w:vAlign w:val="top"/>
          </w:tcPr>
          <w:p w14:paraId="062B2E7C">
            <w:pPr>
              <w:pStyle w:val="80"/>
              <w:ind w:firstLine="0" w:firstLineChars="0"/>
              <w:rPr>
                <w:rFonts w:hint="eastAsia" w:ascii="华文仿宋" w:hAnsi="华文仿宋" w:eastAsia="华文仿宋" w:cs="华文仿宋"/>
                <w:color w:val="auto"/>
                <w:sz w:val="24"/>
                <w:szCs w:val="24"/>
                <w:highlight w:val="none"/>
              </w:rPr>
            </w:pPr>
          </w:p>
        </w:tc>
        <w:tc>
          <w:tcPr>
            <w:tcW w:w="1401" w:type="dxa"/>
            <w:vAlign w:val="top"/>
          </w:tcPr>
          <w:p w14:paraId="0B21C356">
            <w:pPr>
              <w:pStyle w:val="80"/>
              <w:ind w:firstLine="0" w:firstLineChars="0"/>
              <w:rPr>
                <w:rFonts w:hint="eastAsia" w:ascii="华文仿宋" w:hAnsi="华文仿宋" w:eastAsia="华文仿宋" w:cs="华文仿宋"/>
                <w:color w:val="auto"/>
                <w:sz w:val="24"/>
                <w:szCs w:val="24"/>
                <w:highlight w:val="none"/>
              </w:rPr>
            </w:pPr>
          </w:p>
        </w:tc>
      </w:tr>
    </w:tbl>
    <w:p w14:paraId="4485818E">
      <w:pPr>
        <w:pStyle w:val="80"/>
        <w:ind w:firstLine="480"/>
        <w:rPr>
          <w:rFonts w:hint="eastAsia" w:ascii="华文仿宋" w:hAnsi="华文仿宋" w:eastAsia="华文仿宋" w:cs="华文仿宋"/>
          <w:color w:val="auto"/>
          <w:sz w:val="24"/>
          <w:szCs w:val="24"/>
          <w:highlight w:val="none"/>
        </w:rPr>
      </w:pPr>
    </w:p>
    <w:p w14:paraId="2894860D">
      <w:pPr>
        <w:pStyle w:val="80"/>
        <w:ind w:firstLine="48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注：后附业绩合同或证明材料复印件</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lang w:val="en-US" w:eastAsia="zh-CN"/>
        </w:rPr>
        <w:t>加盖公章）</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lang w:val="en-US" w:eastAsia="zh-CN"/>
        </w:rPr>
        <w:t>类似业绩时间以签订合同为准。</w:t>
      </w:r>
    </w:p>
    <w:p w14:paraId="4C9DC636">
      <w:pPr>
        <w:rPr>
          <w:rFonts w:hint="eastAsia" w:ascii="华文仿宋" w:hAnsi="华文仿宋" w:eastAsia="华文仿宋" w:cs="华文仿宋"/>
          <w:color w:val="auto"/>
          <w:sz w:val="32"/>
          <w:szCs w:val="32"/>
          <w:highlight w:val="none"/>
          <w:lang w:val="en-US" w:eastAsia="zh-CN"/>
        </w:rPr>
      </w:pPr>
    </w:p>
    <w:p w14:paraId="18240BCA">
      <w:pPr>
        <w:pStyle w:val="3"/>
        <w:pageBreakBefore w:val="0"/>
        <w:widowControl w:val="0"/>
        <w:numPr>
          <w:ilvl w:val="0"/>
          <w:numId w:val="0"/>
        </w:numPr>
        <w:kinsoku/>
        <w:wordWrap/>
        <w:overflowPunct/>
        <w:topLinePunct w:val="0"/>
        <w:autoSpaceDE/>
        <w:autoSpaceDN/>
        <w:bidi w:val="0"/>
        <w:adjustRightInd/>
        <w:snapToGrid/>
        <w:spacing w:before="0" w:beforeLines="0" w:after="0" w:afterLines="0"/>
        <w:jc w:val="center"/>
        <w:textAlignment w:val="auto"/>
        <w:outlineLvl w:val="9"/>
        <w:rPr>
          <w:rFonts w:hint="eastAsia" w:ascii="华文仿宋" w:hAnsi="华文仿宋" w:eastAsia="华文仿宋" w:cs="华文仿宋"/>
          <w:color w:val="auto"/>
          <w:sz w:val="32"/>
          <w:szCs w:val="32"/>
          <w:highlight w:val="none"/>
          <w:lang w:val="en-US" w:eastAsia="zh-CN"/>
        </w:rPr>
      </w:pPr>
    </w:p>
    <w:p w14:paraId="31618399">
      <w:pPr>
        <w:rPr>
          <w:rFonts w:hint="eastAsia" w:ascii="华文仿宋" w:hAnsi="华文仿宋" w:eastAsia="华文仿宋" w:cs="华文仿宋"/>
          <w:color w:val="auto"/>
          <w:sz w:val="32"/>
          <w:szCs w:val="32"/>
          <w:highlight w:val="none"/>
          <w:lang w:val="en-US" w:eastAsia="zh-CN"/>
        </w:rPr>
      </w:pPr>
    </w:p>
    <w:p w14:paraId="7C04AD92">
      <w:pPr>
        <w:pStyle w:val="41"/>
        <w:rPr>
          <w:rFonts w:hint="eastAsia" w:ascii="华文仿宋" w:hAnsi="华文仿宋" w:eastAsia="华文仿宋" w:cs="华文仿宋"/>
          <w:color w:val="auto"/>
          <w:lang w:val="en-US" w:eastAsia="zh-CN"/>
        </w:rPr>
      </w:pPr>
    </w:p>
    <w:p w14:paraId="1A5F52A9">
      <w:pPr>
        <w:pageBreakBefore w:val="0"/>
        <w:widowControl w:val="0"/>
        <w:kinsoku/>
        <w:wordWrap/>
        <w:overflowPunct/>
        <w:topLinePunct w:val="0"/>
        <w:autoSpaceDE/>
        <w:autoSpaceDN/>
        <w:bidi w:val="0"/>
        <w:adjustRightInd/>
        <w:snapToGrid/>
        <w:textAlignment w:val="auto"/>
        <w:rPr>
          <w:rFonts w:hint="eastAsia" w:ascii="华文仿宋" w:hAnsi="华文仿宋" w:eastAsia="华文仿宋" w:cs="华文仿宋"/>
          <w:color w:val="auto"/>
          <w:sz w:val="32"/>
          <w:szCs w:val="32"/>
          <w:highlight w:val="none"/>
          <w:lang w:val="en-US" w:eastAsia="zh-CN"/>
        </w:rPr>
      </w:pPr>
    </w:p>
    <w:p w14:paraId="3A82AD27">
      <w:pPr>
        <w:pStyle w:val="3"/>
        <w:numPr>
          <w:ilvl w:val="0"/>
          <w:numId w:val="0"/>
        </w:numPr>
        <w:spacing w:before="0" w:after="0" w:line="240" w:lineRule="auto"/>
        <w:jc w:val="center"/>
        <w:outlineLvl w:val="9"/>
        <w:rPr>
          <w:rFonts w:hint="eastAsia" w:ascii="华文仿宋" w:hAnsi="华文仿宋" w:eastAsia="华文仿宋" w:cs="华文仿宋"/>
          <w:color w:val="auto"/>
          <w:sz w:val="32"/>
          <w:szCs w:val="32"/>
          <w:highlight w:val="none"/>
          <w:lang w:val="en-US" w:eastAsia="zh-CN"/>
        </w:rPr>
      </w:pPr>
    </w:p>
    <w:p w14:paraId="7D526092">
      <w:pPr>
        <w:rPr>
          <w:rFonts w:hint="eastAsia" w:ascii="华文仿宋" w:hAnsi="华文仿宋" w:eastAsia="华文仿宋" w:cs="华文仿宋"/>
          <w:color w:val="auto"/>
          <w:lang w:val="en-US" w:eastAsia="zh-CN"/>
        </w:rPr>
      </w:pPr>
    </w:p>
    <w:p w14:paraId="7CCCE24D">
      <w:pPr>
        <w:spacing w:line="360" w:lineRule="auto"/>
        <w:ind w:firstLine="643"/>
        <w:jc w:val="center"/>
        <w:outlineLvl w:val="1"/>
        <w:rPr>
          <w:rFonts w:hint="eastAsia" w:ascii="华文仿宋" w:hAnsi="华文仿宋" w:eastAsia="华文仿宋" w:cs="华文仿宋"/>
          <w:b/>
          <w:bCs/>
          <w:color w:val="auto"/>
          <w:sz w:val="30"/>
          <w:szCs w:val="30"/>
          <w:lang w:val="en-US"/>
        </w:rPr>
      </w:pPr>
      <w:r>
        <w:rPr>
          <w:rFonts w:hint="eastAsia" w:ascii="华文仿宋" w:hAnsi="华文仿宋" w:eastAsia="华文仿宋" w:cs="华文仿宋"/>
          <w:b/>
          <w:bCs/>
          <w:color w:val="auto"/>
          <w:sz w:val="30"/>
          <w:szCs w:val="30"/>
          <w:lang w:val="en-US" w:eastAsia="zh-CN"/>
        </w:rPr>
        <w:t>六、拟投入机械设备一览表</w:t>
      </w:r>
    </w:p>
    <w:tbl>
      <w:tblPr>
        <w:tblStyle w:val="25"/>
        <w:tblpPr w:leftFromText="180" w:rightFromText="180" w:vertAnchor="text" w:horzAnchor="page" w:tblpX="1559" w:tblpY="321"/>
        <w:tblOverlap w:val="never"/>
        <w:tblW w:w="8790" w:type="dxa"/>
        <w:tblInd w:w="0" w:type="dxa"/>
        <w:tblLayout w:type="fixed"/>
        <w:tblCellMar>
          <w:top w:w="0" w:type="dxa"/>
          <w:left w:w="15" w:type="dxa"/>
          <w:bottom w:w="0" w:type="dxa"/>
          <w:right w:w="15" w:type="dxa"/>
        </w:tblCellMar>
      </w:tblPr>
      <w:tblGrid>
        <w:gridCol w:w="859"/>
        <w:gridCol w:w="2704"/>
        <w:gridCol w:w="1240"/>
        <w:gridCol w:w="1707"/>
        <w:gridCol w:w="2280"/>
      </w:tblGrid>
      <w:tr w14:paraId="23F8759E">
        <w:tblPrEx>
          <w:tblCellMar>
            <w:top w:w="0" w:type="dxa"/>
            <w:left w:w="15" w:type="dxa"/>
            <w:bottom w:w="0" w:type="dxa"/>
            <w:right w:w="15" w:type="dxa"/>
          </w:tblCellMar>
        </w:tblPrEx>
        <w:trPr>
          <w:trHeight w:val="868" w:hRule="atLeast"/>
        </w:trPr>
        <w:tc>
          <w:tcPr>
            <w:tcW w:w="859" w:type="dxa"/>
            <w:tcBorders>
              <w:top w:val="single" w:color="000000" w:sz="4" w:space="0"/>
              <w:left w:val="single" w:color="000000" w:sz="4" w:space="0"/>
              <w:bottom w:val="single" w:color="000000" w:sz="4" w:space="0"/>
              <w:right w:val="single" w:color="000000" w:sz="4" w:space="0"/>
            </w:tcBorders>
            <w:vAlign w:val="center"/>
          </w:tcPr>
          <w:p w14:paraId="3120E0BE">
            <w:pPr>
              <w:autoSpaceDN w:val="0"/>
              <w:spacing w:line="360" w:lineRule="auto"/>
              <w:jc w:val="center"/>
              <w:textAlignment w:val="center"/>
              <w:rPr>
                <w:rFonts w:hint="eastAsia" w:ascii="华文仿宋" w:hAnsi="华文仿宋" w:eastAsia="华文仿宋" w:cs="华文仿宋"/>
                <w:color w:val="auto"/>
                <w:lang w:val="en-US" w:eastAsia="zh-CN"/>
              </w:rPr>
            </w:pPr>
            <w:r>
              <w:rPr>
                <w:rFonts w:hint="eastAsia" w:ascii="华文仿宋" w:hAnsi="华文仿宋" w:eastAsia="华文仿宋" w:cs="华文仿宋"/>
                <w:color w:val="auto"/>
                <w:lang w:val="en-US" w:eastAsia="zh-CN"/>
              </w:rPr>
              <w:t>序号</w:t>
            </w:r>
          </w:p>
        </w:tc>
        <w:tc>
          <w:tcPr>
            <w:tcW w:w="2704" w:type="dxa"/>
            <w:tcBorders>
              <w:top w:val="single" w:color="000000" w:sz="4" w:space="0"/>
              <w:left w:val="single" w:color="000000" w:sz="4" w:space="0"/>
              <w:bottom w:val="single" w:color="000000" w:sz="4" w:space="0"/>
              <w:right w:val="single" w:color="000000" w:sz="4" w:space="0"/>
            </w:tcBorders>
            <w:vAlign w:val="center"/>
          </w:tcPr>
          <w:p w14:paraId="2EF1AC7C">
            <w:pPr>
              <w:autoSpaceDN w:val="0"/>
              <w:spacing w:line="360" w:lineRule="auto"/>
              <w:jc w:val="center"/>
              <w:textAlignment w:val="center"/>
              <w:rPr>
                <w:rFonts w:hint="eastAsia" w:ascii="华文仿宋" w:hAnsi="华文仿宋" w:eastAsia="华文仿宋" w:cs="华文仿宋"/>
                <w:color w:val="auto"/>
              </w:rPr>
            </w:pPr>
            <w:r>
              <w:rPr>
                <w:rFonts w:hint="eastAsia" w:ascii="华文仿宋" w:hAnsi="华文仿宋" w:eastAsia="华文仿宋" w:cs="华文仿宋"/>
                <w:color w:val="auto"/>
              </w:rPr>
              <w:t>设备名称</w:t>
            </w:r>
          </w:p>
        </w:tc>
        <w:tc>
          <w:tcPr>
            <w:tcW w:w="1240" w:type="dxa"/>
            <w:tcBorders>
              <w:top w:val="single" w:color="000000" w:sz="4" w:space="0"/>
              <w:left w:val="single" w:color="auto" w:sz="4" w:space="0"/>
              <w:bottom w:val="single" w:color="000000" w:sz="4" w:space="0"/>
              <w:right w:val="single" w:color="000000" w:sz="4" w:space="0"/>
            </w:tcBorders>
            <w:vAlign w:val="center"/>
          </w:tcPr>
          <w:p w14:paraId="057F5EF3">
            <w:pPr>
              <w:autoSpaceDN w:val="0"/>
              <w:spacing w:line="360" w:lineRule="auto"/>
              <w:jc w:val="center"/>
              <w:textAlignment w:val="center"/>
              <w:rPr>
                <w:rFonts w:hint="eastAsia" w:ascii="华文仿宋" w:hAnsi="华文仿宋" w:eastAsia="华文仿宋" w:cs="华文仿宋"/>
                <w:color w:val="auto"/>
              </w:rPr>
            </w:pPr>
            <w:r>
              <w:rPr>
                <w:rFonts w:hint="eastAsia" w:ascii="华文仿宋" w:hAnsi="华文仿宋" w:eastAsia="华文仿宋" w:cs="华文仿宋"/>
                <w:color w:val="auto"/>
              </w:rPr>
              <w:t>单位</w:t>
            </w:r>
          </w:p>
        </w:tc>
        <w:tc>
          <w:tcPr>
            <w:tcW w:w="1707" w:type="dxa"/>
            <w:tcBorders>
              <w:top w:val="single" w:color="000000" w:sz="4" w:space="0"/>
              <w:left w:val="single" w:color="auto" w:sz="4" w:space="0"/>
              <w:bottom w:val="single" w:color="000000" w:sz="4" w:space="0"/>
              <w:right w:val="single" w:color="000000" w:sz="4" w:space="0"/>
            </w:tcBorders>
            <w:vAlign w:val="center"/>
          </w:tcPr>
          <w:p w14:paraId="0651A1A3">
            <w:pPr>
              <w:autoSpaceDN w:val="0"/>
              <w:spacing w:line="360" w:lineRule="auto"/>
              <w:jc w:val="center"/>
              <w:textAlignment w:val="center"/>
              <w:rPr>
                <w:rFonts w:hint="eastAsia" w:ascii="华文仿宋" w:hAnsi="华文仿宋" w:eastAsia="华文仿宋" w:cs="华文仿宋"/>
                <w:color w:val="auto"/>
                <w:lang w:val="en-US" w:eastAsia="zh-CN"/>
              </w:rPr>
            </w:pPr>
            <w:r>
              <w:rPr>
                <w:rFonts w:hint="eastAsia" w:ascii="华文仿宋" w:hAnsi="华文仿宋" w:eastAsia="华文仿宋" w:cs="华文仿宋"/>
                <w:color w:val="auto"/>
                <w:lang w:val="en-US" w:eastAsia="zh-CN"/>
              </w:rPr>
              <w:t>数量</w:t>
            </w:r>
          </w:p>
        </w:tc>
        <w:tc>
          <w:tcPr>
            <w:tcW w:w="2280" w:type="dxa"/>
            <w:tcBorders>
              <w:top w:val="single" w:color="000000" w:sz="4" w:space="0"/>
              <w:left w:val="single" w:color="auto" w:sz="4" w:space="0"/>
              <w:bottom w:val="single" w:color="000000" w:sz="4" w:space="0"/>
              <w:right w:val="single" w:color="000000" w:sz="4" w:space="0"/>
            </w:tcBorders>
            <w:vAlign w:val="center"/>
          </w:tcPr>
          <w:p w14:paraId="7CE0D65F">
            <w:pPr>
              <w:autoSpaceDN w:val="0"/>
              <w:spacing w:line="360" w:lineRule="auto"/>
              <w:jc w:val="center"/>
              <w:textAlignment w:val="center"/>
              <w:rPr>
                <w:rFonts w:hint="eastAsia" w:ascii="华文仿宋" w:hAnsi="华文仿宋" w:eastAsia="华文仿宋" w:cs="华文仿宋"/>
                <w:color w:val="auto"/>
                <w:lang w:val="en-US" w:eastAsia="zh-CN"/>
              </w:rPr>
            </w:pPr>
            <w:r>
              <w:rPr>
                <w:rFonts w:hint="eastAsia" w:ascii="华文仿宋" w:hAnsi="华文仿宋" w:eastAsia="华文仿宋" w:cs="华文仿宋"/>
                <w:color w:val="auto"/>
                <w:lang w:val="en-US" w:eastAsia="zh-CN"/>
              </w:rPr>
              <w:t>购买日期</w:t>
            </w:r>
          </w:p>
        </w:tc>
      </w:tr>
      <w:tr w14:paraId="7B82084D">
        <w:tblPrEx>
          <w:tblCellMar>
            <w:top w:w="0" w:type="dxa"/>
            <w:left w:w="15" w:type="dxa"/>
            <w:bottom w:w="0" w:type="dxa"/>
            <w:right w:w="15" w:type="dxa"/>
          </w:tblCellMar>
        </w:tblPrEx>
        <w:trPr>
          <w:trHeight w:val="708" w:hRule="exact"/>
        </w:trPr>
        <w:tc>
          <w:tcPr>
            <w:tcW w:w="859" w:type="dxa"/>
            <w:tcBorders>
              <w:top w:val="single" w:color="000000" w:sz="4" w:space="0"/>
              <w:left w:val="single" w:color="000000" w:sz="4" w:space="0"/>
              <w:bottom w:val="single" w:color="000000" w:sz="4" w:space="0"/>
              <w:right w:val="single" w:color="000000" w:sz="4" w:space="0"/>
            </w:tcBorders>
            <w:vAlign w:val="center"/>
          </w:tcPr>
          <w:p w14:paraId="1A04254C">
            <w:pPr>
              <w:autoSpaceDN w:val="0"/>
              <w:spacing w:line="360" w:lineRule="auto"/>
              <w:jc w:val="center"/>
              <w:textAlignment w:val="center"/>
              <w:rPr>
                <w:rFonts w:hint="eastAsia" w:ascii="华文仿宋" w:hAnsi="华文仿宋" w:eastAsia="华文仿宋" w:cs="华文仿宋"/>
                <w:color w:val="auto"/>
                <w:szCs w:val="21"/>
                <w:lang w:val="en-US" w:eastAsia="zh-CN"/>
              </w:rPr>
            </w:pPr>
            <w:r>
              <w:rPr>
                <w:rFonts w:hint="eastAsia" w:ascii="华文仿宋" w:hAnsi="华文仿宋" w:eastAsia="华文仿宋" w:cs="华文仿宋"/>
                <w:color w:val="auto"/>
                <w:szCs w:val="21"/>
                <w:lang w:val="en-US" w:eastAsia="zh-CN"/>
              </w:rPr>
              <w:t>1</w:t>
            </w:r>
          </w:p>
        </w:tc>
        <w:tc>
          <w:tcPr>
            <w:tcW w:w="2704" w:type="dxa"/>
            <w:tcBorders>
              <w:top w:val="single" w:color="000000" w:sz="4" w:space="0"/>
              <w:left w:val="single" w:color="000000" w:sz="4" w:space="0"/>
              <w:bottom w:val="single" w:color="000000" w:sz="4" w:space="0"/>
              <w:right w:val="single" w:color="000000" w:sz="4" w:space="0"/>
            </w:tcBorders>
            <w:vAlign w:val="center"/>
          </w:tcPr>
          <w:p w14:paraId="6A65336F">
            <w:pPr>
              <w:autoSpaceDN w:val="0"/>
              <w:spacing w:line="360" w:lineRule="auto"/>
              <w:jc w:val="center"/>
              <w:textAlignment w:val="center"/>
              <w:rPr>
                <w:rFonts w:hint="eastAsia" w:ascii="华文仿宋" w:hAnsi="华文仿宋" w:eastAsia="华文仿宋" w:cs="华文仿宋"/>
                <w:color w:val="auto"/>
                <w:szCs w:val="21"/>
              </w:rPr>
            </w:pPr>
          </w:p>
        </w:tc>
        <w:tc>
          <w:tcPr>
            <w:tcW w:w="1240" w:type="dxa"/>
            <w:tcBorders>
              <w:top w:val="single" w:color="auto" w:sz="4" w:space="0"/>
              <w:left w:val="single" w:color="auto" w:sz="4" w:space="0"/>
              <w:bottom w:val="single" w:color="auto" w:sz="4" w:space="0"/>
              <w:right w:val="single" w:color="000000" w:sz="4" w:space="0"/>
            </w:tcBorders>
            <w:vAlign w:val="center"/>
          </w:tcPr>
          <w:p w14:paraId="79AF0EF6">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c>
          <w:tcPr>
            <w:tcW w:w="1707" w:type="dxa"/>
            <w:tcBorders>
              <w:top w:val="single" w:color="auto" w:sz="4" w:space="0"/>
              <w:left w:val="single" w:color="auto" w:sz="4" w:space="0"/>
              <w:bottom w:val="single" w:color="auto" w:sz="4" w:space="0"/>
              <w:right w:val="single" w:color="000000" w:sz="4" w:space="0"/>
            </w:tcBorders>
            <w:vAlign w:val="center"/>
          </w:tcPr>
          <w:p w14:paraId="0619E971">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c>
          <w:tcPr>
            <w:tcW w:w="2280" w:type="dxa"/>
            <w:tcBorders>
              <w:top w:val="single" w:color="auto" w:sz="4" w:space="0"/>
              <w:left w:val="single" w:color="auto" w:sz="4" w:space="0"/>
              <w:bottom w:val="single" w:color="auto" w:sz="4" w:space="0"/>
              <w:right w:val="single" w:color="000000" w:sz="4" w:space="0"/>
            </w:tcBorders>
            <w:vAlign w:val="center"/>
          </w:tcPr>
          <w:p w14:paraId="532BDBF6">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r>
      <w:tr w14:paraId="0C82D7EC">
        <w:tblPrEx>
          <w:tblCellMar>
            <w:top w:w="0" w:type="dxa"/>
            <w:left w:w="15" w:type="dxa"/>
            <w:bottom w:w="0" w:type="dxa"/>
            <w:right w:w="15" w:type="dxa"/>
          </w:tblCellMar>
        </w:tblPrEx>
        <w:trPr>
          <w:trHeight w:val="566" w:hRule="exact"/>
        </w:trPr>
        <w:tc>
          <w:tcPr>
            <w:tcW w:w="859" w:type="dxa"/>
            <w:tcBorders>
              <w:top w:val="single" w:color="000000" w:sz="4" w:space="0"/>
              <w:left w:val="single" w:color="000000" w:sz="4" w:space="0"/>
              <w:bottom w:val="single" w:color="000000" w:sz="4" w:space="0"/>
              <w:right w:val="single" w:color="000000" w:sz="4" w:space="0"/>
            </w:tcBorders>
            <w:vAlign w:val="center"/>
          </w:tcPr>
          <w:p w14:paraId="7BCD4062">
            <w:pPr>
              <w:autoSpaceDN w:val="0"/>
              <w:spacing w:line="360" w:lineRule="auto"/>
              <w:jc w:val="center"/>
              <w:textAlignment w:val="center"/>
              <w:rPr>
                <w:rFonts w:hint="eastAsia" w:ascii="华文仿宋" w:hAnsi="华文仿宋" w:eastAsia="华文仿宋" w:cs="华文仿宋"/>
                <w:color w:val="auto"/>
                <w:szCs w:val="21"/>
                <w:lang w:val="en-US" w:eastAsia="zh-CN"/>
              </w:rPr>
            </w:pPr>
            <w:r>
              <w:rPr>
                <w:rFonts w:hint="eastAsia" w:ascii="华文仿宋" w:hAnsi="华文仿宋" w:eastAsia="华文仿宋" w:cs="华文仿宋"/>
                <w:color w:val="auto"/>
                <w:szCs w:val="21"/>
                <w:lang w:val="en-US" w:eastAsia="zh-CN"/>
              </w:rPr>
              <w:t>2</w:t>
            </w:r>
          </w:p>
        </w:tc>
        <w:tc>
          <w:tcPr>
            <w:tcW w:w="2704" w:type="dxa"/>
            <w:tcBorders>
              <w:top w:val="single" w:color="000000" w:sz="4" w:space="0"/>
              <w:left w:val="single" w:color="000000" w:sz="4" w:space="0"/>
              <w:bottom w:val="single" w:color="000000" w:sz="4" w:space="0"/>
              <w:right w:val="single" w:color="000000" w:sz="4" w:space="0"/>
            </w:tcBorders>
            <w:vAlign w:val="center"/>
          </w:tcPr>
          <w:p w14:paraId="4A295894">
            <w:pPr>
              <w:autoSpaceDN w:val="0"/>
              <w:spacing w:line="360" w:lineRule="auto"/>
              <w:jc w:val="center"/>
              <w:textAlignment w:val="center"/>
              <w:rPr>
                <w:rFonts w:hint="eastAsia" w:ascii="华文仿宋" w:hAnsi="华文仿宋" w:eastAsia="华文仿宋" w:cs="华文仿宋"/>
                <w:color w:val="auto"/>
                <w:szCs w:val="21"/>
              </w:rPr>
            </w:pPr>
          </w:p>
        </w:tc>
        <w:tc>
          <w:tcPr>
            <w:tcW w:w="1240" w:type="dxa"/>
            <w:tcBorders>
              <w:top w:val="single" w:color="auto" w:sz="4" w:space="0"/>
              <w:left w:val="single" w:color="auto" w:sz="4" w:space="0"/>
              <w:bottom w:val="single" w:color="auto" w:sz="4" w:space="0"/>
              <w:right w:val="single" w:color="000000" w:sz="4" w:space="0"/>
            </w:tcBorders>
            <w:vAlign w:val="center"/>
          </w:tcPr>
          <w:p w14:paraId="40F5C02E">
            <w:pPr>
              <w:topLinePunct/>
              <w:autoSpaceDE w:val="0"/>
              <w:autoSpaceDN w:val="0"/>
              <w:adjustRightInd w:val="0"/>
              <w:spacing w:line="360" w:lineRule="auto"/>
              <w:jc w:val="center"/>
              <w:rPr>
                <w:rFonts w:hint="eastAsia" w:ascii="华文仿宋" w:hAnsi="华文仿宋" w:eastAsia="华文仿宋" w:cs="华文仿宋"/>
                <w:color w:val="auto"/>
                <w:szCs w:val="21"/>
              </w:rPr>
            </w:pPr>
          </w:p>
        </w:tc>
        <w:tc>
          <w:tcPr>
            <w:tcW w:w="1707" w:type="dxa"/>
            <w:tcBorders>
              <w:top w:val="single" w:color="auto" w:sz="4" w:space="0"/>
              <w:left w:val="single" w:color="auto" w:sz="4" w:space="0"/>
              <w:bottom w:val="single" w:color="auto" w:sz="4" w:space="0"/>
              <w:right w:val="single" w:color="000000" w:sz="4" w:space="0"/>
            </w:tcBorders>
            <w:vAlign w:val="center"/>
          </w:tcPr>
          <w:p w14:paraId="046C9217">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c>
          <w:tcPr>
            <w:tcW w:w="2280" w:type="dxa"/>
            <w:tcBorders>
              <w:top w:val="single" w:color="auto" w:sz="4" w:space="0"/>
              <w:left w:val="single" w:color="auto" w:sz="4" w:space="0"/>
              <w:bottom w:val="single" w:color="auto" w:sz="4" w:space="0"/>
              <w:right w:val="single" w:color="000000" w:sz="4" w:space="0"/>
            </w:tcBorders>
            <w:vAlign w:val="center"/>
          </w:tcPr>
          <w:p w14:paraId="1BB11DF0">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r>
      <w:tr w14:paraId="2042EE27">
        <w:tblPrEx>
          <w:tblCellMar>
            <w:top w:w="0" w:type="dxa"/>
            <w:left w:w="15" w:type="dxa"/>
            <w:bottom w:w="0" w:type="dxa"/>
            <w:right w:w="15" w:type="dxa"/>
          </w:tblCellMar>
        </w:tblPrEx>
        <w:trPr>
          <w:trHeight w:val="566" w:hRule="exact"/>
        </w:trPr>
        <w:tc>
          <w:tcPr>
            <w:tcW w:w="859" w:type="dxa"/>
            <w:tcBorders>
              <w:top w:val="single" w:color="000000" w:sz="4" w:space="0"/>
              <w:left w:val="single" w:color="000000" w:sz="4" w:space="0"/>
              <w:bottom w:val="single" w:color="000000" w:sz="4" w:space="0"/>
              <w:right w:val="single" w:color="000000" w:sz="4" w:space="0"/>
            </w:tcBorders>
            <w:vAlign w:val="center"/>
          </w:tcPr>
          <w:p w14:paraId="4DAA64E0">
            <w:pPr>
              <w:autoSpaceDN w:val="0"/>
              <w:spacing w:line="360" w:lineRule="auto"/>
              <w:jc w:val="center"/>
              <w:textAlignment w:val="center"/>
              <w:rPr>
                <w:rFonts w:hint="eastAsia" w:ascii="华文仿宋" w:hAnsi="华文仿宋" w:eastAsia="华文仿宋" w:cs="华文仿宋"/>
                <w:color w:val="auto"/>
                <w:szCs w:val="21"/>
                <w:lang w:val="en-US" w:eastAsia="zh-CN"/>
              </w:rPr>
            </w:pPr>
            <w:r>
              <w:rPr>
                <w:rFonts w:hint="eastAsia" w:ascii="华文仿宋" w:hAnsi="华文仿宋" w:eastAsia="华文仿宋" w:cs="华文仿宋"/>
                <w:color w:val="auto"/>
                <w:szCs w:val="21"/>
                <w:lang w:val="en-US" w:eastAsia="zh-CN"/>
              </w:rPr>
              <w:t>3</w:t>
            </w:r>
          </w:p>
        </w:tc>
        <w:tc>
          <w:tcPr>
            <w:tcW w:w="2704" w:type="dxa"/>
            <w:tcBorders>
              <w:top w:val="single" w:color="000000" w:sz="4" w:space="0"/>
              <w:left w:val="single" w:color="000000" w:sz="4" w:space="0"/>
              <w:bottom w:val="single" w:color="000000" w:sz="4" w:space="0"/>
              <w:right w:val="single" w:color="000000" w:sz="4" w:space="0"/>
            </w:tcBorders>
            <w:vAlign w:val="center"/>
          </w:tcPr>
          <w:p w14:paraId="78C88589">
            <w:pPr>
              <w:autoSpaceDN w:val="0"/>
              <w:spacing w:line="360" w:lineRule="auto"/>
              <w:jc w:val="center"/>
              <w:textAlignment w:val="center"/>
              <w:rPr>
                <w:rFonts w:hint="eastAsia" w:ascii="华文仿宋" w:hAnsi="华文仿宋" w:eastAsia="华文仿宋" w:cs="华文仿宋"/>
                <w:color w:val="auto"/>
                <w:szCs w:val="21"/>
              </w:rPr>
            </w:pPr>
          </w:p>
        </w:tc>
        <w:tc>
          <w:tcPr>
            <w:tcW w:w="1240" w:type="dxa"/>
            <w:tcBorders>
              <w:top w:val="single" w:color="auto" w:sz="4" w:space="0"/>
              <w:left w:val="single" w:color="auto" w:sz="4" w:space="0"/>
              <w:bottom w:val="single" w:color="auto" w:sz="4" w:space="0"/>
              <w:right w:val="single" w:color="000000" w:sz="4" w:space="0"/>
            </w:tcBorders>
            <w:vAlign w:val="center"/>
          </w:tcPr>
          <w:p w14:paraId="1DEFBF64">
            <w:pPr>
              <w:topLinePunct/>
              <w:autoSpaceDE w:val="0"/>
              <w:autoSpaceDN w:val="0"/>
              <w:adjustRightInd w:val="0"/>
              <w:spacing w:line="360" w:lineRule="auto"/>
              <w:jc w:val="center"/>
              <w:rPr>
                <w:rFonts w:hint="eastAsia" w:ascii="华文仿宋" w:hAnsi="华文仿宋" w:eastAsia="华文仿宋" w:cs="华文仿宋"/>
                <w:color w:val="auto"/>
                <w:szCs w:val="21"/>
              </w:rPr>
            </w:pPr>
          </w:p>
        </w:tc>
        <w:tc>
          <w:tcPr>
            <w:tcW w:w="1707" w:type="dxa"/>
            <w:tcBorders>
              <w:top w:val="single" w:color="auto" w:sz="4" w:space="0"/>
              <w:left w:val="single" w:color="auto" w:sz="4" w:space="0"/>
              <w:bottom w:val="single" w:color="auto" w:sz="4" w:space="0"/>
              <w:right w:val="single" w:color="000000" w:sz="4" w:space="0"/>
            </w:tcBorders>
            <w:vAlign w:val="center"/>
          </w:tcPr>
          <w:p w14:paraId="59C841E0">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c>
          <w:tcPr>
            <w:tcW w:w="2280" w:type="dxa"/>
            <w:tcBorders>
              <w:top w:val="single" w:color="auto" w:sz="4" w:space="0"/>
              <w:left w:val="single" w:color="auto" w:sz="4" w:space="0"/>
              <w:bottom w:val="single" w:color="auto" w:sz="4" w:space="0"/>
              <w:right w:val="single" w:color="000000" w:sz="4" w:space="0"/>
            </w:tcBorders>
            <w:vAlign w:val="center"/>
          </w:tcPr>
          <w:p w14:paraId="3D446D33">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r>
      <w:tr w14:paraId="5360210F">
        <w:tblPrEx>
          <w:tblCellMar>
            <w:top w:w="0" w:type="dxa"/>
            <w:left w:w="15" w:type="dxa"/>
            <w:bottom w:w="0" w:type="dxa"/>
            <w:right w:w="15" w:type="dxa"/>
          </w:tblCellMar>
        </w:tblPrEx>
        <w:trPr>
          <w:trHeight w:val="708" w:hRule="exact"/>
        </w:trPr>
        <w:tc>
          <w:tcPr>
            <w:tcW w:w="859" w:type="dxa"/>
            <w:tcBorders>
              <w:top w:val="single" w:color="000000" w:sz="4" w:space="0"/>
              <w:left w:val="single" w:color="000000" w:sz="4" w:space="0"/>
              <w:bottom w:val="single" w:color="000000" w:sz="4" w:space="0"/>
              <w:right w:val="single" w:color="000000" w:sz="4" w:space="0"/>
            </w:tcBorders>
            <w:vAlign w:val="center"/>
          </w:tcPr>
          <w:p w14:paraId="6DAC616B">
            <w:pPr>
              <w:autoSpaceDN w:val="0"/>
              <w:spacing w:line="360" w:lineRule="auto"/>
              <w:jc w:val="center"/>
              <w:textAlignment w:val="center"/>
              <w:rPr>
                <w:rFonts w:hint="eastAsia" w:ascii="华文仿宋" w:hAnsi="华文仿宋" w:eastAsia="华文仿宋" w:cs="华文仿宋"/>
                <w:color w:val="auto"/>
                <w:szCs w:val="21"/>
                <w:lang w:val="en-US" w:eastAsia="zh-CN"/>
              </w:rPr>
            </w:pPr>
            <w:r>
              <w:rPr>
                <w:rFonts w:hint="eastAsia" w:ascii="华文仿宋" w:hAnsi="华文仿宋" w:eastAsia="华文仿宋" w:cs="华文仿宋"/>
                <w:color w:val="auto"/>
                <w:szCs w:val="21"/>
                <w:lang w:val="en-US" w:eastAsia="zh-CN"/>
              </w:rPr>
              <w:t>4</w:t>
            </w:r>
          </w:p>
        </w:tc>
        <w:tc>
          <w:tcPr>
            <w:tcW w:w="2704" w:type="dxa"/>
            <w:tcBorders>
              <w:top w:val="single" w:color="000000" w:sz="4" w:space="0"/>
              <w:left w:val="single" w:color="000000" w:sz="4" w:space="0"/>
              <w:bottom w:val="single" w:color="000000" w:sz="4" w:space="0"/>
              <w:right w:val="single" w:color="000000" w:sz="4" w:space="0"/>
            </w:tcBorders>
            <w:vAlign w:val="center"/>
          </w:tcPr>
          <w:p w14:paraId="40A5DBF1">
            <w:pPr>
              <w:autoSpaceDN w:val="0"/>
              <w:spacing w:line="360" w:lineRule="auto"/>
              <w:jc w:val="center"/>
              <w:textAlignment w:val="center"/>
              <w:rPr>
                <w:rFonts w:hint="eastAsia" w:ascii="华文仿宋" w:hAnsi="华文仿宋" w:eastAsia="华文仿宋" w:cs="华文仿宋"/>
                <w:color w:val="auto"/>
                <w:szCs w:val="21"/>
              </w:rPr>
            </w:pPr>
          </w:p>
        </w:tc>
        <w:tc>
          <w:tcPr>
            <w:tcW w:w="1240" w:type="dxa"/>
            <w:tcBorders>
              <w:top w:val="single" w:color="auto" w:sz="4" w:space="0"/>
              <w:left w:val="single" w:color="auto" w:sz="4" w:space="0"/>
              <w:bottom w:val="single" w:color="auto" w:sz="4" w:space="0"/>
              <w:right w:val="single" w:color="000000" w:sz="4" w:space="0"/>
            </w:tcBorders>
            <w:vAlign w:val="center"/>
          </w:tcPr>
          <w:p w14:paraId="1C478771">
            <w:pPr>
              <w:topLinePunct/>
              <w:autoSpaceDE w:val="0"/>
              <w:autoSpaceDN w:val="0"/>
              <w:adjustRightInd w:val="0"/>
              <w:spacing w:line="360" w:lineRule="auto"/>
              <w:jc w:val="center"/>
              <w:rPr>
                <w:rFonts w:hint="eastAsia" w:ascii="华文仿宋" w:hAnsi="华文仿宋" w:eastAsia="华文仿宋" w:cs="华文仿宋"/>
                <w:color w:val="auto"/>
                <w:szCs w:val="21"/>
              </w:rPr>
            </w:pPr>
          </w:p>
        </w:tc>
        <w:tc>
          <w:tcPr>
            <w:tcW w:w="1707" w:type="dxa"/>
            <w:tcBorders>
              <w:top w:val="single" w:color="auto" w:sz="4" w:space="0"/>
              <w:left w:val="single" w:color="auto" w:sz="4" w:space="0"/>
              <w:bottom w:val="single" w:color="auto" w:sz="4" w:space="0"/>
              <w:right w:val="single" w:color="000000" w:sz="4" w:space="0"/>
            </w:tcBorders>
            <w:vAlign w:val="center"/>
          </w:tcPr>
          <w:p w14:paraId="0A673EA5">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c>
          <w:tcPr>
            <w:tcW w:w="2280" w:type="dxa"/>
            <w:tcBorders>
              <w:top w:val="single" w:color="auto" w:sz="4" w:space="0"/>
              <w:left w:val="single" w:color="auto" w:sz="4" w:space="0"/>
              <w:bottom w:val="single" w:color="auto" w:sz="4" w:space="0"/>
              <w:right w:val="single" w:color="000000" w:sz="4" w:space="0"/>
            </w:tcBorders>
            <w:vAlign w:val="center"/>
          </w:tcPr>
          <w:p w14:paraId="03CC6523">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r>
      <w:tr w14:paraId="1C0CF770">
        <w:tblPrEx>
          <w:tblCellMar>
            <w:top w:w="0" w:type="dxa"/>
            <w:left w:w="15" w:type="dxa"/>
            <w:bottom w:w="0" w:type="dxa"/>
            <w:right w:w="15" w:type="dxa"/>
          </w:tblCellMar>
        </w:tblPrEx>
        <w:trPr>
          <w:trHeight w:val="722" w:hRule="exact"/>
        </w:trPr>
        <w:tc>
          <w:tcPr>
            <w:tcW w:w="859" w:type="dxa"/>
            <w:tcBorders>
              <w:top w:val="single" w:color="000000" w:sz="4" w:space="0"/>
              <w:left w:val="single" w:color="000000" w:sz="4" w:space="0"/>
              <w:bottom w:val="single" w:color="000000" w:sz="4" w:space="0"/>
              <w:right w:val="single" w:color="000000" w:sz="4" w:space="0"/>
            </w:tcBorders>
            <w:vAlign w:val="center"/>
          </w:tcPr>
          <w:p w14:paraId="3D4CCA28">
            <w:pPr>
              <w:autoSpaceDN w:val="0"/>
              <w:spacing w:line="360" w:lineRule="auto"/>
              <w:jc w:val="center"/>
              <w:textAlignment w:val="center"/>
              <w:rPr>
                <w:rFonts w:hint="eastAsia" w:ascii="华文仿宋" w:hAnsi="华文仿宋" w:eastAsia="华文仿宋" w:cs="华文仿宋"/>
                <w:color w:val="auto"/>
                <w:szCs w:val="21"/>
                <w:lang w:val="en-US" w:eastAsia="zh-CN"/>
              </w:rPr>
            </w:pPr>
            <w:r>
              <w:rPr>
                <w:rFonts w:hint="eastAsia" w:ascii="华文仿宋" w:hAnsi="华文仿宋" w:eastAsia="华文仿宋" w:cs="华文仿宋"/>
                <w:color w:val="auto"/>
                <w:szCs w:val="21"/>
                <w:lang w:val="en-US" w:eastAsia="zh-CN"/>
              </w:rPr>
              <w:t>5</w:t>
            </w:r>
          </w:p>
        </w:tc>
        <w:tc>
          <w:tcPr>
            <w:tcW w:w="2704" w:type="dxa"/>
            <w:tcBorders>
              <w:top w:val="single" w:color="000000" w:sz="4" w:space="0"/>
              <w:left w:val="single" w:color="000000" w:sz="4" w:space="0"/>
              <w:bottom w:val="single" w:color="000000" w:sz="4" w:space="0"/>
              <w:right w:val="single" w:color="000000" w:sz="4" w:space="0"/>
            </w:tcBorders>
            <w:vAlign w:val="center"/>
          </w:tcPr>
          <w:p w14:paraId="0A58CD54">
            <w:pPr>
              <w:autoSpaceDN w:val="0"/>
              <w:spacing w:line="360" w:lineRule="auto"/>
              <w:jc w:val="center"/>
              <w:textAlignment w:val="center"/>
              <w:rPr>
                <w:rFonts w:hint="eastAsia" w:ascii="华文仿宋" w:hAnsi="华文仿宋" w:eastAsia="华文仿宋" w:cs="华文仿宋"/>
                <w:color w:val="auto"/>
                <w:szCs w:val="21"/>
              </w:rPr>
            </w:pPr>
          </w:p>
        </w:tc>
        <w:tc>
          <w:tcPr>
            <w:tcW w:w="1240" w:type="dxa"/>
            <w:tcBorders>
              <w:top w:val="single" w:color="auto" w:sz="4" w:space="0"/>
              <w:left w:val="single" w:color="auto" w:sz="4" w:space="0"/>
              <w:bottom w:val="single" w:color="auto" w:sz="4" w:space="0"/>
              <w:right w:val="single" w:color="000000" w:sz="4" w:space="0"/>
            </w:tcBorders>
            <w:vAlign w:val="center"/>
          </w:tcPr>
          <w:p w14:paraId="38B4A502">
            <w:pPr>
              <w:topLinePunct/>
              <w:autoSpaceDE w:val="0"/>
              <w:autoSpaceDN w:val="0"/>
              <w:adjustRightInd w:val="0"/>
              <w:spacing w:line="360" w:lineRule="auto"/>
              <w:jc w:val="center"/>
              <w:rPr>
                <w:rFonts w:hint="eastAsia" w:ascii="华文仿宋" w:hAnsi="华文仿宋" w:eastAsia="华文仿宋" w:cs="华文仿宋"/>
                <w:color w:val="auto"/>
                <w:szCs w:val="21"/>
              </w:rPr>
            </w:pPr>
          </w:p>
        </w:tc>
        <w:tc>
          <w:tcPr>
            <w:tcW w:w="1707" w:type="dxa"/>
            <w:tcBorders>
              <w:top w:val="single" w:color="auto" w:sz="4" w:space="0"/>
              <w:left w:val="single" w:color="auto" w:sz="4" w:space="0"/>
              <w:bottom w:val="single" w:color="auto" w:sz="4" w:space="0"/>
              <w:right w:val="single" w:color="000000" w:sz="4" w:space="0"/>
            </w:tcBorders>
            <w:vAlign w:val="center"/>
          </w:tcPr>
          <w:p w14:paraId="70010C67">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c>
          <w:tcPr>
            <w:tcW w:w="2280" w:type="dxa"/>
            <w:tcBorders>
              <w:top w:val="single" w:color="auto" w:sz="4" w:space="0"/>
              <w:left w:val="single" w:color="auto" w:sz="4" w:space="0"/>
              <w:bottom w:val="single" w:color="auto" w:sz="4" w:space="0"/>
              <w:right w:val="single" w:color="000000" w:sz="4" w:space="0"/>
            </w:tcBorders>
            <w:vAlign w:val="center"/>
          </w:tcPr>
          <w:p w14:paraId="1D124AEC">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r>
      <w:tr w14:paraId="3E1E4504">
        <w:tblPrEx>
          <w:tblCellMar>
            <w:top w:w="0" w:type="dxa"/>
            <w:left w:w="15" w:type="dxa"/>
            <w:bottom w:w="0" w:type="dxa"/>
            <w:right w:w="15" w:type="dxa"/>
          </w:tblCellMar>
        </w:tblPrEx>
        <w:trPr>
          <w:trHeight w:val="566" w:hRule="exact"/>
        </w:trPr>
        <w:tc>
          <w:tcPr>
            <w:tcW w:w="859" w:type="dxa"/>
            <w:tcBorders>
              <w:top w:val="single" w:color="000000" w:sz="4" w:space="0"/>
              <w:left w:val="single" w:color="000000" w:sz="4" w:space="0"/>
              <w:bottom w:val="single" w:color="000000" w:sz="4" w:space="0"/>
              <w:right w:val="single" w:color="000000" w:sz="4" w:space="0"/>
            </w:tcBorders>
            <w:vAlign w:val="center"/>
          </w:tcPr>
          <w:p w14:paraId="74C8F64E">
            <w:pPr>
              <w:autoSpaceDN w:val="0"/>
              <w:spacing w:line="360" w:lineRule="auto"/>
              <w:jc w:val="center"/>
              <w:textAlignment w:val="center"/>
              <w:rPr>
                <w:rFonts w:hint="eastAsia" w:ascii="华文仿宋" w:hAnsi="华文仿宋" w:eastAsia="华文仿宋" w:cs="华文仿宋"/>
                <w:color w:val="auto"/>
                <w:szCs w:val="21"/>
                <w:lang w:val="en-US" w:eastAsia="zh-CN"/>
              </w:rPr>
            </w:pPr>
            <w:r>
              <w:rPr>
                <w:rFonts w:hint="eastAsia" w:ascii="华文仿宋" w:hAnsi="华文仿宋" w:eastAsia="华文仿宋" w:cs="华文仿宋"/>
                <w:color w:val="auto"/>
                <w:szCs w:val="21"/>
                <w:lang w:val="en-US" w:eastAsia="zh-CN"/>
              </w:rPr>
              <w:t>6</w:t>
            </w:r>
          </w:p>
        </w:tc>
        <w:tc>
          <w:tcPr>
            <w:tcW w:w="2704" w:type="dxa"/>
            <w:tcBorders>
              <w:top w:val="single" w:color="000000" w:sz="4" w:space="0"/>
              <w:left w:val="single" w:color="000000" w:sz="4" w:space="0"/>
              <w:bottom w:val="single" w:color="000000" w:sz="4" w:space="0"/>
              <w:right w:val="single" w:color="000000" w:sz="4" w:space="0"/>
            </w:tcBorders>
            <w:vAlign w:val="center"/>
          </w:tcPr>
          <w:p w14:paraId="66BEF187">
            <w:pPr>
              <w:autoSpaceDN w:val="0"/>
              <w:spacing w:line="360" w:lineRule="auto"/>
              <w:jc w:val="center"/>
              <w:textAlignment w:val="center"/>
              <w:rPr>
                <w:rFonts w:hint="eastAsia" w:ascii="华文仿宋" w:hAnsi="华文仿宋" w:eastAsia="华文仿宋" w:cs="华文仿宋"/>
                <w:color w:val="auto"/>
                <w:szCs w:val="21"/>
              </w:rPr>
            </w:pPr>
          </w:p>
        </w:tc>
        <w:tc>
          <w:tcPr>
            <w:tcW w:w="1240" w:type="dxa"/>
            <w:tcBorders>
              <w:top w:val="single" w:color="auto" w:sz="4" w:space="0"/>
              <w:left w:val="single" w:color="auto" w:sz="4" w:space="0"/>
              <w:bottom w:val="single" w:color="auto" w:sz="4" w:space="0"/>
              <w:right w:val="single" w:color="000000" w:sz="4" w:space="0"/>
            </w:tcBorders>
            <w:vAlign w:val="center"/>
          </w:tcPr>
          <w:p w14:paraId="55616A33">
            <w:pPr>
              <w:topLinePunct/>
              <w:autoSpaceDE w:val="0"/>
              <w:autoSpaceDN w:val="0"/>
              <w:adjustRightInd w:val="0"/>
              <w:spacing w:line="360" w:lineRule="auto"/>
              <w:jc w:val="center"/>
              <w:rPr>
                <w:rFonts w:hint="eastAsia" w:ascii="华文仿宋" w:hAnsi="华文仿宋" w:eastAsia="华文仿宋" w:cs="华文仿宋"/>
                <w:color w:val="auto"/>
                <w:szCs w:val="21"/>
              </w:rPr>
            </w:pPr>
          </w:p>
        </w:tc>
        <w:tc>
          <w:tcPr>
            <w:tcW w:w="1707" w:type="dxa"/>
            <w:tcBorders>
              <w:top w:val="single" w:color="auto" w:sz="4" w:space="0"/>
              <w:left w:val="single" w:color="auto" w:sz="4" w:space="0"/>
              <w:bottom w:val="single" w:color="auto" w:sz="4" w:space="0"/>
              <w:right w:val="single" w:color="000000" w:sz="4" w:space="0"/>
            </w:tcBorders>
            <w:vAlign w:val="center"/>
          </w:tcPr>
          <w:p w14:paraId="0801426E">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c>
          <w:tcPr>
            <w:tcW w:w="2280" w:type="dxa"/>
            <w:tcBorders>
              <w:top w:val="single" w:color="auto" w:sz="4" w:space="0"/>
              <w:left w:val="single" w:color="auto" w:sz="4" w:space="0"/>
              <w:bottom w:val="single" w:color="auto" w:sz="4" w:space="0"/>
              <w:right w:val="single" w:color="000000" w:sz="4" w:space="0"/>
            </w:tcBorders>
            <w:vAlign w:val="center"/>
          </w:tcPr>
          <w:p w14:paraId="5F63BC75">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r>
      <w:tr w14:paraId="123339F2">
        <w:tblPrEx>
          <w:tblCellMar>
            <w:top w:w="0" w:type="dxa"/>
            <w:left w:w="15" w:type="dxa"/>
            <w:bottom w:w="0" w:type="dxa"/>
            <w:right w:w="15" w:type="dxa"/>
          </w:tblCellMar>
        </w:tblPrEx>
        <w:trPr>
          <w:trHeight w:val="587" w:hRule="exact"/>
        </w:trPr>
        <w:tc>
          <w:tcPr>
            <w:tcW w:w="859" w:type="dxa"/>
            <w:tcBorders>
              <w:top w:val="single" w:color="000000" w:sz="4" w:space="0"/>
              <w:left w:val="single" w:color="000000" w:sz="4" w:space="0"/>
              <w:bottom w:val="single" w:color="000000" w:sz="4" w:space="0"/>
              <w:right w:val="single" w:color="000000" w:sz="4" w:space="0"/>
            </w:tcBorders>
            <w:vAlign w:val="center"/>
          </w:tcPr>
          <w:p w14:paraId="320F8A0D">
            <w:pPr>
              <w:autoSpaceDN w:val="0"/>
              <w:spacing w:line="360" w:lineRule="auto"/>
              <w:jc w:val="center"/>
              <w:textAlignment w:val="center"/>
              <w:rPr>
                <w:rFonts w:hint="eastAsia" w:ascii="华文仿宋" w:hAnsi="华文仿宋" w:eastAsia="华文仿宋" w:cs="华文仿宋"/>
                <w:color w:val="auto"/>
                <w:szCs w:val="21"/>
                <w:lang w:val="en-US" w:eastAsia="zh-CN"/>
              </w:rPr>
            </w:pPr>
            <w:r>
              <w:rPr>
                <w:rFonts w:hint="eastAsia" w:ascii="华文仿宋" w:hAnsi="华文仿宋" w:eastAsia="华文仿宋" w:cs="华文仿宋"/>
                <w:color w:val="auto"/>
                <w:szCs w:val="21"/>
                <w:lang w:val="en-US" w:eastAsia="zh-CN"/>
              </w:rPr>
              <w:t>7</w:t>
            </w:r>
          </w:p>
        </w:tc>
        <w:tc>
          <w:tcPr>
            <w:tcW w:w="2704" w:type="dxa"/>
            <w:tcBorders>
              <w:top w:val="single" w:color="000000" w:sz="4" w:space="0"/>
              <w:left w:val="single" w:color="000000" w:sz="4" w:space="0"/>
              <w:bottom w:val="single" w:color="000000" w:sz="4" w:space="0"/>
              <w:right w:val="single" w:color="000000" w:sz="4" w:space="0"/>
            </w:tcBorders>
            <w:vAlign w:val="center"/>
          </w:tcPr>
          <w:p w14:paraId="37E1D17E">
            <w:pPr>
              <w:autoSpaceDN w:val="0"/>
              <w:spacing w:line="360" w:lineRule="auto"/>
              <w:jc w:val="center"/>
              <w:textAlignment w:val="center"/>
              <w:rPr>
                <w:rFonts w:hint="eastAsia" w:ascii="华文仿宋" w:hAnsi="华文仿宋" w:eastAsia="华文仿宋" w:cs="华文仿宋"/>
                <w:color w:val="auto"/>
                <w:szCs w:val="21"/>
              </w:rPr>
            </w:pPr>
          </w:p>
        </w:tc>
        <w:tc>
          <w:tcPr>
            <w:tcW w:w="1240" w:type="dxa"/>
            <w:tcBorders>
              <w:top w:val="single" w:color="auto" w:sz="4" w:space="0"/>
              <w:left w:val="single" w:color="auto" w:sz="4" w:space="0"/>
              <w:bottom w:val="single" w:color="auto" w:sz="4" w:space="0"/>
              <w:right w:val="single" w:color="000000" w:sz="4" w:space="0"/>
            </w:tcBorders>
            <w:vAlign w:val="center"/>
          </w:tcPr>
          <w:p w14:paraId="0BC3CABE">
            <w:pPr>
              <w:topLinePunct/>
              <w:autoSpaceDE w:val="0"/>
              <w:autoSpaceDN w:val="0"/>
              <w:adjustRightInd w:val="0"/>
              <w:spacing w:line="360" w:lineRule="auto"/>
              <w:jc w:val="center"/>
              <w:rPr>
                <w:rFonts w:hint="eastAsia" w:ascii="华文仿宋" w:hAnsi="华文仿宋" w:eastAsia="华文仿宋" w:cs="华文仿宋"/>
                <w:color w:val="auto"/>
                <w:szCs w:val="21"/>
              </w:rPr>
            </w:pPr>
          </w:p>
        </w:tc>
        <w:tc>
          <w:tcPr>
            <w:tcW w:w="1707" w:type="dxa"/>
            <w:tcBorders>
              <w:top w:val="single" w:color="auto" w:sz="4" w:space="0"/>
              <w:left w:val="single" w:color="auto" w:sz="4" w:space="0"/>
              <w:bottom w:val="single" w:color="auto" w:sz="4" w:space="0"/>
              <w:right w:val="single" w:color="000000" w:sz="4" w:space="0"/>
            </w:tcBorders>
            <w:vAlign w:val="center"/>
          </w:tcPr>
          <w:p w14:paraId="22B053FB">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c>
          <w:tcPr>
            <w:tcW w:w="2280" w:type="dxa"/>
            <w:tcBorders>
              <w:top w:val="single" w:color="auto" w:sz="4" w:space="0"/>
              <w:left w:val="single" w:color="auto" w:sz="4" w:space="0"/>
              <w:bottom w:val="single" w:color="auto" w:sz="4" w:space="0"/>
              <w:right w:val="single" w:color="000000" w:sz="4" w:space="0"/>
            </w:tcBorders>
            <w:vAlign w:val="center"/>
          </w:tcPr>
          <w:p w14:paraId="069D3836">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r>
      <w:tr w14:paraId="50F6C6AF">
        <w:tblPrEx>
          <w:tblCellMar>
            <w:top w:w="0" w:type="dxa"/>
            <w:left w:w="15" w:type="dxa"/>
            <w:bottom w:w="0" w:type="dxa"/>
            <w:right w:w="15" w:type="dxa"/>
          </w:tblCellMar>
        </w:tblPrEx>
        <w:trPr>
          <w:trHeight w:val="587" w:hRule="exact"/>
        </w:trPr>
        <w:tc>
          <w:tcPr>
            <w:tcW w:w="859" w:type="dxa"/>
            <w:tcBorders>
              <w:top w:val="single" w:color="000000" w:sz="4" w:space="0"/>
              <w:left w:val="single" w:color="000000" w:sz="4" w:space="0"/>
              <w:bottom w:val="single" w:color="000000" w:sz="4" w:space="0"/>
              <w:right w:val="single" w:color="000000" w:sz="4" w:space="0"/>
            </w:tcBorders>
            <w:vAlign w:val="center"/>
          </w:tcPr>
          <w:p w14:paraId="533D63CF">
            <w:pPr>
              <w:autoSpaceDN w:val="0"/>
              <w:spacing w:line="360" w:lineRule="auto"/>
              <w:jc w:val="center"/>
              <w:textAlignment w:val="center"/>
              <w:rPr>
                <w:rFonts w:hint="eastAsia" w:ascii="华文仿宋" w:hAnsi="华文仿宋" w:eastAsia="华文仿宋" w:cs="华文仿宋"/>
                <w:color w:val="auto"/>
                <w:szCs w:val="21"/>
                <w:lang w:val="en-US" w:eastAsia="zh-CN"/>
              </w:rPr>
            </w:pPr>
            <w:r>
              <w:rPr>
                <w:rFonts w:hint="eastAsia" w:ascii="华文仿宋" w:hAnsi="华文仿宋" w:eastAsia="华文仿宋" w:cs="华文仿宋"/>
                <w:color w:val="auto"/>
                <w:szCs w:val="21"/>
                <w:lang w:val="en-US" w:eastAsia="zh-CN"/>
              </w:rPr>
              <w:t>8</w:t>
            </w:r>
          </w:p>
        </w:tc>
        <w:tc>
          <w:tcPr>
            <w:tcW w:w="2704" w:type="dxa"/>
            <w:tcBorders>
              <w:top w:val="single" w:color="000000" w:sz="4" w:space="0"/>
              <w:left w:val="single" w:color="000000" w:sz="4" w:space="0"/>
              <w:bottom w:val="single" w:color="000000" w:sz="4" w:space="0"/>
              <w:right w:val="single" w:color="000000" w:sz="4" w:space="0"/>
            </w:tcBorders>
            <w:vAlign w:val="center"/>
          </w:tcPr>
          <w:p w14:paraId="3AAFE5E7">
            <w:pPr>
              <w:autoSpaceDN w:val="0"/>
              <w:spacing w:line="360" w:lineRule="auto"/>
              <w:jc w:val="center"/>
              <w:textAlignment w:val="center"/>
              <w:rPr>
                <w:rFonts w:hint="eastAsia" w:ascii="华文仿宋" w:hAnsi="华文仿宋" w:eastAsia="华文仿宋" w:cs="华文仿宋"/>
                <w:color w:val="auto"/>
                <w:szCs w:val="21"/>
              </w:rPr>
            </w:pPr>
          </w:p>
        </w:tc>
        <w:tc>
          <w:tcPr>
            <w:tcW w:w="1240" w:type="dxa"/>
            <w:tcBorders>
              <w:top w:val="single" w:color="auto" w:sz="4" w:space="0"/>
              <w:left w:val="single" w:color="auto" w:sz="4" w:space="0"/>
              <w:bottom w:val="single" w:color="auto" w:sz="4" w:space="0"/>
              <w:right w:val="single" w:color="000000" w:sz="4" w:space="0"/>
            </w:tcBorders>
            <w:vAlign w:val="center"/>
          </w:tcPr>
          <w:p w14:paraId="404AB5AC">
            <w:pPr>
              <w:topLinePunct/>
              <w:autoSpaceDE w:val="0"/>
              <w:autoSpaceDN w:val="0"/>
              <w:adjustRightInd w:val="0"/>
              <w:spacing w:line="360" w:lineRule="auto"/>
              <w:jc w:val="center"/>
              <w:rPr>
                <w:rFonts w:hint="eastAsia" w:ascii="华文仿宋" w:hAnsi="华文仿宋" w:eastAsia="华文仿宋" w:cs="华文仿宋"/>
                <w:color w:val="auto"/>
                <w:szCs w:val="21"/>
              </w:rPr>
            </w:pPr>
          </w:p>
        </w:tc>
        <w:tc>
          <w:tcPr>
            <w:tcW w:w="1707" w:type="dxa"/>
            <w:tcBorders>
              <w:top w:val="single" w:color="auto" w:sz="4" w:space="0"/>
              <w:left w:val="single" w:color="auto" w:sz="4" w:space="0"/>
              <w:bottom w:val="single" w:color="auto" w:sz="4" w:space="0"/>
              <w:right w:val="single" w:color="000000" w:sz="4" w:space="0"/>
            </w:tcBorders>
            <w:vAlign w:val="center"/>
          </w:tcPr>
          <w:p w14:paraId="5B00ECAE">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c>
          <w:tcPr>
            <w:tcW w:w="2280" w:type="dxa"/>
            <w:tcBorders>
              <w:top w:val="single" w:color="auto" w:sz="4" w:space="0"/>
              <w:left w:val="single" w:color="auto" w:sz="4" w:space="0"/>
              <w:bottom w:val="single" w:color="auto" w:sz="4" w:space="0"/>
              <w:right w:val="single" w:color="000000" w:sz="4" w:space="0"/>
            </w:tcBorders>
            <w:vAlign w:val="center"/>
          </w:tcPr>
          <w:p w14:paraId="6EC34EC3">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r>
      <w:tr w14:paraId="667C708C">
        <w:tblPrEx>
          <w:tblCellMar>
            <w:top w:w="0" w:type="dxa"/>
            <w:left w:w="15" w:type="dxa"/>
            <w:bottom w:w="0" w:type="dxa"/>
            <w:right w:w="15" w:type="dxa"/>
          </w:tblCellMar>
        </w:tblPrEx>
        <w:trPr>
          <w:trHeight w:val="587" w:hRule="exact"/>
        </w:trPr>
        <w:tc>
          <w:tcPr>
            <w:tcW w:w="859" w:type="dxa"/>
            <w:tcBorders>
              <w:top w:val="single" w:color="000000" w:sz="4" w:space="0"/>
              <w:left w:val="single" w:color="000000" w:sz="4" w:space="0"/>
              <w:bottom w:val="single" w:color="000000" w:sz="4" w:space="0"/>
              <w:right w:val="single" w:color="000000" w:sz="4" w:space="0"/>
            </w:tcBorders>
            <w:vAlign w:val="center"/>
          </w:tcPr>
          <w:p w14:paraId="168784CC">
            <w:pPr>
              <w:autoSpaceDN w:val="0"/>
              <w:spacing w:line="360" w:lineRule="auto"/>
              <w:jc w:val="center"/>
              <w:textAlignment w:val="center"/>
              <w:rPr>
                <w:rFonts w:hint="eastAsia" w:ascii="华文仿宋" w:hAnsi="华文仿宋" w:eastAsia="华文仿宋" w:cs="华文仿宋"/>
                <w:color w:val="auto"/>
                <w:szCs w:val="21"/>
                <w:lang w:val="en-US" w:eastAsia="zh-CN"/>
              </w:rPr>
            </w:pPr>
            <w:r>
              <w:rPr>
                <w:rFonts w:hint="eastAsia" w:ascii="华文仿宋" w:hAnsi="华文仿宋" w:eastAsia="华文仿宋" w:cs="华文仿宋"/>
                <w:color w:val="auto"/>
                <w:szCs w:val="21"/>
                <w:lang w:val="en-US" w:eastAsia="zh-CN"/>
              </w:rPr>
              <w:t>9</w:t>
            </w:r>
          </w:p>
        </w:tc>
        <w:tc>
          <w:tcPr>
            <w:tcW w:w="2704" w:type="dxa"/>
            <w:tcBorders>
              <w:top w:val="single" w:color="000000" w:sz="4" w:space="0"/>
              <w:left w:val="single" w:color="000000" w:sz="4" w:space="0"/>
              <w:bottom w:val="single" w:color="000000" w:sz="4" w:space="0"/>
              <w:right w:val="single" w:color="000000" w:sz="4" w:space="0"/>
            </w:tcBorders>
            <w:vAlign w:val="center"/>
          </w:tcPr>
          <w:p w14:paraId="60373CD2">
            <w:pPr>
              <w:autoSpaceDN w:val="0"/>
              <w:spacing w:line="360" w:lineRule="auto"/>
              <w:jc w:val="center"/>
              <w:textAlignment w:val="center"/>
              <w:rPr>
                <w:rFonts w:hint="eastAsia" w:ascii="华文仿宋" w:hAnsi="华文仿宋" w:eastAsia="华文仿宋" w:cs="华文仿宋"/>
                <w:color w:val="auto"/>
                <w:szCs w:val="21"/>
              </w:rPr>
            </w:pPr>
          </w:p>
        </w:tc>
        <w:tc>
          <w:tcPr>
            <w:tcW w:w="1240" w:type="dxa"/>
            <w:tcBorders>
              <w:top w:val="single" w:color="auto" w:sz="4" w:space="0"/>
              <w:left w:val="single" w:color="auto" w:sz="4" w:space="0"/>
              <w:bottom w:val="single" w:color="auto" w:sz="4" w:space="0"/>
              <w:right w:val="single" w:color="000000" w:sz="4" w:space="0"/>
            </w:tcBorders>
            <w:vAlign w:val="center"/>
          </w:tcPr>
          <w:p w14:paraId="4C4B38E3">
            <w:pPr>
              <w:topLinePunct/>
              <w:autoSpaceDE w:val="0"/>
              <w:autoSpaceDN w:val="0"/>
              <w:adjustRightInd w:val="0"/>
              <w:spacing w:line="360" w:lineRule="auto"/>
              <w:jc w:val="center"/>
              <w:rPr>
                <w:rFonts w:hint="eastAsia" w:ascii="华文仿宋" w:hAnsi="华文仿宋" w:eastAsia="华文仿宋" w:cs="华文仿宋"/>
                <w:color w:val="auto"/>
                <w:szCs w:val="21"/>
              </w:rPr>
            </w:pPr>
          </w:p>
        </w:tc>
        <w:tc>
          <w:tcPr>
            <w:tcW w:w="1707" w:type="dxa"/>
            <w:tcBorders>
              <w:top w:val="single" w:color="auto" w:sz="4" w:space="0"/>
              <w:left w:val="single" w:color="auto" w:sz="4" w:space="0"/>
              <w:bottom w:val="single" w:color="auto" w:sz="4" w:space="0"/>
              <w:right w:val="single" w:color="000000" w:sz="4" w:space="0"/>
            </w:tcBorders>
            <w:vAlign w:val="center"/>
          </w:tcPr>
          <w:p w14:paraId="4B10B323">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c>
          <w:tcPr>
            <w:tcW w:w="2280" w:type="dxa"/>
            <w:tcBorders>
              <w:top w:val="single" w:color="auto" w:sz="4" w:space="0"/>
              <w:left w:val="single" w:color="auto" w:sz="4" w:space="0"/>
              <w:bottom w:val="single" w:color="auto" w:sz="4" w:space="0"/>
              <w:right w:val="single" w:color="000000" w:sz="4" w:space="0"/>
            </w:tcBorders>
            <w:vAlign w:val="center"/>
          </w:tcPr>
          <w:p w14:paraId="53243656">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r>
      <w:tr w14:paraId="1D1A8FCA">
        <w:tblPrEx>
          <w:tblCellMar>
            <w:top w:w="0" w:type="dxa"/>
            <w:left w:w="15" w:type="dxa"/>
            <w:bottom w:w="0" w:type="dxa"/>
            <w:right w:w="15" w:type="dxa"/>
          </w:tblCellMar>
        </w:tblPrEx>
        <w:trPr>
          <w:trHeight w:val="587" w:hRule="exact"/>
        </w:trPr>
        <w:tc>
          <w:tcPr>
            <w:tcW w:w="859" w:type="dxa"/>
            <w:tcBorders>
              <w:top w:val="single" w:color="000000" w:sz="4" w:space="0"/>
              <w:left w:val="single" w:color="000000" w:sz="4" w:space="0"/>
              <w:bottom w:val="single" w:color="000000" w:sz="4" w:space="0"/>
              <w:right w:val="single" w:color="000000" w:sz="4" w:space="0"/>
            </w:tcBorders>
            <w:vAlign w:val="center"/>
          </w:tcPr>
          <w:p w14:paraId="16EF18F6">
            <w:pPr>
              <w:autoSpaceDN w:val="0"/>
              <w:spacing w:line="360" w:lineRule="auto"/>
              <w:jc w:val="center"/>
              <w:textAlignment w:val="center"/>
              <w:rPr>
                <w:rFonts w:hint="eastAsia" w:ascii="华文仿宋" w:hAnsi="华文仿宋" w:eastAsia="华文仿宋" w:cs="华文仿宋"/>
                <w:color w:val="auto"/>
                <w:szCs w:val="21"/>
                <w:lang w:val="en-US" w:eastAsia="zh-CN"/>
              </w:rPr>
            </w:pPr>
            <w:r>
              <w:rPr>
                <w:rFonts w:hint="eastAsia" w:ascii="华文仿宋" w:hAnsi="华文仿宋" w:eastAsia="华文仿宋" w:cs="华文仿宋"/>
                <w:color w:val="auto"/>
                <w:szCs w:val="21"/>
                <w:lang w:val="en-US" w:eastAsia="zh-CN"/>
              </w:rPr>
              <w:t>10</w:t>
            </w:r>
          </w:p>
        </w:tc>
        <w:tc>
          <w:tcPr>
            <w:tcW w:w="2704" w:type="dxa"/>
            <w:tcBorders>
              <w:top w:val="single" w:color="000000" w:sz="4" w:space="0"/>
              <w:left w:val="single" w:color="000000" w:sz="4" w:space="0"/>
              <w:bottom w:val="single" w:color="000000" w:sz="4" w:space="0"/>
              <w:right w:val="single" w:color="000000" w:sz="4" w:space="0"/>
            </w:tcBorders>
            <w:vAlign w:val="center"/>
          </w:tcPr>
          <w:p w14:paraId="353D0C83">
            <w:pPr>
              <w:autoSpaceDN w:val="0"/>
              <w:spacing w:line="360" w:lineRule="auto"/>
              <w:jc w:val="center"/>
              <w:textAlignment w:val="center"/>
              <w:rPr>
                <w:rFonts w:hint="eastAsia" w:ascii="华文仿宋" w:hAnsi="华文仿宋" w:eastAsia="华文仿宋" w:cs="华文仿宋"/>
                <w:color w:val="auto"/>
                <w:szCs w:val="21"/>
              </w:rPr>
            </w:pPr>
          </w:p>
        </w:tc>
        <w:tc>
          <w:tcPr>
            <w:tcW w:w="1240" w:type="dxa"/>
            <w:tcBorders>
              <w:top w:val="single" w:color="auto" w:sz="4" w:space="0"/>
              <w:left w:val="single" w:color="auto" w:sz="4" w:space="0"/>
              <w:bottom w:val="single" w:color="auto" w:sz="4" w:space="0"/>
              <w:right w:val="single" w:color="000000" w:sz="4" w:space="0"/>
            </w:tcBorders>
            <w:vAlign w:val="center"/>
          </w:tcPr>
          <w:p w14:paraId="5835C374">
            <w:pPr>
              <w:topLinePunct/>
              <w:autoSpaceDE w:val="0"/>
              <w:autoSpaceDN w:val="0"/>
              <w:adjustRightInd w:val="0"/>
              <w:spacing w:line="360" w:lineRule="auto"/>
              <w:jc w:val="center"/>
              <w:rPr>
                <w:rFonts w:hint="eastAsia" w:ascii="华文仿宋" w:hAnsi="华文仿宋" w:eastAsia="华文仿宋" w:cs="华文仿宋"/>
                <w:color w:val="auto"/>
                <w:szCs w:val="21"/>
              </w:rPr>
            </w:pPr>
          </w:p>
        </w:tc>
        <w:tc>
          <w:tcPr>
            <w:tcW w:w="1707" w:type="dxa"/>
            <w:tcBorders>
              <w:top w:val="single" w:color="auto" w:sz="4" w:space="0"/>
              <w:left w:val="single" w:color="auto" w:sz="4" w:space="0"/>
              <w:bottom w:val="single" w:color="auto" w:sz="4" w:space="0"/>
              <w:right w:val="single" w:color="000000" w:sz="4" w:space="0"/>
            </w:tcBorders>
            <w:vAlign w:val="center"/>
          </w:tcPr>
          <w:p w14:paraId="4E42905A">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c>
          <w:tcPr>
            <w:tcW w:w="2280" w:type="dxa"/>
            <w:tcBorders>
              <w:top w:val="single" w:color="auto" w:sz="4" w:space="0"/>
              <w:left w:val="single" w:color="auto" w:sz="4" w:space="0"/>
              <w:bottom w:val="single" w:color="auto" w:sz="4" w:space="0"/>
              <w:right w:val="single" w:color="000000" w:sz="4" w:space="0"/>
            </w:tcBorders>
            <w:vAlign w:val="center"/>
          </w:tcPr>
          <w:p w14:paraId="780076D4">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r>
      <w:tr w14:paraId="264695D7">
        <w:tblPrEx>
          <w:tblCellMar>
            <w:top w:w="0" w:type="dxa"/>
            <w:left w:w="15" w:type="dxa"/>
            <w:bottom w:w="0" w:type="dxa"/>
            <w:right w:w="15" w:type="dxa"/>
          </w:tblCellMar>
        </w:tblPrEx>
        <w:trPr>
          <w:trHeight w:val="772" w:hRule="exact"/>
        </w:trPr>
        <w:tc>
          <w:tcPr>
            <w:tcW w:w="859" w:type="dxa"/>
            <w:tcBorders>
              <w:top w:val="single" w:color="000000" w:sz="4" w:space="0"/>
              <w:left w:val="single" w:color="000000" w:sz="4" w:space="0"/>
              <w:bottom w:val="single" w:color="000000" w:sz="4" w:space="0"/>
              <w:right w:val="single" w:color="000000" w:sz="4" w:space="0"/>
            </w:tcBorders>
            <w:vAlign w:val="center"/>
          </w:tcPr>
          <w:p w14:paraId="47966489">
            <w:pPr>
              <w:autoSpaceDN w:val="0"/>
              <w:spacing w:line="360" w:lineRule="auto"/>
              <w:jc w:val="center"/>
              <w:textAlignment w:val="center"/>
              <w:rPr>
                <w:rFonts w:hint="eastAsia" w:ascii="华文仿宋" w:hAnsi="华文仿宋" w:eastAsia="华文仿宋" w:cs="华文仿宋"/>
                <w:color w:val="auto"/>
                <w:szCs w:val="21"/>
                <w:lang w:val="en-US" w:eastAsia="zh-CN"/>
              </w:rPr>
            </w:pPr>
            <w:r>
              <w:rPr>
                <w:rFonts w:hint="eastAsia" w:ascii="华文仿宋" w:hAnsi="华文仿宋" w:eastAsia="华文仿宋" w:cs="华文仿宋"/>
                <w:color w:val="auto"/>
                <w:szCs w:val="21"/>
                <w:lang w:val="en-US" w:eastAsia="zh-CN"/>
              </w:rPr>
              <w:t>...</w:t>
            </w:r>
          </w:p>
        </w:tc>
        <w:tc>
          <w:tcPr>
            <w:tcW w:w="2704" w:type="dxa"/>
            <w:tcBorders>
              <w:top w:val="single" w:color="000000" w:sz="4" w:space="0"/>
              <w:left w:val="single" w:color="000000" w:sz="4" w:space="0"/>
              <w:bottom w:val="single" w:color="000000" w:sz="4" w:space="0"/>
              <w:right w:val="single" w:color="000000" w:sz="4" w:space="0"/>
            </w:tcBorders>
            <w:vAlign w:val="center"/>
          </w:tcPr>
          <w:p w14:paraId="0B877A50">
            <w:pPr>
              <w:autoSpaceDN w:val="0"/>
              <w:spacing w:line="360" w:lineRule="auto"/>
              <w:jc w:val="center"/>
              <w:textAlignment w:val="center"/>
              <w:rPr>
                <w:rFonts w:hint="eastAsia" w:ascii="华文仿宋" w:hAnsi="华文仿宋" w:eastAsia="华文仿宋" w:cs="华文仿宋"/>
                <w:color w:val="auto"/>
                <w:szCs w:val="21"/>
              </w:rPr>
            </w:pPr>
          </w:p>
        </w:tc>
        <w:tc>
          <w:tcPr>
            <w:tcW w:w="1240" w:type="dxa"/>
            <w:tcBorders>
              <w:top w:val="single" w:color="auto" w:sz="4" w:space="0"/>
              <w:left w:val="single" w:color="auto" w:sz="4" w:space="0"/>
              <w:bottom w:val="single" w:color="auto" w:sz="4" w:space="0"/>
              <w:right w:val="single" w:color="000000" w:sz="4" w:space="0"/>
            </w:tcBorders>
            <w:vAlign w:val="center"/>
          </w:tcPr>
          <w:p w14:paraId="4CD42548">
            <w:pPr>
              <w:topLinePunct/>
              <w:autoSpaceDE w:val="0"/>
              <w:autoSpaceDN w:val="0"/>
              <w:adjustRightInd w:val="0"/>
              <w:spacing w:line="360" w:lineRule="auto"/>
              <w:jc w:val="center"/>
              <w:rPr>
                <w:rFonts w:hint="eastAsia" w:ascii="华文仿宋" w:hAnsi="华文仿宋" w:eastAsia="华文仿宋" w:cs="华文仿宋"/>
                <w:color w:val="auto"/>
                <w:szCs w:val="21"/>
              </w:rPr>
            </w:pPr>
          </w:p>
        </w:tc>
        <w:tc>
          <w:tcPr>
            <w:tcW w:w="1707" w:type="dxa"/>
            <w:tcBorders>
              <w:top w:val="single" w:color="auto" w:sz="4" w:space="0"/>
              <w:left w:val="single" w:color="auto" w:sz="4" w:space="0"/>
              <w:bottom w:val="single" w:color="auto" w:sz="4" w:space="0"/>
              <w:right w:val="single" w:color="000000" w:sz="4" w:space="0"/>
            </w:tcBorders>
            <w:vAlign w:val="center"/>
          </w:tcPr>
          <w:p w14:paraId="59C1C827">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c>
          <w:tcPr>
            <w:tcW w:w="2280" w:type="dxa"/>
            <w:tcBorders>
              <w:top w:val="single" w:color="auto" w:sz="4" w:space="0"/>
              <w:left w:val="single" w:color="auto" w:sz="4" w:space="0"/>
              <w:bottom w:val="single" w:color="auto" w:sz="4" w:space="0"/>
              <w:right w:val="single" w:color="000000" w:sz="4" w:space="0"/>
            </w:tcBorders>
            <w:vAlign w:val="center"/>
          </w:tcPr>
          <w:p w14:paraId="2EB6006D">
            <w:pPr>
              <w:topLinePunct/>
              <w:autoSpaceDE w:val="0"/>
              <w:autoSpaceDN w:val="0"/>
              <w:adjustRightInd w:val="0"/>
              <w:spacing w:line="360" w:lineRule="auto"/>
              <w:jc w:val="center"/>
              <w:rPr>
                <w:rFonts w:hint="eastAsia" w:ascii="华文仿宋" w:hAnsi="华文仿宋" w:eastAsia="华文仿宋" w:cs="华文仿宋"/>
                <w:color w:val="auto"/>
                <w:szCs w:val="21"/>
                <w:lang w:val="en-US" w:eastAsia="zh-CN"/>
              </w:rPr>
            </w:pPr>
          </w:p>
        </w:tc>
      </w:tr>
    </w:tbl>
    <w:p w14:paraId="70814465">
      <w:pPr>
        <w:spacing w:line="360" w:lineRule="auto"/>
        <w:ind w:right="480"/>
        <w:rPr>
          <w:rFonts w:hint="eastAsia" w:ascii="华文仿宋" w:hAnsi="华文仿宋" w:eastAsia="华文仿宋" w:cs="华文仿宋"/>
          <w:color w:val="auto"/>
          <w:szCs w:val="21"/>
          <w:lang w:eastAsia="zh-CN"/>
        </w:rPr>
      </w:pPr>
    </w:p>
    <w:p w14:paraId="0F72EC87">
      <w:pPr>
        <w:pStyle w:val="12"/>
        <w:rPr>
          <w:rFonts w:hint="eastAsia" w:ascii="华文仿宋" w:hAnsi="华文仿宋" w:eastAsia="华文仿宋" w:cs="华文仿宋"/>
          <w:b/>
          <w:color w:val="auto"/>
          <w:sz w:val="30"/>
          <w:szCs w:val="30"/>
        </w:rPr>
      </w:pPr>
    </w:p>
    <w:p w14:paraId="727A24A6">
      <w:pPr>
        <w:rPr>
          <w:rFonts w:hint="eastAsia" w:ascii="华文仿宋" w:hAnsi="华文仿宋" w:eastAsia="华文仿宋" w:cs="华文仿宋"/>
          <w:b/>
          <w:color w:val="auto"/>
          <w:sz w:val="30"/>
          <w:szCs w:val="30"/>
        </w:rPr>
      </w:pPr>
    </w:p>
    <w:p w14:paraId="0F2F7CC9">
      <w:pPr>
        <w:spacing w:line="480" w:lineRule="auto"/>
        <w:ind w:right="480" w:firstLine="4410" w:firstLineChars="2100"/>
        <w:rPr>
          <w:rFonts w:hint="eastAsia" w:ascii="华文仿宋" w:hAnsi="华文仿宋" w:eastAsia="华文仿宋" w:cs="华文仿宋"/>
          <w:color w:val="auto"/>
          <w:szCs w:val="21"/>
        </w:rPr>
      </w:pPr>
      <w:r>
        <w:rPr>
          <w:rFonts w:hint="eastAsia" w:ascii="华文仿宋" w:hAnsi="华文仿宋" w:eastAsia="华文仿宋" w:cs="华文仿宋"/>
          <w:color w:val="auto"/>
          <w:szCs w:val="21"/>
        </w:rPr>
        <w:t>投标人（</w:t>
      </w:r>
      <w:r>
        <w:rPr>
          <w:rFonts w:hint="eastAsia" w:ascii="华文仿宋" w:hAnsi="华文仿宋" w:eastAsia="华文仿宋" w:cs="华文仿宋"/>
          <w:snapToGrid w:val="0"/>
          <w:color w:val="auto"/>
          <w:kern w:val="0"/>
          <w:szCs w:val="21"/>
        </w:rPr>
        <w:t>单位电子签章</w:t>
      </w:r>
      <w:r>
        <w:rPr>
          <w:rFonts w:hint="eastAsia" w:ascii="华文仿宋" w:hAnsi="华文仿宋" w:eastAsia="华文仿宋" w:cs="华文仿宋"/>
          <w:color w:val="auto"/>
          <w:szCs w:val="21"/>
        </w:rPr>
        <w:t xml:space="preserve">）： </w:t>
      </w:r>
    </w:p>
    <w:p w14:paraId="523122AF">
      <w:pPr>
        <w:adjustRightInd w:val="0"/>
        <w:snapToGrid w:val="0"/>
        <w:spacing w:line="480" w:lineRule="auto"/>
        <w:ind w:firstLine="2100" w:firstLineChars="1000"/>
        <w:rPr>
          <w:rFonts w:hint="eastAsia" w:ascii="华文仿宋" w:hAnsi="华文仿宋" w:eastAsia="华文仿宋" w:cs="华文仿宋"/>
          <w:color w:val="auto"/>
          <w:szCs w:val="21"/>
        </w:rPr>
      </w:pPr>
      <w:r>
        <w:rPr>
          <w:rFonts w:hint="eastAsia" w:ascii="华文仿宋" w:hAnsi="华文仿宋" w:eastAsia="华文仿宋" w:cs="华文仿宋"/>
          <w:color w:val="auto"/>
          <w:szCs w:val="21"/>
        </w:rPr>
        <w:t>法定代表人</w:t>
      </w:r>
      <w:r>
        <w:rPr>
          <w:rFonts w:hint="eastAsia" w:ascii="华文仿宋" w:hAnsi="华文仿宋" w:eastAsia="华文仿宋" w:cs="华文仿宋"/>
          <w:color w:val="auto"/>
          <w:szCs w:val="21"/>
          <w:lang w:val="en-US" w:eastAsia="zh-CN"/>
        </w:rPr>
        <w:t>或其委托代理人</w:t>
      </w:r>
      <w:r>
        <w:rPr>
          <w:rFonts w:hint="eastAsia" w:ascii="华文仿宋" w:hAnsi="华文仿宋" w:eastAsia="华文仿宋" w:cs="华文仿宋"/>
          <w:color w:val="auto"/>
          <w:szCs w:val="21"/>
        </w:rPr>
        <w:t>（</w:t>
      </w:r>
      <w:r>
        <w:rPr>
          <w:rFonts w:hint="eastAsia" w:ascii="华文仿宋" w:hAnsi="华文仿宋" w:eastAsia="华文仿宋" w:cs="华文仿宋"/>
          <w:color w:val="auto"/>
          <w:kern w:val="0"/>
          <w:szCs w:val="21"/>
          <w:lang w:val="en-US" w:eastAsia="zh-CN"/>
        </w:rPr>
        <w:t>签字或盖章或</w:t>
      </w:r>
      <w:r>
        <w:rPr>
          <w:rFonts w:hint="eastAsia" w:ascii="华文仿宋" w:hAnsi="华文仿宋" w:eastAsia="华文仿宋" w:cs="华文仿宋"/>
          <w:color w:val="auto"/>
          <w:kern w:val="0"/>
          <w:szCs w:val="21"/>
        </w:rPr>
        <w:t>电子签名</w:t>
      </w:r>
      <w:r>
        <w:rPr>
          <w:rFonts w:hint="eastAsia" w:ascii="华文仿宋" w:hAnsi="华文仿宋" w:eastAsia="华文仿宋" w:cs="华文仿宋"/>
          <w:color w:val="auto"/>
          <w:szCs w:val="21"/>
        </w:rPr>
        <w:t xml:space="preserve">）： </w:t>
      </w:r>
    </w:p>
    <w:p w14:paraId="7BFB1D07">
      <w:pPr>
        <w:spacing w:line="480" w:lineRule="auto"/>
        <w:ind w:right="360" w:firstLine="630" w:firstLineChars="300"/>
        <w:jc w:val="right"/>
        <w:rPr>
          <w:rFonts w:hint="eastAsia" w:ascii="华文仿宋" w:hAnsi="华文仿宋" w:eastAsia="华文仿宋" w:cs="华文仿宋"/>
          <w:color w:val="auto"/>
        </w:rPr>
      </w:pPr>
      <w:r>
        <w:rPr>
          <w:rFonts w:hint="eastAsia" w:ascii="华文仿宋" w:hAnsi="华文仿宋" w:eastAsia="华文仿宋" w:cs="华文仿宋"/>
          <w:color w:val="auto"/>
        </w:rPr>
        <w:t>年      月      日</w:t>
      </w:r>
    </w:p>
    <w:p w14:paraId="0BE4688E">
      <w:pPr>
        <w:rPr>
          <w:rFonts w:hint="eastAsia" w:ascii="华文仿宋" w:hAnsi="华文仿宋" w:eastAsia="华文仿宋" w:cs="华文仿宋"/>
          <w:color w:val="auto"/>
          <w:lang w:val="en-US" w:eastAsia="zh-CN"/>
        </w:rPr>
      </w:pPr>
    </w:p>
    <w:p w14:paraId="5B5F67C8">
      <w:pPr>
        <w:pStyle w:val="41"/>
        <w:rPr>
          <w:rFonts w:hint="eastAsia" w:ascii="华文仿宋" w:hAnsi="华文仿宋" w:eastAsia="华文仿宋" w:cs="华文仿宋"/>
          <w:color w:val="auto"/>
          <w:lang w:val="en-US" w:eastAsia="zh-CN"/>
        </w:rPr>
      </w:pPr>
    </w:p>
    <w:p w14:paraId="78F23406">
      <w:pPr>
        <w:pageBreakBefore w:val="0"/>
        <w:numPr>
          <w:ilvl w:val="0"/>
          <w:numId w:val="0"/>
        </w:numPr>
        <w:kinsoku/>
        <w:wordWrap w:val="0"/>
        <w:overflowPunct/>
        <w:topLinePunct/>
        <w:bidi w:val="0"/>
        <w:spacing w:line="360" w:lineRule="auto"/>
        <w:jc w:val="center"/>
        <w:outlineLvl w:val="1"/>
        <w:rPr>
          <w:rFonts w:hint="eastAsia"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bCs/>
          <w:color w:val="auto"/>
          <w:sz w:val="32"/>
          <w:szCs w:val="32"/>
          <w:highlight w:val="none"/>
          <w:lang w:val="en-US" w:eastAsia="zh-CN"/>
        </w:rPr>
        <w:t>七、资格证明文件</w:t>
      </w:r>
      <w:bookmarkEnd w:id="848"/>
      <w:bookmarkEnd w:id="849"/>
      <w:bookmarkEnd w:id="850"/>
    </w:p>
    <w:p w14:paraId="6B0B5E56">
      <w:pPr>
        <w:keepNext w:val="0"/>
        <w:keepLines w:val="0"/>
        <w:pageBreakBefore w:val="0"/>
        <w:widowControl w:val="0"/>
        <w:kinsoku/>
        <w:wordWrap w:val="0"/>
        <w:overflowPunct/>
        <w:topLinePunct/>
        <w:bidi w:val="0"/>
        <w:snapToGrid/>
        <w:spacing w:line="360" w:lineRule="auto"/>
        <w:ind w:firstLine="211" w:firstLineChars="100"/>
        <w:textAlignment w:val="auto"/>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rPr>
        <w:t>供应商基本情况表</w:t>
      </w:r>
    </w:p>
    <w:tbl>
      <w:tblPr>
        <w:tblStyle w:val="25"/>
        <w:tblW w:w="8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6"/>
        <w:gridCol w:w="1059"/>
        <w:gridCol w:w="832"/>
        <w:gridCol w:w="1383"/>
        <w:gridCol w:w="72"/>
        <w:gridCol w:w="1230"/>
        <w:gridCol w:w="255"/>
        <w:gridCol w:w="833"/>
        <w:gridCol w:w="1269"/>
      </w:tblGrid>
      <w:tr w14:paraId="5D343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1466" w:type="dxa"/>
            <w:vAlign w:val="center"/>
          </w:tcPr>
          <w:p w14:paraId="12FB07D0">
            <w:pPr>
              <w:pStyle w:val="58"/>
              <w:keepNext w:val="0"/>
              <w:keepLines w:val="0"/>
              <w:pageBreakBefore w:val="0"/>
              <w:widowControl w:val="0"/>
              <w:kinsoku/>
              <w:wordWrap w:val="0"/>
              <w:overflowPunct/>
              <w:topLinePunct/>
              <w:bidi w:val="0"/>
              <w:snapToGrid/>
              <w:spacing w:line="360" w:lineRule="auto"/>
              <w:ind w:right="197"/>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供应商名称</w:t>
            </w:r>
          </w:p>
        </w:tc>
        <w:tc>
          <w:tcPr>
            <w:tcW w:w="6933" w:type="dxa"/>
            <w:gridSpan w:val="8"/>
            <w:vAlign w:val="center"/>
          </w:tcPr>
          <w:p w14:paraId="253EBEF7">
            <w:pPr>
              <w:pStyle w:val="58"/>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tc>
      </w:tr>
      <w:tr w14:paraId="27596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66" w:type="dxa"/>
            <w:vAlign w:val="center"/>
          </w:tcPr>
          <w:p w14:paraId="48888B88">
            <w:pPr>
              <w:pStyle w:val="58"/>
              <w:keepNext w:val="0"/>
              <w:keepLines w:val="0"/>
              <w:pageBreakBefore w:val="0"/>
              <w:widowControl w:val="0"/>
              <w:kinsoku/>
              <w:wordWrap w:val="0"/>
              <w:overflowPunct/>
              <w:topLinePunct/>
              <w:bidi w:val="0"/>
              <w:snapToGrid/>
              <w:spacing w:line="360" w:lineRule="auto"/>
              <w:ind w:right="197"/>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注册地址</w:t>
            </w:r>
          </w:p>
        </w:tc>
        <w:tc>
          <w:tcPr>
            <w:tcW w:w="3346" w:type="dxa"/>
            <w:gridSpan w:val="4"/>
            <w:vAlign w:val="center"/>
          </w:tcPr>
          <w:p w14:paraId="33B3C500">
            <w:pPr>
              <w:pStyle w:val="58"/>
              <w:keepNext w:val="0"/>
              <w:keepLines w:val="0"/>
              <w:pageBreakBefore w:val="0"/>
              <w:widowControl w:val="0"/>
              <w:kinsoku/>
              <w:wordWrap w:val="0"/>
              <w:overflowPunct/>
              <w:topLinePunct/>
              <w:bidi w:val="0"/>
              <w:snapToGrid/>
              <w:spacing w:line="360" w:lineRule="auto"/>
              <w:jc w:val="center"/>
              <w:textAlignment w:val="auto"/>
              <w:rPr>
                <w:rFonts w:hint="eastAsia" w:ascii="华文仿宋" w:hAnsi="华文仿宋" w:eastAsia="华文仿宋" w:cs="华文仿宋"/>
                <w:color w:val="auto"/>
                <w:sz w:val="21"/>
                <w:szCs w:val="21"/>
                <w:highlight w:val="none"/>
              </w:rPr>
            </w:pPr>
          </w:p>
        </w:tc>
        <w:tc>
          <w:tcPr>
            <w:tcW w:w="1230" w:type="dxa"/>
            <w:vAlign w:val="center"/>
          </w:tcPr>
          <w:p w14:paraId="2A729C89">
            <w:pPr>
              <w:pStyle w:val="58"/>
              <w:keepNext w:val="0"/>
              <w:keepLines w:val="0"/>
              <w:pageBreakBefore w:val="0"/>
              <w:widowControl w:val="0"/>
              <w:kinsoku/>
              <w:wordWrap w:val="0"/>
              <w:overflowPunct/>
              <w:topLinePunct/>
              <w:bidi w:val="0"/>
              <w:snapToGrid/>
              <w:spacing w:line="360" w:lineRule="auto"/>
              <w:ind w:right="184"/>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邮政编码</w:t>
            </w:r>
          </w:p>
        </w:tc>
        <w:tc>
          <w:tcPr>
            <w:tcW w:w="2357" w:type="dxa"/>
            <w:gridSpan w:val="3"/>
            <w:vAlign w:val="center"/>
          </w:tcPr>
          <w:p w14:paraId="40B96BFF">
            <w:pPr>
              <w:pStyle w:val="58"/>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tc>
      </w:tr>
      <w:tr w14:paraId="4009F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1466" w:type="dxa"/>
            <w:vMerge w:val="restart"/>
            <w:vAlign w:val="center"/>
          </w:tcPr>
          <w:p w14:paraId="253A17F0">
            <w:pPr>
              <w:pStyle w:val="58"/>
              <w:keepNext w:val="0"/>
              <w:keepLines w:val="0"/>
              <w:pageBreakBefore w:val="0"/>
              <w:widowControl w:val="0"/>
              <w:kinsoku/>
              <w:wordWrap w:val="0"/>
              <w:overflowPunct/>
              <w:topLinePunct/>
              <w:bidi w:val="0"/>
              <w:snapToGrid/>
              <w:spacing w:line="360" w:lineRule="auto"/>
              <w:ind w:right="197"/>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联系方式</w:t>
            </w:r>
          </w:p>
        </w:tc>
        <w:tc>
          <w:tcPr>
            <w:tcW w:w="1059" w:type="dxa"/>
            <w:vAlign w:val="center"/>
          </w:tcPr>
          <w:p w14:paraId="4D9CF8B2">
            <w:pPr>
              <w:pStyle w:val="58"/>
              <w:keepNext w:val="0"/>
              <w:keepLines w:val="0"/>
              <w:pageBreakBefore w:val="0"/>
              <w:widowControl w:val="0"/>
              <w:kinsoku/>
              <w:wordWrap w:val="0"/>
              <w:overflowPunct/>
              <w:topLinePunct/>
              <w:bidi w:val="0"/>
              <w:snapToGrid/>
              <w:spacing w:line="360" w:lineRule="auto"/>
              <w:ind w:right="197"/>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联系人</w:t>
            </w:r>
          </w:p>
        </w:tc>
        <w:tc>
          <w:tcPr>
            <w:tcW w:w="2287" w:type="dxa"/>
            <w:gridSpan w:val="3"/>
            <w:vAlign w:val="center"/>
          </w:tcPr>
          <w:p w14:paraId="3D4C2CB0">
            <w:pPr>
              <w:pStyle w:val="58"/>
              <w:keepNext w:val="0"/>
              <w:keepLines w:val="0"/>
              <w:pageBreakBefore w:val="0"/>
              <w:widowControl w:val="0"/>
              <w:kinsoku/>
              <w:wordWrap w:val="0"/>
              <w:overflowPunct/>
              <w:topLinePunct/>
              <w:bidi w:val="0"/>
              <w:snapToGrid/>
              <w:spacing w:line="360" w:lineRule="auto"/>
              <w:ind w:right="197"/>
              <w:jc w:val="center"/>
              <w:textAlignment w:val="auto"/>
              <w:rPr>
                <w:rFonts w:hint="eastAsia" w:ascii="华文仿宋" w:hAnsi="华文仿宋" w:eastAsia="华文仿宋" w:cs="华文仿宋"/>
                <w:color w:val="auto"/>
                <w:sz w:val="21"/>
                <w:szCs w:val="21"/>
                <w:highlight w:val="none"/>
              </w:rPr>
            </w:pPr>
          </w:p>
        </w:tc>
        <w:tc>
          <w:tcPr>
            <w:tcW w:w="1230" w:type="dxa"/>
            <w:vAlign w:val="center"/>
          </w:tcPr>
          <w:p w14:paraId="287BACE1">
            <w:pPr>
              <w:pStyle w:val="58"/>
              <w:keepNext w:val="0"/>
              <w:keepLines w:val="0"/>
              <w:pageBreakBefore w:val="0"/>
              <w:widowControl w:val="0"/>
              <w:kinsoku/>
              <w:wordWrap w:val="0"/>
              <w:overflowPunct/>
              <w:topLinePunct/>
              <w:bidi w:val="0"/>
              <w:snapToGrid/>
              <w:spacing w:line="360" w:lineRule="auto"/>
              <w:ind w:right="197"/>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电</w:t>
            </w:r>
            <w:r>
              <w:rPr>
                <w:rFonts w:hint="eastAsia" w:ascii="华文仿宋" w:hAnsi="华文仿宋" w:eastAsia="华文仿宋" w:cs="华文仿宋"/>
                <w:color w:val="auto"/>
                <w:sz w:val="21"/>
                <w:szCs w:val="21"/>
                <w:highlight w:val="none"/>
                <w:lang w:val="en-US" w:eastAsia="zh-CN"/>
              </w:rPr>
              <w:t xml:space="preserve"> </w:t>
            </w:r>
            <w:r>
              <w:rPr>
                <w:rFonts w:hint="eastAsia" w:ascii="华文仿宋" w:hAnsi="华文仿宋" w:eastAsia="华文仿宋" w:cs="华文仿宋"/>
                <w:color w:val="auto"/>
                <w:sz w:val="21"/>
                <w:szCs w:val="21"/>
                <w:highlight w:val="none"/>
              </w:rPr>
              <w:t>话</w:t>
            </w:r>
          </w:p>
        </w:tc>
        <w:tc>
          <w:tcPr>
            <w:tcW w:w="2357" w:type="dxa"/>
            <w:gridSpan w:val="3"/>
            <w:vAlign w:val="center"/>
          </w:tcPr>
          <w:p w14:paraId="12A908AA">
            <w:pPr>
              <w:pStyle w:val="58"/>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tc>
      </w:tr>
      <w:tr w14:paraId="37B3E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1466" w:type="dxa"/>
            <w:vMerge w:val="continue"/>
            <w:tcBorders>
              <w:top w:val="nil"/>
            </w:tcBorders>
            <w:vAlign w:val="center"/>
          </w:tcPr>
          <w:p w14:paraId="2748C9ED">
            <w:pPr>
              <w:keepNext w:val="0"/>
              <w:keepLines w:val="0"/>
              <w:pageBreakBefore w:val="0"/>
              <w:widowControl w:val="0"/>
              <w:kinsoku/>
              <w:wordWrap w:val="0"/>
              <w:overflowPunct/>
              <w:topLinePunct/>
              <w:bidi w:val="0"/>
              <w:snapToGrid/>
              <w:spacing w:line="360" w:lineRule="auto"/>
              <w:jc w:val="center"/>
              <w:textAlignment w:val="auto"/>
              <w:rPr>
                <w:rFonts w:hint="eastAsia" w:ascii="华文仿宋" w:hAnsi="华文仿宋" w:eastAsia="华文仿宋" w:cs="华文仿宋"/>
                <w:color w:val="auto"/>
                <w:sz w:val="21"/>
                <w:szCs w:val="21"/>
                <w:highlight w:val="none"/>
              </w:rPr>
            </w:pPr>
          </w:p>
        </w:tc>
        <w:tc>
          <w:tcPr>
            <w:tcW w:w="1059" w:type="dxa"/>
            <w:vAlign w:val="center"/>
          </w:tcPr>
          <w:p w14:paraId="246A22BC">
            <w:pPr>
              <w:pStyle w:val="58"/>
              <w:keepNext w:val="0"/>
              <w:keepLines w:val="0"/>
              <w:pageBreakBefore w:val="0"/>
              <w:widowControl w:val="0"/>
              <w:kinsoku/>
              <w:wordWrap w:val="0"/>
              <w:overflowPunct/>
              <w:topLinePunct/>
              <w:bidi w:val="0"/>
              <w:snapToGrid/>
              <w:spacing w:line="360" w:lineRule="auto"/>
              <w:ind w:right="197"/>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传</w:t>
            </w:r>
            <w:r>
              <w:rPr>
                <w:rFonts w:hint="eastAsia" w:ascii="华文仿宋" w:hAnsi="华文仿宋" w:eastAsia="华文仿宋" w:cs="华文仿宋"/>
                <w:color w:val="auto"/>
                <w:sz w:val="21"/>
                <w:szCs w:val="21"/>
                <w:highlight w:val="none"/>
                <w:lang w:val="en-US" w:eastAsia="zh-CN"/>
              </w:rPr>
              <w:t xml:space="preserve"> </w:t>
            </w:r>
            <w:r>
              <w:rPr>
                <w:rFonts w:hint="eastAsia" w:ascii="华文仿宋" w:hAnsi="华文仿宋" w:eastAsia="华文仿宋" w:cs="华文仿宋"/>
                <w:color w:val="auto"/>
                <w:sz w:val="21"/>
                <w:szCs w:val="21"/>
                <w:highlight w:val="none"/>
              </w:rPr>
              <w:t>真</w:t>
            </w:r>
          </w:p>
        </w:tc>
        <w:tc>
          <w:tcPr>
            <w:tcW w:w="2287" w:type="dxa"/>
            <w:gridSpan w:val="3"/>
            <w:vAlign w:val="center"/>
          </w:tcPr>
          <w:p w14:paraId="316A4228">
            <w:pPr>
              <w:pStyle w:val="58"/>
              <w:keepNext w:val="0"/>
              <w:keepLines w:val="0"/>
              <w:pageBreakBefore w:val="0"/>
              <w:widowControl w:val="0"/>
              <w:kinsoku/>
              <w:wordWrap w:val="0"/>
              <w:overflowPunct/>
              <w:topLinePunct/>
              <w:bidi w:val="0"/>
              <w:snapToGrid/>
              <w:spacing w:line="360" w:lineRule="auto"/>
              <w:ind w:right="197"/>
              <w:jc w:val="center"/>
              <w:textAlignment w:val="auto"/>
              <w:rPr>
                <w:rFonts w:hint="eastAsia" w:ascii="华文仿宋" w:hAnsi="华文仿宋" w:eastAsia="华文仿宋" w:cs="华文仿宋"/>
                <w:color w:val="auto"/>
                <w:sz w:val="21"/>
                <w:szCs w:val="21"/>
                <w:highlight w:val="none"/>
              </w:rPr>
            </w:pPr>
          </w:p>
        </w:tc>
        <w:tc>
          <w:tcPr>
            <w:tcW w:w="1230" w:type="dxa"/>
            <w:vAlign w:val="center"/>
          </w:tcPr>
          <w:p w14:paraId="00E0127B">
            <w:pPr>
              <w:pStyle w:val="58"/>
              <w:keepNext w:val="0"/>
              <w:keepLines w:val="0"/>
              <w:pageBreakBefore w:val="0"/>
              <w:widowControl w:val="0"/>
              <w:kinsoku/>
              <w:wordWrap w:val="0"/>
              <w:overflowPunct/>
              <w:topLinePunct/>
              <w:bidi w:val="0"/>
              <w:snapToGrid/>
              <w:spacing w:line="360" w:lineRule="auto"/>
              <w:ind w:right="197"/>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网</w:t>
            </w:r>
            <w:r>
              <w:rPr>
                <w:rFonts w:hint="eastAsia" w:ascii="华文仿宋" w:hAnsi="华文仿宋" w:eastAsia="华文仿宋" w:cs="华文仿宋"/>
                <w:color w:val="auto"/>
                <w:sz w:val="21"/>
                <w:szCs w:val="21"/>
                <w:highlight w:val="none"/>
                <w:lang w:val="en-US" w:eastAsia="zh-CN"/>
              </w:rPr>
              <w:t xml:space="preserve"> </w:t>
            </w:r>
            <w:r>
              <w:rPr>
                <w:rFonts w:hint="eastAsia" w:ascii="华文仿宋" w:hAnsi="华文仿宋" w:eastAsia="华文仿宋" w:cs="华文仿宋"/>
                <w:color w:val="auto"/>
                <w:sz w:val="21"/>
                <w:szCs w:val="21"/>
                <w:highlight w:val="none"/>
              </w:rPr>
              <w:t>址</w:t>
            </w:r>
          </w:p>
        </w:tc>
        <w:tc>
          <w:tcPr>
            <w:tcW w:w="2357" w:type="dxa"/>
            <w:gridSpan w:val="3"/>
            <w:vAlign w:val="center"/>
          </w:tcPr>
          <w:p w14:paraId="5C9101C2">
            <w:pPr>
              <w:pStyle w:val="58"/>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tc>
      </w:tr>
      <w:tr w14:paraId="53F68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1466" w:type="dxa"/>
            <w:vAlign w:val="center"/>
          </w:tcPr>
          <w:p w14:paraId="642B2652">
            <w:pPr>
              <w:pStyle w:val="58"/>
              <w:keepNext w:val="0"/>
              <w:keepLines w:val="0"/>
              <w:pageBreakBefore w:val="0"/>
              <w:widowControl w:val="0"/>
              <w:kinsoku/>
              <w:wordWrap w:val="0"/>
              <w:overflowPunct/>
              <w:topLinePunct/>
              <w:bidi w:val="0"/>
              <w:snapToGrid/>
              <w:spacing w:line="360" w:lineRule="auto"/>
              <w:ind w:right="197"/>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组织结构</w:t>
            </w:r>
          </w:p>
        </w:tc>
        <w:tc>
          <w:tcPr>
            <w:tcW w:w="6933" w:type="dxa"/>
            <w:gridSpan w:val="8"/>
            <w:vAlign w:val="center"/>
          </w:tcPr>
          <w:p w14:paraId="3712F0F0">
            <w:pPr>
              <w:pStyle w:val="58"/>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tc>
      </w:tr>
      <w:tr w14:paraId="17B3E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jc w:val="center"/>
        </w:trPr>
        <w:tc>
          <w:tcPr>
            <w:tcW w:w="1466" w:type="dxa"/>
            <w:vAlign w:val="center"/>
          </w:tcPr>
          <w:p w14:paraId="4AD5D437">
            <w:pPr>
              <w:pStyle w:val="58"/>
              <w:keepNext w:val="0"/>
              <w:keepLines w:val="0"/>
              <w:pageBreakBefore w:val="0"/>
              <w:widowControl w:val="0"/>
              <w:kinsoku/>
              <w:wordWrap w:val="0"/>
              <w:overflowPunct/>
              <w:topLinePunct/>
              <w:bidi w:val="0"/>
              <w:snapToGrid/>
              <w:spacing w:line="360" w:lineRule="auto"/>
              <w:ind w:right="197"/>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法定代表人</w:t>
            </w:r>
          </w:p>
        </w:tc>
        <w:tc>
          <w:tcPr>
            <w:tcW w:w="1891" w:type="dxa"/>
            <w:gridSpan w:val="2"/>
            <w:vAlign w:val="center"/>
          </w:tcPr>
          <w:p w14:paraId="29AC0862">
            <w:pPr>
              <w:pStyle w:val="58"/>
              <w:keepNext w:val="0"/>
              <w:keepLines w:val="0"/>
              <w:pageBreakBefore w:val="0"/>
              <w:widowControl w:val="0"/>
              <w:kinsoku/>
              <w:wordWrap w:val="0"/>
              <w:overflowPunct/>
              <w:topLinePunct/>
              <w:bidi w:val="0"/>
              <w:snapToGrid/>
              <w:spacing w:line="360" w:lineRule="auto"/>
              <w:jc w:val="center"/>
              <w:textAlignment w:val="auto"/>
              <w:rPr>
                <w:rFonts w:hint="eastAsia" w:ascii="华文仿宋" w:hAnsi="华文仿宋" w:eastAsia="华文仿宋" w:cs="华文仿宋"/>
                <w:color w:val="auto"/>
                <w:sz w:val="21"/>
                <w:szCs w:val="21"/>
                <w:highlight w:val="none"/>
              </w:rPr>
            </w:pPr>
          </w:p>
        </w:tc>
        <w:tc>
          <w:tcPr>
            <w:tcW w:w="1383" w:type="dxa"/>
            <w:vAlign w:val="center"/>
          </w:tcPr>
          <w:p w14:paraId="21130324">
            <w:pPr>
              <w:pStyle w:val="58"/>
              <w:keepNext w:val="0"/>
              <w:keepLines w:val="0"/>
              <w:pageBreakBefore w:val="0"/>
              <w:widowControl w:val="0"/>
              <w:kinsoku/>
              <w:wordWrap w:val="0"/>
              <w:overflowPunct/>
              <w:topLinePunct/>
              <w:bidi w:val="0"/>
              <w:snapToGrid/>
              <w:spacing w:line="360" w:lineRule="auto"/>
              <w:ind w:right="199"/>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技术职称</w:t>
            </w:r>
          </w:p>
        </w:tc>
        <w:tc>
          <w:tcPr>
            <w:tcW w:w="1557" w:type="dxa"/>
            <w:gridSpan w:val="3"/>
            <w:vAlign w:val="center"/>
          </w:tcPr>
          <w:p w14:paraId="00B72346">
            <w:pPr>
              <w:pStyle w:val="58"/>
              <w:keepNext w:val="0"/>
              <w:keepLines w:val="0"/>
              <w:pageBreakBefore w:val="0"/>
              <w:widowControl w:val="0"/>
              <w:kinsoku/>
              <w:wordWrap w:val="0"/>
              <w:overflowPunct/>
              <w:topLinePunct/>
              <w:bidi w:val="0"/>
              <w:snapToGrid/>
              <w:spacing w:line="360" w:lineRule="auto"/>
              <w:jc w:val="center"/>
              <w:textAlignment w:val="auto"/>
              <w:rPr>
                <w:rFonts w:hint="eastAsia" w:ascii="华文仿宋" w:hAnsi="华文仿宋" w:eastAsia="华文仿宋" w:cs="华文仿宋"/>
                <w:color w:val="auto"/>
                <w:sz w:val="21"/>
                <w:szCs w:val="21"/>
                <w:highlight w:val="none"/>
              </w:rPr>
            </w:pPr>
          </w:p>
        </w:tc>
        <w:tc>
          <w:tcPr>
            <w:tcW w:w="833" w:type="dxa"/>
            <w:vAlign w:val="center"/>
          </w:tcPr>
          <w:p w14:paraId="1EF9D6EC">
            <w:pPr>
              <w:pStyle w:val="58"/>
              <w:keepNext w:val="0"/>
              <w:keepLines w:val="0"/>
              <w:pageBreakBefore w:val="0"/>
              <w:widowControl w:val="0"/>
              <w:kinsoku/>
              <w:wordWrap w:val="0"/>
              <w:overflowPunct/>
              <w:topLinePunct/>
              <w:bidi w:val="0"/>
              <w:snapToGrid/>
              <w:spacing w:line="360" w:lineRule="auto"/>
              <w:ind w:right="199"/>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电 话</w:t>
            </w:r>
          </w:p>
        </w:tc>
        <w:tc>
          <w:tcPr>
            <w:tcW w:w="1269" w:type="dxa"/>
            <w:vAlign w:val="center"/>
          </w:tcPr>
          <w:p w14:paraId="195B77BA">
            <w:pPr>
              <w:pStyle w:val="58"/>
              <w:keepNext w:val="0"/>
              <w:keepLines w:val="0"/>
              <w:pageBreakBefore w:val="0"/>
              <w:widowControl w:val="0"/>
              <w:kinsoku/>
              <w:wordWrap w:val="0"/>
              <w:overflowPunct/>
              <w:topLinePunct/>
              <w:bidi w:val="0"/>
              <w:snapToGrid/>
              <w:spacing w:line="360" w:lineRule="auto"/>
              <w:ind w:right="199"/>
              <w:textAlignment w:val="auto"/>
              <w:rPr>
                <w:rFonts w:hint="eastAsia" w:ascii="华文仿宋" w:hAnsi="华文仿宋" w:eastAsia="华文仿宋" w:cs="华文仿宋"/>
                <w:color w:val="auto"/>
                <w:sz w:val="21"/>
                <w:szCs w:val="21"/>
                <w:highlight w:val="none"/>
              </w:rPr>
            </w:pPr>
          </w:p>
        </w:tc>
      </w:tr>
      <w:tr w14:paraId="2852E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466" w:type="dxa"/>
            <w:vAlign w:val="center"/>
          </w:tcPr>
          <w:p w14:paraId="72EE5FCB">
            <w:pPr>
              <w:pStyle w:val="58"/>
              <w:keepNext w:val="0"/>
              <w:keepLines w:val="0"/>
              <w:pageBreakBefore w:val="0"/>
              <w:widowControl w:val="0"/>
              <w:kinsoku/>
              <w:wordWrap w:val="0"/>
              <w:overflowPunct/>
              <w:topLinePunct/>
              <w:bidi w:val="0"/>
              <w:snapToGrid/>
              <w:spacing w:line="360" w:lineRule="auto"/>
              <w:ind w:right="197"/>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成立时间</w:t>
            </w:r>
          </w:p>
        </w:tc>
        <w:tc>
          <w:tcPr>
            <w:tcW w:w="1891" w:type="dxa"/>
            <w:gridSpan w:val="2"/>
            <w:vAlign w:val="center"/>
          </w:tcPr>
          <w:p w14:paraId="2868CE15">
            <w:pPr>
              <w:pStyle w:val="58"/>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tc>
        <w:tc>
          <w:tcPr>
            <w:tcW w:w="1383" w:type="dxa"/>
            <w:vAlign w:val="center"/>
          </w:tcPr>
          <w:p w14:paraId="2508D0BA">
            <w:pPr>
              <w:pStyle w:val="58"/>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员工总人数：</w:t>
            </w:r>
          </w:p>
        </w:tc>
        <w:tc>
          <w:tcPr>
            <w:tcW w:w="3659" w:type="dxa"/>
            <w:gridSpan w:val="5"/>
            <w:vAlign w:val="center"/>
          </w:tcPr>
          <w:p w14:paraId="63D5B887">
            <w:pPr>
              <w:pStyle w:val="58"/>
              <w:keepNext w:val="0"/>
              <w:keepLines w:val="0"/>
              <w:pageBreakBefore w:val="0"/>
              <w:widowControl w:val="0"/>
              <w:kinsoku/>
              <w:wordWrap w:val="0"/>
              <w:overflowPunct/>
              <w:topLinePunct/>
              <w:bidi w:val="0"/>
              <w:snapToGrid/>
              <w:spacing w:line="360" w:lineRule="auto"/>
              <w:ind w:left="2101"/>
              <w:textAlignment w:val="auto"/>
              <w:rPr>
                <w:rFonts w:hint="eastAsia" w:ascii="华文仿宋" w:hAnsi="华文仿宋" w:eastAsia="华文仿宋" w:cs="华文仿宋"/>
                <w:color w:val="auto"/>
                <w:sz w:val="21"/>
                <w:szCs w:val="21"/>
                <w:highlight w:val="none"/>
              </w:rPr>
            </w:pPr>
          </w:p>
        </w:tc>
      </w:tr>
      <w:tr w14:paraId="7DD22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466" w:type="dxa"/>
            <w:vAlign w:val="center"/>
          </w:tcPr>
          <w:p w14:paraId="03668E65">
            <w:pPr>
              <w:pStyle w:val="58"/>
              <w:keepNext w:val="0"/>
              <w:keepLines w:val="0"/>
              <w:pageBreakBefore w:val="0"/>
              <w:widowControl w:val="0"/>
              <w:kinsoku/>
              <w:wordWrap w:val="0"/>
              <w:overflowPunct/>
              <w:topLinePunct/>
              <w:bidi w:val="0"/>
              <w:snapToGrid/>
              <w:spacing w:line="360" w:lineRule="auto"/>
              <w:ind w:right="197"/>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经营范围</w:t>
            </w:r>
          </w:p>
        </w:tc>
        <w:tc>
          <w:tcPr>
            <w:tcW w:w="6933" w:type="dxa"/>
            <w:gridSpan w:val="8"/>
            <w:vAlign w:val="center"/>
          </w:tcPr>
          <w:p w14:paraId="24100663">
            <w:pPr>
              <w:pStyle w:val="58"/>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tc>
      </w:tr>
      <w:tr w14:paraId="21CBD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1466" w:type="dxa"/>
            <w:vAlign w:val="center"/>
          </w:tcPr>
          <w:p w14:paraId="347EE6F9">
            <w:pPr>
              <w:pStyle w:val="58"/>
              <w:keepNext w:val="0"/>
              <w:keepLines w:val="0"/>
              <w:pageBreakBefore w:val="0"/>
              <w:widowControl w:val="0"/>
              <w:kinsoku/>
              <w:wordWrap w:val="0"/>
              <w:overflowPunct/>
              <w:topLinePunct/>
              <w:bidi w:val="0"/>
              <w:snapToGrid/>
              <w:spacing w:line="360" w:lineRule="auto"/>
              <w:jc w:val="center"/>
              <w:textAlignment w:val="auto"/>
              <w:rPr>
                <w:rFonts w:hint="eastAsia" w:ascii="华文仿宋" w:hAnsi="华文仿宋" w:eastAsia="华文仿宋" w:cs="华文仿宋"/>
                <w:b/>
                <w:color w:val="auto"/>
                <w:sz w:val="21"/>
                <w:szCs w:val="21"/>
                <w:highlight w:val="none"/>
              </w:rPr>
            </w:pPr>
          </w:p>
          <w:p w14:paraId="474BE585">
            <w:pPr>
              <w:pStyle w:val="58"/>
              <w:keepNext w:val="0"/>
              <w:keepLines w:val="0"/>
              <w:pageBreakBefore w:val="0"/>
              <w:widowControl w:val="0"/>
              <w:kinsoku/>
              <w:wordWrap w:val="0"/>
              <w:overflowPunct/>
              <w:topLinePunct/>
              <w:bidi w:val="0"/>
              <w:snapToGrid/>
              <w:spacing w:line="360" w:lineRule="auto"/>
              <w:jc w:val="center"/>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备注</w:t>
            </w:r>
          </w:p>
        </w:tc>
        <w:tc>
          <w:tcPr>
            <w:tcW w:w="6933" w:type="dxa"/>
            <w:gridSpan w:val="8"/>
            <w:vAlign w:val="center"/>
          </w:tcPr>
          <w:p w14:paraId="66EEFBCB">
            <w:pPr>
              <w:pStyle w:val="58"/>
              <w:keepNext w:val="0"/>
              <w:keepLines w:val="0"/>
              <w:pageBreakBefore w:val="0"/>
              <w:widowControl w:val="0"/>
              <w:kinsoku/>
              <w:wordWrap w:val="0"/>
              <w:overflowPunct/>
              <w:topLinePunct/>
              <w:bidi w:val="0"/>
              <w:snapToGrid/>
              <w:spacing w:line="360" w:lineRule="auto"/>
              <w:textAlignment w:val="auto"/>
              <w:rPr>
                <w:rFonts w:hint="eastAsia" w:ascii="华文仿宋" w:hAnsi="华文仿宋" w:eastAsia="华文仿宋" w:cs="华文仿宋"/>
                <w:color w:val="auto"/>
                <w:sz w:val="21"/>
                <w:szCs w:val="21"/>
                <w:highlight w:val="none"/>
              </w:rPr>
            </w:pPr>
          </w:p>
        </w:tc>
      </w:tr>
    </w:tbl>
    <w:p w14:paraId="2C94266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备注：</w:t>
      </w:r>
    </w:p>
    <w:p w14:paraId="430F6AA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1.根据供应商须知要求在本表后附</w:t>
      </w:r>
      <w:r>
        <w:rPr>
          <w:rFonts w:hint="eastAsia" w:ascii="华文仿宋" w:hAnsi="华文仿宋" w:eastAsia="华文仿宋" w:cs="华文仿宋"/>
          <w:color w:val="auto"/>
          <w:sz w:val="21"/>
          <w:szCs w:val="21"/>
          <w:highlight w:val="none"/>
          <w:lang w:eastAsia="zh-CN"/>
        </w:rPr>
        <w:t>营业执照复印件、公示系统基本信息截图及</w:t>
      </w:r>
      <w:r>
        <w:rPr>
          <w:rFonts w:hint="eastAsia" w:ascii="华文仿宋" w:hAnsi="华文仿宋" w:eastAsia="华文仿宋" w:cs="华文仿宋"/>
          <w:b/>
          <w:bCs/>
          <w:color w:val="auto"/>
          <w:sz w:val="21"/>
          <w:szCs w:val="21"/>
          <w:highlight w:val="none"/>
        </w:rPr>
        <w:t>供应商信用承诺函</w:t>
      </w:r>
      <w:r>
        <w:rPr>
          <w:rFonts w:hint="eastAsia" w:ascii="华文仿宋" w:hAnsi="华文仿宋" w:eastAsia="华文仿宋" w:cs="华文仿宋"/>
          <w:b/>
          <w:bCs/>
          <w:color w:val="auto"/>
          <w:sz w:val="21"/>
          <w:szCs w:val="21"/>
          <w:highlight w:val="none"/>
          <w:lang w:eastAsia="zh-CN"/>
        </w:rPr>
        <w:t>等相关证明材料</w:t>
      </w:r>
      <w:r>
        <w:rPr>
          <w:rFonts w:hint="eastAsia" w:ascii="华文仿宋" w:hAnsi="华文仿宋" w:eastAsia="华文仿宋" w:cs="华文仿宋"/>
          <w:color w:val="auto"/>
          <w:sz w:val="21"/>
          <w:szCs w:val="21"/>
          <w:highlight w:val="none"/>
        </w:rPr>
        <w:t>。</w:t>
      </w:r>
    </w:p>
    <w:p w14:paraId="25C0181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2"/>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2.本项目的特定资格要求（如有）：需提供相应的证明材料。</w:t>
      </w:r>
    </w:p>
    <w:p w14:paraId="4295F3E0">
      <w:pPr>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rPr>
        <w:br w:type="page"/>
      </w:r>
    </w:p>
    <w:p w14:paraId="467C1D92">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rPr>
        <w:t>附件：</w:t>
      </w:r>
    </w:p>
    <w:p w14:paraId="55A1A03B">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1"/>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rPr>
        <w:t>政府采购供应商信用承诺函</w:t>
      </w:r>
    </w:p>
    <w:p w14:paraId="7C8DB2FE">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华文仿宋" w:hAnsi="华文仿宋" w:eastAsia="华文仿宋" w:cs="华文仿宋"/>
          <w:color w:val="auto"/>
          <w:sz w:val="21"/>
          <w:szCs w:val="21"/>
          <w:highlight w:val="none"/>
          <w:u w:val="single"/>
          <w:lang w:val="en-US" w:eastAsia="zh-CN"/>
        </w:rPr>
      </w:pPr>
      <w:r>
        <w:rPr>
          <w:rFonts w:hint="eastAsia" w:ascii="华文仿宋" w:hAnsi="华文仿宋" w:eastAsia="华文仿宋" w:cs="华文仿宋"/>
          <w:color w:val="auto"/>
          <w:sz w:val="21"/>
          <w:szCs w:val="21"/>
          <w:highlight w:val="none"/>
        </w:rPr>
        <w:t>致（采购人或采购代理机构）：</w:t>
      </w:r>
      <w:r>
        <w:rPr>
          <w:rFonts w:hint="eastAsia" w:ascii="华文仿宋" w:hAnsi="华文仿宋" w:eastAsia="华文仿宋" w:cs="华文仿宋"/>
          <w:color w:val="auto"/>
          <w:sz w:val="21"/>
          <w:szCs w:val="21"/>
          <w:highlight w:val="none"/>
          <w:u w:val="single"/>
          <w:lang w:val="en-US" w:eastAsia="zh-CN"/>
        </w:rPr>
        <w:t xml:space="preserve">                  </w:t>
      </w:r>
    </w:p>
    <w:p w14:paraId="6CB88D74">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u w:val="single"/>
          <w:lang w:val="en-US" w:eastAsia="zh-CN"/>
        </w:rPr>
      </w:pPr>
      <w:r>
        <w:rPr>
          <w:rFonts w:hint="eastAsia" w:ascii="华文仿宋" w:hAnsi="华文仿宋" w:eastAsia="华文仿宋" w:cs="华文仿宋"/>
          <w:color w:val="auto"/>
          <w:sz w:val="21"/>
          <w:szCs w:val="21"/>
          <w:highlight w:val="none"/>
        </w:rPr>
        <w:t>单位名称（自然人姓名）：</w:t>
      </w:r>
      <w:r>
        <w:rPr>
          <w:rFonts w:hint="eastAsia" w:ascii="华文仿宋" w:hAnsi="华文仿宋" w:eastAsia="华文仿宋" w:cs="华文仿宋"/>
          <w:color w:val="auto"/>
          <w:sz w:val="21"/>
          <w:szCs w:val="21"/>
          <w:highlight w:val="none"/>
          <w:u w:val="single"/>
          <w:lang w:val="en-US" w:eastAsia="zh-CN"/>
        </w:rPr>
        <w:t xml:space="preserve">                  </w:t>
      </w:r>
    </w:p>
    <w:p w14:paraId="08A45D2B">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u w:val="single"/>
          <w:lang w:val="en-US" w:eastAsia="zh-CN"/>
        </w:rPr>
      </w:pPr>
      <w:r>
        <w:rPr>
          <w:rFonts w:hint="eastAsia" w:ascii="华文仿宋" w:hAnsi="华文仿宋" w:eastAsia="华文仿宋" w:cs="华文仿宋"/>
          <w:color w:val="auto"/>
          <w:sz w:val="21"/>
          <w:szCs w:val="21"/>
          <w:highlight w:val="none"/>
        </w:rPr>
        <w:t>统一社会信用代码（身份证号码）：</w:t>
      </w:r>
      <w:r>
        <w:rPr>
          <w:rFonts w:hint="eastAsia" w:ascii="华文仿宋" w:hAnsi="华文仿宋" w:eastAsia="华文仿宋" w:cs="华文仿宋"/>
          <w:color w:val="auto"/>
          <w:sz w:val="21"/>
          <w:szCs w:val="21"/>
          <w:highlight w:val="none"/>
          <w:u w:val="single"/>
          <w:lang w:val="en-US" w:eastAsia="zh-CN"/>
        </w:rPr>
        <w:t xml:space="preserve">           </w:t>
      </w:r>
    </w:p>
    <w:p w14:paraId="37683E09">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u w:val="single"/>
          <w:lang w:val="en-US" w:eastAsia="zh-CN"/>
        </w:rPr>
      </w:pPr>
      <w:r>
        <w:rPr>
          <w:rFonts w:hint="eastAsia" w:ascii="华文仿宋" w:hAnsi="华文仿宋" w:eastAsia="华文仿宋" w:cs="华文仿宋"/>
          <w:color w:val="auto"/>
          <w:sz w:val="21"/>
          <w:szCs w:val="21"/>
          <w:highlight w:val="none"/>
        </w:rPr>
        <w:t>法定代表人（负责人）</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u w:val="single"/>
          <w:lang w:val="en-US" w:eastAsia="zh-CN"/>
        </w:rPr>
        <w:t xml:space="preserve">                    </w:t>
      </w:r>
    </w:p>
    <w:p w14:paraId="1E0688CC">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联系地址和电话：</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rPr>
        <w:t xml:space="preserve">                    </w:t>
      </w:r>
      <w:r>
        <w:rPr>
          <w:rFonts w:hint="eastAsia" w:ascii="华文仿宋" w:hAnsi="华文仿宋" w:eastAsia="华文仿宋" w:cs="华文仿宋"/>
          <w:color w:val="auto"/>
          <w:sz w:val="21"/>
          <w:szCs w:val="21"/>
          <w:highlight w:val="none"/>
        </w:rPr>
        <w:tab/>
      </w:r>
    </w:p>
    <w:p w14:paraId="09922CB1">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为维护公平、公正、公开的政府采购市场秩序，树立诚实守信的政府采购供应商形象，我单位（本人）自愿作出以下承诺：</w:t>
      </w:r>
    </w:p>
    <w:p w14:paraId="4B7085DB">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一、</w:t>
      </w:r>
      <w:r>
        <w:rPr>
          <w:rFonts w:hint="eastAsia" w:ascii="华文仿宋" w:hAnsi="华文仿宋" w:eastAsia="华文仿宋" w:cs="华文仿宋"/>
          <w:color w:val="auto"/>
          <w:sz w:val="21"/>
          <w:szCs w:val="21"/>
          <w:highlight w:val="none"/>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A085B0F">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val="en-US" w:eastAsia="zh-CN"/>
        </w:rPr>
        <w:t>一</w:t>
      </w:r>
      <w:r>
        <w:rPr>
          <w:rFonts w:hint="eastAsia" w:ascii="华文仿宋" w:hAnsi="华文仿宋" w:eastAsia="华文仿宋" w:cs="华文仿宋"/>
          <w:color w:val="auto"/>
          <w:sz w:val="21"/>
          <w:szCs w:val="21"/>
          <w:highlight w:val="none"/>
        </w:rPr>
        <w:t>）具有独立承担民事责任的能力；</w:t>
      </w:r>
    </w:p>
    <w:p w14:paraId="1FC5937F">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val="en-US" w:eastAsia="zh-CN"/>
        </w:rPr>
        <w:t>二</w:t>
      </w:r>
      <w:r>
        <w:rPr>
          <w:rFonts w:hint="eastAsia" w:ascii="华文仿宋" w:hAnsi="华文仿宋" w:eastAsia="华文仿宋" w:cs="华文仿宋"/>
          <w:color w:val="auto"/>
          <w:sz w:val="21"/>
          <w:szCs w:val="21"/>
          <w:highlight w:val="none"/>
        </w:rPr>
        <w:t>）具有良好的商业信誉和健全的财务会计制度；</w:t>
      </w:r>
    </w:p>
    <w:p w14:paraId="6B37E702">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val="en-US" w:eastAsia="zh-CN"/>
        </w:rPr>
        <w:t>三</w:t>
      </w:r>
      <w:r>
        <w:rPr>
          <w:rFonts w:hint="eastAsia" w:ascii="华文仿宋" w:hAnsi="华文仿宋" w:eastAsia="华文仿宋" w:cs="华文仿宋"/>
          <w:color w:val="auto"/>
          <w:sz w:val="21"/>
          <w:szCs w:val="21"/>
          <w:highlight w:val="none"/>
        </w:rPr>
        <w:t>）具有履行合同所必需的设备和专业技术能力；</w:t>
      </w:r>
    </w:p>
    <w:p w14:paraId="1C09C6EF">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val="en-US" w:eastAsia="zh-CN"/>
        </w:rPr>
        <w:t>四</w:t>
      </w:r>
      <w:r>
        <w:rPr>
          <w:rFonts w:hint="eastAsia" w:ascii="华文仿宋" w:hAnsi="华文仿宋" w:eastAsia="华文仿宋" w:cs="华文仿宋"/>
          <w:color w:val="auto"/>
          <w:sz w:val="21"/>
          <w:szCs w:val="21"/>
          <w:highlight w:val="none"/>
        </w:rPr>
        <w:t>）有依法缴纳税收和社会保障资金的良好记录；</w:t>
      </w:r>
    </w:p>
    <w:p w14:paraId="4D143502">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val="en-US" w:eastAsia="zh-CN"/>
        </w:rPr>
        <w:t>五</w:t>
      </w:r>
      <w:r>
        <w:rPr>
          <w:rFonts w:hint="eastAsia" w:ascii="华文仿宋" w:hAnsi="华文仿宋" w:eastAsia="华文仿宋" w:cs="华文仿宋"/>
          <w:color w:val="auto"/>
          <w:sz w:val="21"/>
          <w:szCs w:val="21"/>
          <w:highlight w:val="none"/>
        </w:rPr>
        <w:t>）参加政府采购活动前三年内，在经营活动中没有重大违法记录；</w:t>
      </w:r>
    </w:p>
    <w:p w14:paraId="5ADCFAA8">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val="en-US" w:eastAsia="zh-CN"/>
        </w:rPr>
        <w:t>六</w:t>
      </w:r>
      <w:r>
        <w:rPr>
          <w:rFonts w:hint="eastAsia" w:ascii="华文仿宋" w:hAnsi="华文仿宋" w:eastAsia="华文仿宋" w:cs="华文仿宋"/>
          <w:color w:val="auto"/>
          <w:sz w:val="21"/>
          <w:szCs w:val="21"/>
          <w:highlight w:val="none"/>
        </w:rPr>
        <w:t>）未被列入经营异常名录或者严重违法失信名单、失信被执行人、重大税收违法案件当事人名单、政府采购严重违法失信行为记录名单；</w:t>
      </w:r>
    </w:p>
    <w:p w14:paraId="3272C5DF">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val="en-US" w:eastAsia="zh-CN"/>
        </w:rPr>
        <w:t>七</w:t>
      </w:r>
      <w:r>
        <w:rPr>
          <w:rFonts w:hint="eastAsia" w:ascii="华文仿宋" w:hAnsi="华文仿宋" w:eastAsia="华文仿宋" w:cs="华文仿宋"/>
          <w:color w:val="auto"/>
          <w:sz w:val="21"/>
          <w:szCs w:val="21"/>
          <w:highlight w:val="none"/>
        </w:rPr>
        <w:t>）未被相关监管部门作出行政处罚且尚在处罚有效期内；</w:t>
      </w:r>
    </w:p>
    <w:p w14:paraId="2701383C">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w:t>
      </w:r>
      <w:r>
        <w:rPr>
          <w:rFonts w:hint="eastAsia" w:ascii="华文仿宋" w:hAnsi="华文仿宋" w:eastAsia="华文仿宋" w:cs="华文仿宋"/>
          <w:color w:val="auto"/>
          <w:sz w:val="21"/>
          <w:szCs w:val="21"/>
          <w:highlight w:val="none"/>
          <w:lang w:val="en-US" w:eastAsia="zh-CN"/>
        </w:rPr>
        <w:t>八</w:t>
      </w:r>
      <w:r>
        <w:rPr>
          <w:rFonts w:hint="eastAsia" w:ascii="华文仿宋" w:hAnsi="华文仿宋" w:eastAsia="华文仿宋" w:cs="华文仿宋"/>
          <w:color w:val="auto"/>
          <w:sz w:val="21"/>
          <w:szCs w:val="21"/>
          <w:highlight w:val="none"/>
        </w:rPr>
        <w:t>）未曾做出虚假采购承诺；</w:t>
      </w:r>
    </w:p>
    <w:p w14:paraId="0E0D62B7">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（九）符合法律、行政法规规定的其他条件。</w:t>
      </w:r>
    </w:p>
    <w:p w14:paraId="080C4113">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lang w:val="en-US" w:eastAsia="zh-CN"/>
        </w:rPr>
        <w:t>二、</w:t>
      </w:r>
      <w:r>
        <w:rPr>
          <w:rFonts w:hint="eastAsia" w:ascii="华文仿宋" w:hAnsi="华文仿宋" w:eastAsia="华文仿宋" w:cs="华文仿宋"/>
          <w:color w:val="auto"/>
          <w:sz w:val="21"/>
          <w:szCs w:val="21"/>
          <w:highlight w:val="none"/>
        </w:rPr>
        <w:t>我单位（本人）保证上述承诺事项的真实性。如有弄虚作假或其他违法违规行为， 自愿按照规定将违背承诺行为作为失信行为记录到社会信用信息平台，并视同为“提供虚假材料谋取</w:t>
      </w:r>
      <w:r>
        <w:rPr>
          <w:rFonts w:hint="eastAsia" w:ascii="华文仿宋" w:hAnsi="华文仿宋" w:eastAsia="华文仿宋" w:cs="华文仿宋"/>
          <w:color w:val="auto"/>
          <w:sz w:val="21"/>
          <w:szCs w:val="21"/>
          <w:highlight w:val="none"/>
          <w:lang w:eastAsia="zh-CN"/>
        </w:rPr>
        <w:t>成交</w:t>
      </w:r>
      <w:r>
        <w:rPr>
          <w:rFonts w:hint="eastAsia" w:ascii="华文仿宋" w:hAnsi="华文仿宋" w:eastAsia="华文仿宋" w:cs="华文仿宋"/>
          <w:color w:val="auto"/>
          <w:sz w:val="21"/>
          <w:szCs w:val="21"/>
          <w:highlight w:val="none"/>
        </w:rPr>
        <w:t>、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3F6E064">
      <w:pPr>
        <w:keepNext w:val="0"/>
        <w:keepLines w:val="0"/>
        <w:pageBreakBefore w:val="0"/>
        <w:widowControl w:val="0"/>
        <w:kinsoku/>
        <w:wordWrap w:val="0"/>
        <w:overflowPunct/>
        <w:topLinePunct/>
        <w:autoSpaceDE/>
        <w:autoSpaceDN/>
        <w:bidi w:val="0"/>
        <w:adjustRightInd/>
        <w:snapToGrid/>
        <w:spacing w:line="360" w:lineRule="exact"/>
        <w:ind w:firstLine="420" w:firstLineChars="200"/>
        <w:jc w:val="right"/>
        <w:textAlignment w:val="auto"/>
        <w:rPr>
          <w:rFonts w:hint="eastAsia" w:ascii="华文仿宋" w:hAnsi="华文仿宋" w:eastAsia="华文仿宋" w:cs="华文仿宋"/>
          <w:color w:val="auto"/>
          <w:sz w:val="21"/>
          <w:szCs w:val="21"/>
          <w:highlight w:val="none"/>
        </w:rPr>
      </w:pPr>
    </w:p>
    <w:p w14:paraId="7507C0BE">
      <w:pPr>
        <w:keepNext w:val="0"/>
        <w:keepLines w:val="0"/>
        <w:pageBreakBefore w:val="0"/>
        <w:widowControl w:val="0"/>
        <w:kinsoku/>
        <w:wordWrap w:val="0"/>
        <w:overflowPunct/>
        <w:topLinePunct/>
        <w:autoSpaceDE/>
        <w:autoSpaceDN/>
        <w:bidi w:val="0"/>
        <w:adjustRightInd/>
        <w:snapToGrid/>
        <w:spacing w:line="360" w:lineRule="exact"/>
        <w:ind w:firstLine="420" w:firstLineChars="200"/>
        <w:jc w:val="right"/>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供应商（</w:t>
      </w:r>
      <w:r>
        <w:rPr>
          <w:rFonts w:hint="eastAsia" w:ascii="华文仿宋" w:hAnsi="华文仿宋" w:eastAsia="华文仿宋" w:cs="华文仿宋"/>
          <w:color w:val="auto"/>
          <w:sz w:val="21"/>
          <w:szCs w:val="21"/>
          <w:highlight w:val="none"/>
          <w:u w:val="none"/>
        </w:rPr>
        <w:t>单位电子签章</w:t>
      </w:r>
      <w:r>
        <w:rPr>
          <w:rFonts w:hint="eastAsia" w:ascii="华文仿宋" w:hAnsi="华文仿宋" w:eastAsia="华文仿宋" w:cs="华文仿宋"/>
          <w:color w:val="auto"/>
          <w:sz w:val="21"/>
          <w:szCs w:val="21"/>
          <w:highlight w:val="none"/>
          <w:u w:val="none"/>
          <w:lang w:val="en-US" w:eastAsia="zh-CN"/>
        </w:rPr>
        <w:t>或盖章</w:t>
      </w:r>
      <w:r>
        <w:rPr>
          <w:rFonts w:hint="eastAsia" w:ascii="华文仿宋" w:hAnsi="华文仿宋" w:eastAsia="华文仿宋" w:cs="华文仿宋"/>
          <w:color w:val="auto"/>
          <w:sz w:val="21"/>
          <w:szCs w:val="21"/>
          <w:highlight w:val="none"/>
        </w:rPr>
        <w:t>）：</w:t>
      </w:r>
    </w:p>
    <w:p w14:paraId="1B5C2DA5">
      <w:pPr>
        <w:keepNext w:val="0"/>
        <w:keepLines w:val="0"/>
        <w:pageBreakBefore w:val="0"/>
        <w:widowControl w:val="0"/>
        <w:kinsoku/>
        <w:wordWrap w:val="0"/>
        <w:overflowPunct/>
        <w:topLinePunct/>
        <w:autoSpaceDE/>
        <w:autoSpaceDN/>
        <w:bidi w:val="0"/>
        <w:adjustRightInd/>
        <w:snapToGrid/>
        <w:spacing w:line="360" w:lineRule="exact"/>
        <w:ind w:firstLine="420" w:firstLineChars="200"/>
        <w:jc w:val="right"/>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法定代表人、负责人、本人或授权代表（</w:t>
      </w:r>
      <w:r>
        <w:rPr>
          <w:rFonts w:hint="eastAsia" w:ascii="华文仿宋" w:hAnsi="华文仿宋" w:eastAsia="华文仿宋" w:cs="华文仿宋"/>
          <w:color w:val="auto"/>
          <w:kern w:val="0"/>
          <w:szCs w:val="21"/>
          <w:lang w:val="en-US" w:eastAsia="zh-CN"/>
        </w:rPr>
        <w:t>签字或盖章或</w:t>
      </w:r>
      <w:r>
        <w:rPr>
          <w:rFonts w:hint="eastAsia" w:ascii="华文仿宋" w:hAnsi="华文仿宋" w:eastAsia="华文仿宋" w:cs="华文仿宋"/>
          <w:color w:val="auto"/>
          <w:kern w:val="0"/>
          <w:szCs w:val="21"/>
        </w:rPr>
        <w:t>电子签名</w:t>
      </w:r>
      <w:r>
        <w:rPr>
          <w:rFonts w:hint="eastAsia" w:ascii="华文仿宋" w:hAnsi="华文仿宋" w:eastAsia="华文仿宋" w:cs="华文仿宋"/>
          <w:color w:val="auto"/>
          <w:sz w:val="21"/>
          <w:szCs w:val="21"/>
          <w:highlight w:val="none"/>
        </w:rPr>
        <w:t xml:space="preserve">）： </w:t>
      </w:r>
    </w:p>
    <w:p w14:paraId="37AFA877">
      <w:pPr>
        <w:keepNext w:val="0"/>
        <w:keepLines w:val="0"/>
        <w:pageBreakBefore w:val="0"/>
        <w:widowControl w:val="0"/>
        <w:kinsoku/>
        <w:wordWrap w:val="0"/>
        <w:overflowPunct/>
        <w:topLinePunct/>
        <w:autoSpaceDE/>
        <w:autoSpaceDN/>
        <w:bidi w:val="0"/>
        <w:adjustRightInd/>
        <w:snapToGrid/>
        <w:spacing w:line="360" w:lineRule="exact"/>
        <w:ind w:firstLine="420" w:firstLineChars="200"/>
        <w:jc w:val="right"/>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xml:space="preserve">日期： </w:t>
      </w:r>
      <w:r>
        <w:rPr>
          <w:rFonts w:hint="eastAsia" w:ascii="华文仿宋" w:hAnsi="华文仿宋" w:eastAsia="华文仿宋" w:cs="华文仿宋"/>
          <w:color w:val="auto"/>
          <w:sz w:val="21"/>
          <w:szCs w:val="21"/>
          <w:highlight w:val="none"/>
          <w:lang w:val="en-US" w:eastAsia="zh-CN"/>
        </w:rPr>
        <w:t xml:space="preserve">      </w:t>
      </w:r>
      <w:r>
        <w:rPr>
          <w:rFonts w:hint="eastAsia" w:ascii="华文仿宋" w:hAnsi="华文仿宋" w:eastAsia="华文仿宋" w:cs="华文仿宋"/>
          <w:color w:val="auto"/>
          <w:sz w:val="21"/>
          <w:szCs w:val="21"/>
          <w:highlight w:val="none"/>
        </w:rPr>
        <w:t>年</w:t>
      </w:r>
      <w:r>
        <w:rPr>
          <w:rFonts w:hint="eastAsia" w:ascii="华文仿宋" w:hAnsi="华文仿宋" w:eastAsia="华文仿宋" w:cs="华文仿宋"/>
          <w:color w:val="auto"/>
          <w:sz w:val="21"/>
          <w:szCs w:val="21"/>
          <w:highlight w:val="none"/>
          <w:lang w:val="en-US" w:eastAsia="zh-CN"/>
        </w:rPr>
        <w:t xml:space="preserve">  </w:t>
      </w:r>
      <w:r>
        <w:rPr>
          <w:rFonts w:hint="eastAsia" w:ascii="华文仿宋" w:hAnsi="华文仿宋" w:eastAsia="华文仿宋" w:cs="华文仿宋"/>
          <w:color w:val="auto"/>
          <w:sz w:val="21"/>
          <w:szCs w:val="21"/>
          <w:highlight w:val="none"/>
        </w:rPr>
        <w:tab/>
      </w:r>
      <w:r>
        <w:rPr>
          <w:rFonts w:hint="eastAsia" w:ascii="华文仿宋" w:hAnsi="华文仿宋" w:eastAsia="华文仿宋" w:cs="华文仿宋"/>
          <w:color w:val="auto"/>
          <w:sz w:val="21"/>
          <w:szCs w:val="21"/>
          <w:highlight w:val="none"/>
        </w:rPr>
        <w:t>月</w:t>
      </w:r>
      <w:r>
        <w:rPr>
          <w:rFonts w:hint="eastAsia" w:ascii="华文仿宋" w:hAnsi="华文仿宋" w:eastAsia="华文仿宋" w:cs="华文仿宋"/>
          <w:color w:val="auto"/>
          <w:sz w:val="21"/>
          <w:szCs w:val="21"/>
          <w:highlight w:val="none"/>
          <w:lang w:val="en-US" w:eastAsia="zh-CN"/>
        </w:rPr>
        <w:t xml:space="preserve"> </w:t>
      </w:r>
      <w:r>
        <w:rPr>
          <w:rFonts w:hint="eastAsia" w:ascii="华文仿宋" w:hAnsi="华文仿宋" w:eastAsia="华文仿宋" w:cs="华文仿宋"/>
          <w:color w:val="auto"/>
          <w:sz w:val="21"/>
          <w:szCs w:val="21"/>
          <w:highlight w:val="none"/>
        </w:rPr>
        <w:tab/>
      </w:r>
      <w:r>
        <w:rPr>
          <w:rFonts w:hint="eastAsia" w:ascii="华文仿宋" w:hAnsi="华文仿宋" w:eastAsia="华文仿宋" w:cs="华文仿宋"/>
          <w:color w:val="auto"/>
          <w:sz w:val="21"/>
          <w:szCs w:val="21"/>
          <w:highlight w:val="none"/>
          <w:lang w:val="en-US" w:eastAsia="zh-CN"/>
        </w:rPr>
        <w:t xml:space="preserve">  </w:t>
      </w:r>
      <w:r>
        <w:rPr>
          <w:rFonts w:hint="eastAsia" w:ascii="华文仿宋" w:hAnsi="华文仿宋" w:eastAsia="华文仿宋" w:cs="华文仿宋"/>
          <w:color w:val="auto"/>
          <w:sz w:val="21"/>
          <w:szCs w:val="21"/>
          <w:highlight w:val="none"/>
        </w:rPr>
        <w:t>日</w:t>
      </w:r>
    </w:p>
    <w:p w14:paraId="3010161A">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注：1、供应商须在响应文件中按此模板提供承诺函，未提供视为未实质性响应</w:t>
      </w:r>
      <w:r>
        <w:rPr>
          <w:rFonts w:hint="eastAsia" w:ascii="华文仿宋" w:hAnsi="华文仿宋" w:eastAsia="华文仿宋" w:cs="华文仿宋"/>
          <w:color w:val="auto"/>
          <w:sz w:val="21"/>
          <w:szCs w:val="21"/>
          <w:highlight w:val="none"/>
          <w:lang w:eastAsia="zh-CN"/>
        </w:rPr>
        <w:t>磋商</w:t>
      </w:r>
      <w:r>
        <w:rPr>
          <w:rFonts w:hint="eastAsia" w:ascii="华文仿宋" w:hAnsi="华文仿宋" w:eastAsia="华文仿宋" w:cs="华文仿宋"/>
          <w:color w:val="auto"/>
          <w:sz w:val="21"/>
          <w:szCs w:val="21"/>
          <w:highlight w:val="none"/>
        </w:rPr>
        <w:t>文件要求，按无效投标处理。</w:t>
      </w:r>
    </w:p>
    <w:p w14:paraId="013BF8B2">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2、供应商的法定代表人或者授权代表的签字或盖章应真实、有效，如由授权代表签字或盖章的，应提供“法定代表人授权书”。</w:t>
      </w:r>
    </w:p>
    <w:p w14:paraId="2A2C0C55">
      <w:pPr>
        <w:rPr>
          <w:rFonts w:hint="eastAsia" w:ascii="华文仿宋" w:hAnsi="华文仿宋" w:eastAsia="华文仿宋" w:cs="华文仿宋"/>
          <w:color w:val="auto"/>
        </w:rPr>
      </w:pPr>
      <w:bookmarkStart w:id="851" w:name="_Toc13510"/>
      <w:bookmarkStart w:id="852" w:name="_Toc21095"/>
    </w:p>
    <w:p w14:paraId="466BE4B6">
      <w:pPr>
        <w:spacing w:line="360" w:lineRule="auto"/>
        <w:ind w:firstLine="482" w:firstLineChars="150"/>
        <w:jc w:val="center"/>
        <w:outlineLvl w:val="1"/>
        <w:rPr>
          <w:rFonts w:hint="eastAsia" w:ascii="华文仿宋" w:hAnsi="华文仿宋" w:eastAsia="华文仿宋" w:cs="华文仿宋"/>
          <w:b/>
          <w:bCs/>
          <w:color w:val="auto"/>
          <w:sz w:val="21"/>
          <w:szCs w:val="21"/>
          <w:highlight w:val="none"/>
          <w:lang w:val="en-US" w:eastAsia="zh-CN"/>
        </w:rPr>
      </w:pPr>
      <w:bookmarkStart w:id="853" w:name="_Toc6910"/>
      <w:r>
        <w:rPr>
          <w:rFonts w:hint="eastAsia" w:ascii="华文仿宋" w:hAnsi="华文仿宋" w:eastAsia="华文仿宋" w:cs="华文仿宋"/>
          <w:b/>
          <w:bCs/>
          <w:color w:val="auto"/>
          <w:sz w:val="32"/>
          <w:szCs w:val="32"/>
          <w:highlight w:val="none"/>
          <w:lang w:val="en-US" w:eastAsia="zh-CN"/>
        </w:rPr>
        <w:t>八、中小企业声明函</w:t>
      </w:r>
      <w:bookmarkEnd w:id="853"/>
    </w:p>
    <w:p w14:paraId="4CDF7B77">
      <w:pPr>
        <w:numPr>
          <w:ilvl w:val="0"/>
          <w:numId w:val="0"/>
        </w:numPr>
        <w:ind w:leftChars="0"/>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14:paraId="7FAB4AB7">
      <w:pPr>
        <w:widowControl/>
        <w:jc w:val="center"/>
        <w:outlineLvl w:val="2"/>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Cs w:val="21"/>
          <w:highlight w:val="none"/>
        </w:rPr>
        <w:t xml:space="preserve">   </w:t>
      </w:r>
      <w:r>
        <w:rPr>
          <w:rFonts w:hint="eastAsia" w:ascii="华文仿宋" w:hAnsi="华文仿宋" w:eastAsia="华文仿宋" w:cs="华文仿宋"/>
          <w:color w:val="auto"/>
          <w:sz w:val="24"/>
          <w:szCs w:val="24"/>
          <w:highlight w:val="none"/>
        </w:rPr>
        <w:t xml:space="preserve">  </w:t>
      </w:r>
      <w:r>
        <w:rPr>
          <w:rFonts w:hint="eastAsia" w:ascii="华文仿宋" w:hAnsi="华文仿宋" w:eastAsia="华文仿宋" w:cs="华文仿宋"/>
          <w:b/>
          <w:color w:val="auto"/>
          <w:kern w:val="0"/>
          <w:sz w:val="28"/>
          <w:szCs w:val="28"/>
          <w:highlight w:val="none"/>
          <w:lang w:bidi="ar"/>
        </w:rPr>
        <w:t>中小企业声明函（工程、服务）</w:t>
      </w:r>
    </w:p>
    <w:p w14:paraId="3AA09D58">
      <w:pPr>
        <w:widowControl/>
        <w:spacing w:line="360" w:lineRule="auto"/>
        <w:ind w:firstLine="420" w:firstLineChars="200"/>
        <w:jc w:val="left"/>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kern w:val="0"/>
          <w:sz w:val="21"/>
          <w:szCs w:val="21"/>
          <w:highlight w:val="none"/>
          <w:lang w:bidi="ar"/>
        </w:rPr>
        <w:t>本公司（联合体）郑重声明，根据《政府采购促进中小企业发展管理办法》（财库﹝2020﹞46 号）的规定，本公司（联合体）参加</w:t>
      </w:r>
      <w:r>
        <w:rPr>
          <w:rFonts w:hint="eastAsia" w:ascii="华文仿宋" w:hAnsi="华文仿宋" w:eastAsia="华文仿宋" w:cs="华文仿宋"/>
          <w:i/>
          <w:color w:val="auto"/>
          <w:kern w:val="0"/>
          <w:sz w:val="21"/>
          <w:szCs w:val="21"/>
          <w:highlight w:val="none"/>
          <w:u w:val="single"/>
          <w:lang w:bidi="ar"/>
        </w:rPr>
        <w:t>（单位名称）</w:t>
      </w:r>
      <w:r>
        <w:rPr>
          <w:rFonts w:hint="eastAsia" w:ascii="华文仿宋" w:hAnsi="华文仿宋" w:eastAsia="华文仿宋" w:cs="华文仿宋"/>
          <w:color w:val="auto"/>
          <w:kern w:val="0"/>
          <w:sz w:val="21"/>
          <w:szCs w:val="21"/>
          <w:highlight w:val="none"/>
          <w:lang w:bidi="ar"/>
        </w:rPr>
        <w:t>的</w:t>
      </w:r>
      <w:r>
        <w:rPr>
          <w:rFonts w:hint="eastAsia" w:ascii="华文仿宋" w:hAnsi="华文仿宋" w:eastAsia="华文仿宋" w:cs="华文仿宋"/>
          <w:i/>
          <w:color w:val="auto"/>
          <w:kern w:val="0"/>
          <w:sz w:val="21"/>
          <w:szCs w:val="21"/>
          <w:highlight w:val="none"/>
          <w:u w:val="single"/>
          <w:lang w:bidi="ar"/>
        </w:rPr>
        <w:t>（项目名称）</w:t>
      </w:r>
      <w:r>
        <w:rPr>
          <w:rFonts w:hint="eastAsia" w:ascii="华文仿宋" w:hAnsi="华文仿宋" w:eastAsia="华文仿宋" w:cs="华文仿宋"/>
          <w:color w:val="auto"/>
          <w:kern w:val="0"/>
          <w:sz w:val="21"/>
          <w:szCs w:val="21"/>
          <w:highlight w:val="none"/>
          <w:lang w:bidi="ar"/>
        </w:rPr>
        <w:t>采购活动，工程的施工单位全部为符合政策要求的中小企业（或者：服务全部由符合政策要求的中小企业承接）。相关企业（含联合体中的中小企业、签订分包意向协议的中小企业）的具体情况如下：</w:t>
      </w:r>
    </w:p>
    <w:p w14:paraId="0A190C6A">
      <w:pPr>
        <w:widowControl/>
        <w:spacing w:line="360" w:lineRule="auto"/>
        <w:ind w:firstLine="420" w:firstLineChars="200"/>
        <w:jc w:val="left"/>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kern w:val="0"/>
          <w:sz w:val="21"/>
          <w:szCs w:val="21"/>
          <w:highlight w:val="none"/>
          <w:lang w:bidi="ar"/>
        </w:rPr>
        <w:t>1.</w:t>
      </w:r>
      <w:r>
        <w:rPr>
          <w:rFonts w:hint="eastAsia" w:ascii="华文仿宋" w:hAnsi="华文仿宋" w:eastAsia="华文仿宋" w:cs="华文仿宋"/>
          <w:i/>
          <w:color w:val="auto"/>
          <w:kern w:val="0"/>
          <w:sz w:val="21"/>
          <w:szCs w:val="21"/>
          <w:highlight w:val="none"/>
          <w:u w:val="single"/>
          <w:lang w:bidi="ar"/>
        </w:rPr>
        <w:t>（标的名称）</w:t>
      </w:r>
      <w:r>
        <w:rPr>
          <w:rFonts w:hint="eastAsia" w:ascii="华文仿宋" w:hAnsi="华文仿宋" w:eastAsia="华文仿宋" w:cs="华文仿宋"/>
          <w:color w:val="auto"/>
          <w:kern w:val="0"/>
          <w:sz w:val="21"/>
          <w:szCs w:val="21"/>
          <w:highlight w:val="none"/>
          <w:lang w:bidi="ar"/>
        </w:rPr>
        <w:t>，属于</w:t>
      </w:r>
      <w:r>
        <w:rPr>
          <w:rFonts w:hint="eastAsia" w:ascii="华文仿宋" w:hAnsi="华文仿宋" w:eastAsia="华文仿宋" w:cs="华文仿宋"/>
          <w:i/>
          <w:color w:val="auto"/>
          <w:kern w:val="0"/>
          <w:sz w:val="21"/>
          <w:szCs w:val="21"/>
          <w:highlight w:val="none"/>
          <w:u w:val="single"/>
          <w:lang w:bidi="ar"/>
        </w:rPr>
        <w:t>（采购文件中明确的所属行业）</w:t>
      </w:r>
      <w:r>
        <w:rPr>
          <w:rFonts w:hint="eastAsia" w:ascii="华文仿宋" w:hAnsi="华文仿宋" w:eastAsia="华文仿宋" w:cs="华文仿宋"/>
          <w:color w:val="auto"/>
          <w:kern w:val="0"/>
          <w:sz w:val="21"/>
          <w:szCs w:val="21"/>
          <w:highlight w:val="none"/>
          <w:lang w:bidi="ar"/>
        </w:rPr>
        <w:t>；承建（承接）企业为</w:t>
      </w:r>
      <w:r>
        <w:rPr>
          <w:rFonts w:hint="eastAsia" w:ascii="华文仿宋" w:hAnsi="华文仿宋" w:eastAsia="华文仿宋" w:cs="华文仿宋"/>
          <w:i/>
          <w:color w:val="auto"/>
          <w:kern w:val="0"/>
          <w:sz w:val="21"/>
          <w:szCs w:val="21"/>
          <w:highlight w:val="none"/>
          <w:u w:val="single"/>
          <w:lang w:bidi="ar"/>
        </w:rPr>
        <w:t>（企业名称）</w:t>
      </w:r>
      <w:r>
        <w:rPr>
          <w:rFonts w:hint="eastAsia" w:ascii="华文仿宋" w:hAnsi="华文仿宋" w:eastAsia="华文仿宋" w:cs="华文仿宋"/>
          <w:color w:val="auto"/>
          <w:kern w:val="0"/>
          <w:sz w:val="21"/>
          <w:szCs w:val="21"/>
          <w:highlight w:val="none"/>
          <w:lang w:bidi="ar"/>
        </w:rPr>
        <w:t>，从业人员</w:t>
      </w:r>
      <w:r>
        <w:rPr>
          <w:rFonts w:hint="eastAsia" w:ascii="华文仿宋" w:hAnsi="华文仿宋" w:eastAsia="华文仿宋" w:cs="华文仿宋"/>
          <w:color w:val="auto"/>
          <w:kern w:val="0"/>
          <w:sz w:val="21"/>
          <w:szCs w:val="21"/>
          <w:highlight w:val="none"/>
          <w:u w:val="single"/>
          <w:lang w:bidi="ar"/>
        </w:rPr>
        <w:t xml:space="preserve"> </w:t>
      </w:r>
      <w:r>
        <w:rPr>
          <w:rFonts w:hint="eastAsia" w:ascii="华文仿宋" w:hAnsi="华文仿宋" w:eastAsia="华文仿宋" w:cs="华文仿宋"/>
          <w:color w:val="auto"/>
          <w:kern w:val="0"/>
          <w:sz w:val="21"/>
          <w:szCs w:val="21"/>
          <w:highlight w:val="none"/>
          <w:u w:val="single"/>
          <w:lang w:val="en-US" w:eastAsia="zh-CN" w:bidi="ar"/>
        </w:rPr>
        <w:t xml:space="preserve"> </w:t>
      </w:r>
      <w:r>
        <w:rPr>
          <w:rFonts w:hint="eastAsia" w:ascii="华文仿宋" w:hAnsi="华文仿宋" w:eastAsia="华文仿宋" w:cs="华文仿宋"/>
          <w:color w:val="auto"/>
          <w:kern w:val="0"/>
          <w:sz w:val="21"/>
          <w:szCs w:val="21"/>
          <w:highlight w:val="none"/>
          <w:u w:val="single"/>
          <w:lang w:bidi="ar"/>
        </w:rPr>
        <w:t xml:space="preserve"> </w:t>
      </w:r>
      <w:r>
        <w:rPr>
          <w:rFonts w:hint="eastAsia" w:ascii="华文仿宋" w:hAnsi="华文仿宋" w:eastAsia="华文仿宋" w:cs="华文仿宋"/>
          <w:color w:val="auto"/>
          <w:kern w:val="0"/>
          <w:sz w:val="21"/>
          <w:szCs w:val="21"/>
          <w:highlight w:val="none"/>
          <w:lang w:bidi="ar"/>
        </w:rPr>
        <w:t>人，营业收入为</w:t>
      </w:r>
      <w:r>
        <w:rPr>
          <w:rFonts w:hint="eastAsia" w:ascii="华文仿宋" w:hAnsi="华文仿宋" w:eastAsia="华文仿宋" w:cs="华文仿宋"/>
          <w:color w:val="auto"/>
          <w:kern w:val="0"/>
          <w:sz w:val="21"/>
          <w:szCs w:val="21"/>
          <w:highlight w:val="none"/>
          <w:u w:val="single"/>
          <w:lang w:bidi="ar"/>
        </w:rPr>
        <w:t xml:space="preserve"> </w:t>
      </w:r>
      <w:r>
        <w:rPr>
          <w:rFonts w:hint="eastAsia" w:ascii="华文仿宋" w:hAnsi="华文仿宋" w:eastAsia="华文仿宋" w:cs="华文仿宋"/>
          <w:color w:val="auto"/>
          <w:kern w:val="0"/>
          <w:sz w:val="21"/>
          <w:szCs w:val="21"/>
          <w:highlight w:val="none"/>
          <w:u w:val="single"/>
          <w:lang w:val="en-US" w:eastAsia="zh-CN" w:bidi="ar"/>
        </w:rPr>
        <w:t xml:space="preserve"> </w:t>
      </w:r>
      <w:r>
        <w:rPr>
          <w:rFonts w:hint="eastAsia" w:ascii="华文仿宋" w:hAnsi="华文仿宋" w:eastAsia="华文仿宋" w:cs="华文仿宋"/>
          <w:color w:val="auto"/>
          <w:kern w:val="0"/>
          <w:sz w:val="21"/>
          <w:szCs w:val="21"/>
          <w:highlight w:val="none"/>
          <w:u w:val="single"/>
          <w:lang w:bidi="ar"/>
        </w:rPr>
        <w:t xml:space="preserve"> </w:t>
      </w:r>
      <w:r>
        <w:rPr>
          <w:rFonts w:hint="eastAsia" w:ascii="华文仿宋" w:hAnsi="华文仿宋" w:eastAsia="华文仿宋" w:cs="华文仿宋"/>
          <w:color w:val="auto"/>
          <w:kern w:val="0"/>
          <w:sz w:val="21"/>
          <w:szCs w:val="21"/>
          <w:highlight w:val="none"/>
          <w:lang w:bidi="ar"/>
        </w:rPr>
        <w:t>万元，资产总额为</w:t>
      </w:r>
      <w:r>
        <w:rPr>
          <w:rFonts w:hint="eastAsia" w:ascii="华文仿宋" w:hAnsi="华文仿宋" w:eastAsia="华文仿宋" w:cs="华文仿宋"/>
          <w:color w:val="auto"/>
          <w:kern w:val="0"/>
          <w:sz w:val="21"/>
          <w:szCs w:val="21"/>
          <w:highlight w:val="none"/>
          <w:u w:val="single"/>
          <w:lang w:bidi="ar"/>
        </w:rPr>
        <w:t xml:space="preserve">   </w:t>
      </w:r>
      <w:r>
        <w:rPr>
          <w:rFonts w:hint="eastAsia" w:ascii="华文仿宋" w:hAnsi="华文仿宋" w:eastAsia="华文仿宋" w:cs="华文仿宋"/>
          <w:color w:val="auto"/>
          <w:kern w:val="0"/>
          <w:sz w:val="21"/>
          <w:szCs w:val="21"/>
          <w:highlight w:val="none"/>
          <w:lang w:bidi="ar"/>
        </w:rPr>
        <w:t>万元，属于</w:t>
      </w:r>
      <w:r>
        <w:rPr>
          <w:rFonts w:hint="eastAsia" w:ascii="华文仿宋" w:hAnsi="华文仿宋" w:eastAsia="华文仿宋" w:cs="华文仿宋"/>
          <w:i/>
          <w:color w:val="auto"/>
          <w:kern w:val="0"/>
          <w:sz w:val="21"/>
          <w:szCs w:val="21"/>
          <w:highlight w:val="none"/>
          <w:u w:val="single"/>
          <w:lang w:bidi="ar"/>
        </w:rPr>
        <w:t>（中型企业、小型企业、微型企业）</w:t>
      </w:r>
      <w:r>
        <w:rPr>
          <w:rFonts w:hint="eastAsia" w:ascii="华文仿宋" w:hAnsi="华文仿宋" w:eastAsia="华文仿宋" w:cs="华文仿宋"/>
          <w:color w:val="auto"/>
          <w:kern w:val="0"/>
          <w:sz w:val="21"/>
          <w:szCs w:val="21"/>
          <w:highlight w:val="none"/>
          <w:lang w:bidi="ar"/>
        </w:rPr>
        <w:t xml:space="preserve">； </w:t>
      </w:r>
    </w:p>
    <w:p w14:paraId="2718F7F3">
      <w:pPr>
        <w:widowControl/>
        <w:spacing w:line="360" w:lineRule="auto"/>
        <w:ind w:firstLine="420" w:firstLineChars="200"/>
        <w:jc w:val="left"/>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kern w:val="0"/>
          <w:sz w:val="21"/>
          <w:szCs w:val="21"/>
          <w:highlight w:val="none"/>
          <w:lang w:bidi="ar"/>
        </w:rPr>
        <w:t>2.</w:t>
      </w:r>
      <w:r>
        <w:rPr>
          <w:rFonts w:hint="eastAsia" w:ascii="华文仿宋" w:hAnsi="华文仿宋" w:eastAsia="华文仿宋" w:cs="华文仿宋"/>
          <w:i/>
          <w:color w:val="auto"/>
          <w:kern w:val="0"/>
          <w:sz w:val="21"/>
          <w:szCs w:val="21"/>
          <w:highlight w:val="none"/>
          <w:u w:val="single"/>
          <w:lang w:bidi="ar"/>
        </w:rPr>
        <w:t>（标的名称）</w:t>
      </w:r>
      <w:r>
        <w:rPr>
          <w:rFonts w:hint="eastAsia" w:ascii="华文仿宋" w:hAnsi="华文仿宋" w:eastAsia="华文仿宋" w:cs="华文仿宋"/>
          <w:color w:val="auto"/>
          <w:kern w:val="0"/>
          <w:sz w:val="21"/>
          <w:szCs w:val="21"/>
          <w:highlight w:val="none"/>
          <w:lang w:bidi="ar"/>
        </w:rPr>
        <w:t>，属于</w:t>
      </w:r>
      <w:r>
        <w:rPr>
          <w:rFonts w:hint="eastAsia" w:ascii="华文仿宋" w:hAnsi="华文仿宋" w:eastAsia="华文仿宋" w:cs="华文仿宋"/>
          <w:i/>
          <w:color w:val="auto"/>
          <w:kern w:val="0"/>
          <w:sz w:val="21"/>
          <w:szCs w:val="21"/>
          <w:highlight w:val="none"/>
          <w:u w:val="single"/>
          <w:lang w:bidi="ar"/>
        </w:rPr>
        <w:t>（采购文件中明确的所属行业）</w:t>
      </w:r>
      <w:r>
        <w:rPr>
          <w:rFonts w:hint="eastAsia" w:ascii="华文仿宋" w:hAnsi="华文仿宋" w:eastAsia="华文仿宋" w:cs="华文仿宋"/>
          <w:color w:val="auto"/>
          <w:kern w:val="0"/>
          <w:sz w:val="21"/>
          <w:szCs w:val="21"/>
          <w:highlight w:val="none"/>
          <w:lang w:bidi="ar"/>
        </w:rPr>
        <w:t xml:space="preserve">； </w:t>
      </w:r>
    </w:p>
    <w:p w14:paraId="7F27B28F">
      <w:pPr>
        <w:widowControl/>
        <w:spacing w:line="360" w:lineRule="auto"/>
        <w:jc w:val="left"/>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kern w:val="0"/>
          <w:sz w:val="21"/>
          <w:szCs w:val="21"/>
          <w:highlight w:val="none"/>
          <w:lang w:bidi="ar"/>
        </w:rPr>
        <w:t>承建（承接）企业为</w:t>
      </w:r>
      <w:r>
        <w:rPr>
          <w:rFonts w:hint="eastAsia" w:ascii="华文仿宋" w:hAnsi="华文仿宋" w:eastAsia="华文仿宋" w:cs="华文仿宋"/>
          <w:i/>
          <w:color w:val="auto"/>
          <w:kern w:val="0"/>
          <w:sz w:val="21"/>
          <w:szCs w:val="21"/>
          <w:highlight w:val="none"/>
          <w:lang w:bidi="ar"/>
        </w:rPr>
        <w:t>（企业名称）</w:t>
      </w:r>
      <w:r>
        <w:rPr>
          <w:rFonts w:hint="eastAsia" w:ascii="华文仿宋" w:hAnsi="华文仿宋" w:eastAsia="华文仿宋" w:cs="华文仿宋"/>
          <w:color w:val="auto"/>
          <w:kern w:val="0"/>
          <w:sz w:val="21"/>
          <w:szCs w:val="21"/>
          <w:highlight w:val="none"/>
          <w:lang w:bidi="ar"/>
        </w:rPr>
        <w:t>，从业人员</w:t>
      </w:r>
      <w:r>
        <w:rPr>
          <w:rFonts w:hint="eastAsia" w:ascii="华文仿宋" w:hAnsi="华文仿宋" w:eastAsia="华文仿宋" w:cs="华文仿宋"/>
          <w:color w:val="auto"/>
          <w:kern w:val="0"/>
          <w:sz w:val="21"/>
          <w:szCs w:val="21"/>
          <w:highlight w:val="none"/>
          <w:u w:val="single"/>
          <w:lang w:bidi="ar"/>
        </w:rPr>
        <w:t xml:space="preserve">   </w:t>
      </w:r>
      <w:r>
        <w:rPr>
          <w:rFonts w:hint="eastAsia" w:ascii="华文仿宋" w:hAnsi="华文仿宋" w:eastAsia="华文仿宋" w:cs="华文仿宋"/>
          <w:color w:val="auto"/>
          <w:kern w:val="0"/>
          <w:sz w:val="21"/>
          <w:szCs w:val="21"/>
          <w:highlight w:val="none"/>
          <w:lang w:bidi="ar"/>
        </w:rPr>
        <w:t>人，营业收入为</w:t>
      </w:r>
      <w:r>
        <w:rPr>
          <w:rFonts w:hint="eastAsia" w:ascii="华文仿宋" w:hAnsi="华文仿宋" w:eastAsia="华文仿宋" w:cs="华文仿宋"/>
          <w:color w:val="auto"/>
          <w:kern w:val="0"/>
          <w:sz w:val="21"/>
          <w:szCs w:val="21"/>
          <w:highlight w:val="none"/>
          <w:u w:val="single"/>
          <w:lang w:bidi="ar"/>
        </w:rPr>
        <w:t xml:space="preserve">  </w:t>
      </w:r>
      <w:r>
        <w:rPr>
          <w:rFonts w:hint="eastAsia" w:ascii="华文仿宋" w:hAnsi="华文仿宋" w:eastAsia="华文仿宋" w:cs="华文仿宋"/>
          <w:color w:val="auto"/>
          <w:kern w:val="0"/>
          <w:sz w:val="21"/>
          <w:szCs w:val="21"/>
          <w:highlight w:val="none"/>
          <w:lang w:bidi="ar"/>
        </w:rPr>
        <w:t>万元，资产总额为万元，属于</w:t>
      </w:r>
      <w:r>
        <w:rPr>
          <w:rFonts w:hint="eastAsia" w:ascii="华文仿宋" w:hAnsi="华文仿宋" w:eastAsia="华文仿宋" w:cs="华文仿宋"/>
          <w:i/>
          <w:color w:val="auto"/>
          <w:kern w:val="0"/>
          <w:sz w:val="21"/>
          <w:szCs w:val="21"/>
          <w:highlight w:val="none"/>
          <w:u w:val="single"/>
          <w:lang w:bidi="ar"/>
        </w:rPr>
        <w:t>（中型企业、小型企业、微型企业）</w:t>
      </w:r>
      <w:r>
        <w:rPr>
          <w:rFonts w:hint="eastAsia" w:ascii="华文仿宋" w:hAnsi="华文仿宋" w:eastAsia="华文仿宋" w:cs="华文仿宋"/>
          <w:color w:val="auto"/>
          <w:kern w:val="0"/>
          <w:sz w:val="21"/>
          <w:szCs w:val="21"/>
          <w:highlight w:val="none"/>
          <w:lang w:bidi="ar"/>
        </w:rPr>
        <w:t xml:space="preserve">； </w:t>
      </w:r>
    </w:p>
    <w:p w14:paraId="779CA41B">
      <w:pPr>
        <w:widowControl/>
        <w:spacing w:line="360" w:lineRule="auto"/>
        <w:jc w:val="left"/>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kern w:val="0"/>
          <w:sz w:val="21"/>
          <w:szCs w:val="21"/>
          <w:highlight w:val="none"/>
          <w:lang w:bidi="ar"/>
        </w:rPr>
        <w:t>……</w:t>
      </w:r>
    </w:p>
    <w:p w14:paraId="003DE76A">
      <w:pPr>
        <w:widowControl/>
        <w:spacing w:line="360" w:lineRule="auto"/>
        <w:ind w:firstLine="420" w:firstLineChars="200"/>
        <w:jc w:val="left"/>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kern w:val="0"/>
          <w:sz w:val="21"/>
          <w:szCs w:val="21"/>
          <w:highlight w:val="none"/>
          <w:lang w:bidi="ar"/>
        </w:rPr>
        <w:t>以上企业，不属于大企业的分支机构，不存在控股股东为大企业的情形，也不存在与大企业的负责人为同一人的情形。</w:t>
      </w:r>
    </w:p>
    <w:p w14:paraId="62837662">
      <w:pPr>
        <w:widowControl/>
        <w:spacing w:line="360" w:lineRule="auto"/>
        <w:ind w:firstLine="420" w:firstLineChars="200"/>
        <w:jc w:val="left"/>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kern w:val="0"/>
          <w:sz w:val="21"/>
          <w:szCs w:val="21"/>
          <w:highlight w:val="none"/>
          <w:lang w:bidi="ar"/>
        </w:rPr>
        <w:t xml:space="preserve">本企业对上述声明内容的真实性负责。如有虚假，将依法承担相应责任。 </w:t>
      </w:r>
    </w:p>
    <w:p w14:paraId="0CD7DB90">
      <w:pPr>
        <w:widowControl/>
        <w:spacing w:line="360" w:lineRule="auto"/>
        <w:jc w:val="right"/>
        <w:rPr>
          <w:rFonts w:hint="eastAsia" w:ascii="华文仿宋" w:hAnsi="华文仿宋" w:eastAsia="华文仿宋" w:cs="华文仿宋"/>
          <w:color w:val="auto"/>
          <w:kern w:val="0"/>
          <w:sz w:val="21"/>
          <w:szCs w:val="21"/>
          <w:highlight w:val="none"/>
          <w:lang w:bidi="ar"/>
        </w:rPr>
      </w:pPr>
    </w:p>
    <w:p w14:paraId="6E10435F">
      <w:pPr>
        <w:widowControl/>
        <w:spacing w:line="360" w:lineRule="auto"/>
        <w:jc w:val="center"/>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kern w:val="0"/>
          <w:sz w:val="21"/>
          <w:szCs w:val="21"/>
          <w:highlight w:val="none"/>
          <w:lang w:bidi="ar"/>
        </w:rPr>
        <w:t xml:space="preserve">                                             企业名称（</w:t>
      </w:r>
      <w:r>
        <w:rPr>
          <w:rFonts w:hint="eastAsia" w:ascii="华文仿宋" w:hAnsi="华文仿宋" w:eastAsia="华文仿宋" w:cs="华文仿宋"/>
          <w:color w:val="auto"/>
          <w:sz w:val="21"/>
          <w:szCs w:val="21"/>
          <w:highlight w:val="none"/>
          <w:u w:val="none"/>
        </w:rPr>
        <w:t>单位电子签章</w:t>
      </w:r>
      <w:r>
        <w:rPr>
          <w:rFonts w:hint="eastAsia" w:ascii="华文仿宋" w:hAnsi="华文仿宋" w:eastAsia="华文仿宋" w:cs="华文仿宋"/>
          <w:color w:val="auto"/>
          <w:sz w:val="21"/>
          <w:szCs w:val="21"/>
          <w:highlight w:val="none"/>
          <w:u w:val="none"/>
          <w:lang w:val="en-US" w:eastAsia="zh-CN"/>
        </w:rPr>
        <w:t>或盖章</w:t>
      </w:r>
      <w:r>
        <w:rPr>
          <w:rFonts w:hint="eastAsia" w:ascii="华文仿宋" w:hAnsi="华文仿宋" w:eastAsia="华文仿宋" w:cs="华文仿宋"/>
          <w:color w:val="auto"/>
          <w:kern w:val="0"/>
          <w:sz w:val="21"/>
          <w:szCs w:val="21"/>
          <w:highlight w:val="none"/>
          <w:lang w:bidi="ar"/>
        </w:rPr>
        <w:t xml:space="preserve">）： </w:t>
      </w:r>
    </w:p>
    <w:p w14:paraId="783EDEE9">
      <w:pPr>
        <w:widowControl/>
        <w:spacing w:line="360" w:lineRule="auto"/>
        <w:ind w:firstLine="5670" w:firstLineChars="2700"/>
        <w:jc w:val="left"/>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kern w:val="0"/>
          <w:sz w:val="21"/>
          <w:szCs w:val="21"/>
          <w:highlight w:val="none"/>
          <w:lang w:bidi="ar"/>
        </w:rPr>
        <w:t xml:space="preserve">日 期： </w:t>
      </w:r>
    </w:p>
    <w:p w14:paraId="00CAE3BB">
      <w:pPr>
        <w:widowControl/>
        <w:spacing w:line="360" w:lineRule="auto"/>
        <w:ind w:firstLine="420" w:firstLineChars="200"/>
        <w:jc w:val="left"/>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kern w:val="0"/>
          <w:sz w:val="21"/>
          <w:szCs w:val="21"/>
          <w:highlight w:val="none"/>
          <w:lang w:bidi="ar"/>
        </w:rPr>
        <w:t>从业人员、营业收入、资产总额填报上一年度数据，无上一年度数据的新成立企业可不填报。</w:t>
      </w:r>
    </w:p>
    <w:p w14:paraId="72724C1C">
      <w:pPr>
        <w:pStyle w:val="7"/>
        <w:spacing w:line="360" w:lineRule="auto"/>
        <w:rPr>
          <w:rFonts w:hint="eastAsia" w:ascii="华文仿宋" w:hAnsi="华文仿宋" w:eastAsia="华文仿宋" w:cs="华文仿宋"/>
          <w:color w:val="auto"/>
          <w:sz w:val="24"/>
          <w:szCs w:val="24"/>
          <w:highlight w:val="none"/>
        </w:rPr>
      </w:pPr>
    </w:p>
    <w:p w14:paraId="457498EB">
      <w:pPr>
        <w:pStyle w:val="7"/>
        <w:spacing w:line="360" w:lineRule="auto"/>
        <w:rPr>
          <w:rFonts w:hint="eastAsia" w:ascii="华文仿宋" w:hAnsi="华文仿宋" w:eastAsia="华文仿宋" w:cs="华文仿宋"/>
          <w:color w:val="auto"/>
          <w:sz w:val="24"/>
          <w:szCs w:val="24"/>
          <w:highlight w:val="none"/>
        </w:rPr>
      </w:pPr>
    </w:p>
    <w:p w14:paraId="63B19CC9">
      <w:pPr>
        <w:pStyle w:val="7"/>
        <w:spacing w:line="360" w:lineRule="auto"/>
        <w:rPr>
          <w:rFonts w:hint="eastAsia" w:ascii="华文仿宋" w:hAnsi="华文仿宋" w:eastAsia="华文仿宋" w:cs="华文仿宋"/>
          <w:color w:val="auto"/>
          <w:sz w:val="24"/>
          <w:highlight w:val="none"/>
        </w:rPr>
      </w:pPr>
    </w:p>
    <w:p w14:paraId="63004842">
      <w:pPr>
        <w:pStyle w:val="8"/>
        <w:rPr>
          <w:rFonts w:hint="eastAsia" w:ascii="华文仿宋" w:hAnsi="华文仿宋" w:eastAsia="华文仿宋" w:cs="华文仿宋"/>
          <w:color w:val="auto"/>
          <w:sz w:val="24"/>
          <w:highlight w:val="none"/>
        </w:rPr>
      </w:pPr>
    </w:p>
    <w:p w14:paraId="2F0BA828">
      <w:pPr>
        <w:pStyle w:val="12"/>
        <w:jc w:val="center"/>
        <w:rPr>
          <w:rFonts w:hint="eastAsia" w:ascii="华文仿宋" w:hAnsi="华文仿宋" w:eastAsia="华文仿宋" w:cs="华文仿宋"/>
          <w:b/>
          <w:bCs/>
          <w:color w:val="auto"/>
          <w:szCs w:val="24"/>
          <w:highlight w:val="none"/>
        </w:rPr>
      </w:pPr>
      <w:r>
        <w:rPr>
          <w:rFonts w:hint="eastAsia" w:ascii="华文仿宋" w:hAnsi="华文仿宋" w:eastAsia="华文仿宋" w:cs="华文仿宋"/>
          <w:color w:val="auto"/>
          <w:highlight w:val="none"/>
        </w:rPr>
        <w:drawing>
          <wp:inline distT="0" distB="0" distL="114300" distR="114300">
            <wp:extent cx="6200140" cy="8126095"/>
            <wp:effectExtent l="0" t="0" r="2540" b="1206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6200140" cy="8126095"/>
                    </a:xfrm>
                    <a:prstGeom prst="rect">
                      <a:avLst/>
                    </a:prstGeom>
                    <a:noFill/>
                    <a:ln>
                      <a:noFill/>
                    </a:ln>
                  </pic:spPr>
                </pic:pic>
              </a:graphicData>
            </a:graphic>
          </wp:inline>
        </w:drawing>
      </w:r>
    </w:p>
    <w:p w14:paraId="4DBCBB86">
      <w:pPr>
        <w:spacing w:line="460" w:lineRule="exact"/>
        <w:ind w:firstLine="480"/>
        <w:rPr>
          <w:rFonts w:hint="eastAsia" w:ascii="华文仿宋" w:hAnsi="华文仿宋" w:eastAsia="华文仿宋" w:cs="华文仿宋"/>
          <w:color w:val="auto"/>
          <w:szCs w:val="24"/>
          <w:highlight w:val="none"/>
        </w:rPr>
      </w:pPr>
    </w:p>
    <w:p w14:paraId="26AAFEC2">
      <w:pPr>
        <w:jc w:val="center"/>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color w:val="auto"/>
          <w:highlight w:val="none"/>
        </w:rPr>
        <w:drawing>
          <wp:inline distT="0" distB="0" distL="114300" distR="114300">
            <wp:extent cx="5245100" cy="6876415"/>
            <wp:effectExtent l="0" t="0" r="12700" b="1206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5245100" cy="6876415"/>
                    </a:xfrm>
                    <a:prstGeom prst="rect">
                      <a:avLst/>
                    </a:prstGeom>
                    <a:noFill/>
                    <a:ln>
                      <a:noFill/>
                    </a:ln>
                  </pic:spPr>
                </pic:pic>
              </a:graphicData>
            </a:graphic>
          </wp:inline>
        </w:drawing>
      </w:r>
    </w:p>
    <w:p w14:paraId="6C714DA4">
      <w:pPr>
        <w:jc w:val="center"/>
        <w:rPr>
          <w:rFonts w:hint="eastAsia" w:ascii="华文仿宋" w:hAnsi="华文仿宋" w:eastAsia="华文仿宋" w:cs="华文仿宋"/>
          <w:b/>
          <w:color w:val="auto"/>
          <w:sz w:val="32"/>
          <w:szCs w:val="32"/>
          <w:highlight w:val="none"/>
        </w:rPr>
      </w:pPr>
    </w:p>
    <w:p w14:paraId="6A5010C6">
      <w:pPr>
        <w:pStyle w:val="12"/>
        <w:rPr>
          <w:rFonts w:hint="eastAsia" w:ascii="华文仿宋" w:hAnsi="华文仿宋" w:eastAsia="华文仿宋" w:cs="华文仿宋"/>
          <w:b/>
          <w:color w:val="auto"/>
          <w:sz w:val="32"/>
          <w:szCs w:val="32"/>
          <w:highlight w:val="none"/>
        </w:rPr>
      </w:pPr>
    </w:p>
    <w:p w14:paraId="4F6214C8">
      <w:pPr>
        <w:pStyle w:val="8"/>
        <w:rPr>
          <w:rFonts w:hint="eastAsia" w:ascii="华文仿宋" w:hAnsi="华文仿宋" w:eastAsia="华文仿宋" w:cs="华文仿宋"/>
          <w:color w:val="auto"/>
          <w:sz w:val="24"/>
          <w:highlight w:val="none"/>
        </w:rPr>
      </w:pPr>
    </w:p>
    <w:p w14:paraId="7E9F841C">
      <w:pPr>
        <w:pStyle w:val="8"/>
        <w:rPr>
          <w:rFonts w:hint="eastAsia" w:ascii="华文仿宋" w:hAnsi="华文仿宋" w:eastAsia="华文仿宋" w:cs="华文仿宋"/>
          <w:color w:val="auto"/>
          <w:sz w:val="24"/>
          <w:highlight w:val="none"/>
        </w:rPr>
      </w:pPr>
    </w:p>
    <w:p w14:paraId="744CFCB7">
      <w:pPr>
        <w:rPr>
          <w:rFonts w:hint="eastAsia" w:ascii="华文仿宋" w:hAnsi="华文仿宋" w:eastAsia="华文仿宋" w:cs="华文仿宋"/>
          <w:color w:val="auto"/>
        </w:rPr>
      </w:pPr>
    </w:p>
    <w:bookmarkEnd w:id="851"/>
    <w:bookmarkEnd w:id="852"/>
    <w:p w14:paraId="0D2DED1C">
      <w:pPr>
        <w:pageBreakBefore w:val="0"/>
        <w:numPr>
          <w:ilvl w:val="0"/>
          <w:numId w:val="0"/>
        </w:numPr>
        <w:kinsoku/>
        <w:wordWrap w:val="0"/>
        <w:overflowPunct/>
        <w:topLinePunct/>
        <w:bidi w:val="0"/>
        <w:spacing w:line="360" w:lineRule="auto"/>
        <w:jc w:val="center"/>
        <w:outlineLvl w:val="1"/>
        <w:rPr>
          <w:rFonts w:hint="eastAsia"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bCs/>
          <w:color w:val="auto"/>
          <w:sz w:val="32"/>
          <w:szCs w:val="32"/>
          <w:highlight w:val="none"/>
          <w:lang w:val="en-US" w:eastAsia="zh-CN"/>
        </w:rPr>
        <w:t>九、残疾人福利性单位声明函</w:t>
      </w:r>
    </w:p>
    <w:p w14:paraId="44D72E0F">
      <w:pPr>
        <w:spacing w:line="360" w:lineRule="exact"/>
        <w:jc w:val="left"/>
        <w:textAlignment w:val="baseline"/>
        <w:rPr>
          <w:rFonts w:hint="eastAsia" w:ascii="华文仿宋" w:hAnsi="华文仿宋" w:eastAsia="华文仿宋" w:cs="华文仿宋"/>
          <w:b/>
          <w:color w:val="auto"/>
          <w:sz w:val="24"/>
          <w:highlight w:val="none"/>
        </w:rPr>
      </w:pPr>
    </w:p>
    <w:p w14:paraId="1238AA59">
      <w:pPr>
        <w:spacing w:line="588" w:lineRule="exact"/>
        <w:ind w:firstLine="444" w:firstLineChars="200"/>
        <w:rPr>
          <w:rFonts w:hint="eastAsia" w:ascii="华文仿宋" w:hAnsi="华文仿宋" w:eastAsia="华文仿宋" w:cs="华文仿宋"/>
          <w:color w:val="auto"/>
          <w:spacing w:val="6"/>
          <w:sz w:val="21"/>
          <w:szCs w:val="21"/>
          <w:highlight w:val="none"/>
        </w:rPr>
      </w:pPr>
      <w:r>
        <w:rPr>
          <w:rFonts w:hint="eastAsia" w:ascii="华文仿宋" w:hAnsi="华文仿宋" w:eastAsia="华文仿宋" w:cs="华文仿宋"/>
          <w:color w:val="auto"/>
          <w:spacing w:val="6"/>
          <w:sz w:val="21"/>
          <w:szCs w:val="21"/>
          <w:highlight w:val="none"/>
        </w:rPr>
        <w:t>本单位郑重声明，根据《财政部 民政部 中国残疾人联合会关于促进残疾人就业政府采购政策的通知》（财库</w:t>
      </w:r>
      <w:r>
        <w:rPr>
          <w:rFonts w:hint="eastAsia" w:ascii="华文仿宋" w:hAnsi="华文仿宋" w:eastAsia="华文仿宋" w:cs="华文仿宋"/>
          <w:color w:val="auto"/>
          <w:sz w:val="21"/>
          <w:szCs w:val="21"/>
          <w:highlight w:val="none"/>
        </w:rPr>
        <w:t>〔2017〕141</w:t>
      </w:r>
      <w:r>
        <w:rPr>
          <w:rFonts w:hint="eastAsia" w:ascii="华文仿宋" w:hAnsi="华文仿宋" w:eastAsia="华文仿宋" w:cs="华文仿宋"/>
          <w:color w:val="auto"/>
          <w:spacing w:val="6"/>
          <w:sz w:val="21"/>
          <w:szCs w:val="21"/>
          <w:highlight w:val="none"/>
        </w:rPr>
        <w:t>号）的规定，本单位为符合条件的残疾人福利性单位，且本单位参加</w:t>
      </w:r>
      <w:r>
        <w:rPr>
          <w:rFonts w:hint="eastAsia" w:ascii="华文仿宋" w:hAnsi="华文仿宋" w:eastAsia="华文仿宋" w:cs="华文仿宋"/>
          <w:color w:val="auto"/>
          <w:spacing w:val="6"/>
          <w:sz w:val="21"/>
          <w:szCs w:val="21"/>
          <w:highlight w:val="none"/>
          <w:u w:val="single"/>
        </w:rPr>
        <w:t xml:space="preserve">     （</w:t>
      </w:r>
      <w:r>
        <w:rPr>
          <w:rFonts w:hint="eastAsia" w:ascii="华文仿宋" w:hAnsi="华文仿宋" w:eastAsia="华文仿宋" w:cs="华文仿宋"/>
          <w:color w:val="auto"/>
          <w:spacing w:val="6"/>
          <w:sz w:val="21"/>
          <w:szCs w:val="21"/>
          <w:highlight w:val="none"/>
          <w:u w:val="single"/>
          <w:lang w:eastAsia="zh-CN"/>
        </w:rPr>
        <w:t>采购人</w:t>
      </w:r>
      <w:r>
        <w:rPr>
          <w:rFonts w:hint="eastAsia" w:ascii="华文仿宋" w:hAnsi="华文仿宋" w:eastAsia="华文仿宋" w:cs="华文仿宋"/>
          <w:color w:val="auto"/>
          <w:spacing w:val="6"/>
          <w:sz w:val="21"/>
          <w:szCs w:val="21"/>
          <w:highlight w:val="none"/>
          <w:u w:val="single"/>
        </w:rPr>
        <w:t>名称</w:t>
      </w:r>
      <w:r>
        <w:rPr>
          <w:rFonts w:hint="eastAsia" w:ascii="华文仿宋" w:hAnsi="华文仿宋" w:eastAsia="华文仿宋" w:cs="华文仿宋"/>
          <w:color w:val="auto"/>
          <w:spacing w:val="6"/>
          <w:sz w:val="21"/>
          <w:szCs w:val="21"/>
          <w:highlight w:val="none"/>
          <w:u w:val="single"/>
          <w:lang w:eastAsia="zh-CN"/>
        </w:rPr>
        <w:t>）</w:t>
      </w:r>
      <w:r>
        <w:rPr>
          <w:rFonts w:hint="eastAsia" w:ascii="华文仿宋" w:hAnsi="华文仿宋" w:eastAsia="华文仿宋" w:cs="华文仿宋"/>
          <w:color w:val="auto"/>
          <w:spacing w:val="6"/>
          <w:sz w:val="21"/>
          <w:szCs w:val="21"/>
          <w:highlight w:val="none"/>
        </w:rPr>
        <w:t>的</w:t>
      </w:r>
      <w:r>
        <w:rPr>
          <w:rFonts w:hint="eastAsia" w:ascii="华文仿宋" w:hAnsi="华文仿宋" w:eastAsia="华文仿宋" w:cs="华文仿宋"/>
          <w:color w:val="auto"/>
          <w:spacing w:val="6"/>
          <w:sz w:val="21"/>
          <w:szCs w:val="21"/>
          <w:highlight w:val="none"/>
          <w:u w:val="single"/>
        </w:rPr>
        <w:t xml:space="preserve">     </w:t>
      </w:r>
      <w:r>
        <w:rPr>
          <w:rFonts w:hint="eastAsia" w:ascii="华文仿宋" w:hAnsi="华文仿宋" w:eastAsia="华文仿宋" w:cs="华文仿宋"/>
          <w:color w:val="auto"/>
          <w:sz w:val="21"/>
          <w:szCs w:val="21"/>
          <w:highlight w:val="none"/>
          <w:u w:val="single"/>
        </w:rPr>
        <w:t>（项目名称）</w:t>
      </w:r>
      <w:r>
        <w:rPr>
          <w:rFonts w:hint="eastAsia" w:ascii="华文仿宋" w:hAnsi="华文仿宋" w:eastAsia="华文仿宋" w:cs="华文仿宋"/>
          <w:color w:val="auto"/>
          <w:spacing w:val="6"/>
          <w:sz w:val="21"/>
          <w:szCs w:val="21"/>
          <w:highlight w:val="none"/>
        </w:rPr>
        <w:t>采购活动提供本单位的</w:t>
      </w:r>
      <w:r>
        <w:rPr>
          <w:rFonts w:hint="eastAsia" w:ascii="华文仿宋" w:hAnsi="华文仿宋" w:eastAsia="华文仿宋" w:cs="华文仿宋"/>
          <w:color w:val="auto"/>
          <w:spacing w:val="6"/>
          <w:sz w:val="21"/>
          <w:szCs w:val="21"/>
          <w:highlight w:val="none"/>
          <w:lang w:eastAsia="zh-CN"/>
        </w:rPr>
        <w:t>服务</w:t>
      </w:r>
      <w:r>
        <w:rPr>
          <w:rFonts w:hint="eastAsia" w:ascii="华文仿宋" w:hAnsi="华文仿宋" w:eastAsia="华文仿宋" w:cs="华文仿宋"/>
          <w:color w:val="auto"/>
          <w:spacing w:val="6"/>
          <w:sz w:val="21"/>
          <w:szCs w:val="21"/>
          <w:highlight w:val="none"/>
        </w:rPr>
        <w:t>，或者提供其他残疾人福利性单位</w:t>
      </w:r>
      <w:r>
        <w:rPr>
          <w:rFonts w:hint="eastAsia" w:ascii="华文仿宋" w:hAnsi="华文仿宋" w:eastAsia="华文仿宋" w:cs="华文仿宋"/>
          <w:color w:val="auto"/>
          <w:spacing w:val="6"/>
          <w:sz w:val="21"/>
          <w:szCs w:val="21"/>
          <w:highlight w:val="none"/>
          <w:lang w:eastAsia="zh-CN"/>
        </w:rPr>
        <w:t>的服务</w:t>
      </w:r>
      <w:r>
        <w:rPr>
          <w:rFonts w:hint="eastAsia" w:ascii="华文仿宋" w:hAnsi="华文仿宋" w:eastAsia="华文仿宋" w:cs="华文仿宋"/>
          <w:color w:val="auto"/>
          <w:spacing w:val="6"/>
          <w:sz w:val="21"/>
          <w:szCs w:val="21"/>
          <w:highlight w:val="none"/>
        </w:rPr>
        <w:t>。</w:t>
      </w:r>
    </w:p>
    <w:p w14:paraId="322498C7">
      <w:pPr>
        <w:spacing w:line="588" w:lineRule="exact"/>
        <w:ind w:firstLine="446" w:firstLineChars="200"/>
        <w:rPr>
          <w:rFonts w:hint="eastAsia" w:ascii="华文仿宋" w:hAnsi="华文仿宋" w:eastAsia="华文仿宋" w:cs="华文仿宋"/>
          <w:b/>
          <w:bCs/>
          <w:color w:val="auto"/>
          <w:spacing w:val="6"/>
          <w:sz w:val="21"/>
          <w:szCs w:val="21"/>
          <w:highlight w:val="none"/>
        </w:rPr>
      </w:pPr>
      <w:r>
        <w:rPr>
          <w:rFonts w:hint="eastAsia" w:ascii="华文仿宋" w:hAnsi="华文仿宋" w:eastAsia="华文仿宋" w:cs="华文仿宋"/>
          <w:b/>
          <w:bCs/>
          <w:color w:val="auto"/>
          <w:spacing w:val="6"/>
          <w:sz w:val="21"/>
          <w:szCs w:val="21"/>
          <w:highlight w:val="none"/>
        </w:rPr>
        <w:t>（提醒：如果供应商不是残疾人福利性单位，则不需要</w:t>
      </w:r>
      <w:r>
        <w:rPr>
          <w:rFonts w:hint="eastAsia" w:ascii="华文仿宋" w:hAnsi="华文仿宋" w:eastAsia="华文仿宋" w:cs="华文仿宋"/>
          <w:b/>
          <w:bCs/>
          <w:color w:val="auto"/>
          <w:spacing w:val="6"/>
          <w:sz w:val="21"/>
          <w:szCs w:val="21"/>
          <w:highlight w:val="none"/>
          <w:lang w:val="en-US" w:eastAsia="zh-CN"/>
        </w:rPr>
        <w:t>填写</w:t>
      </w:r>
      <w:r>
        <w:rPr>
          <w:rFonts w:hint="eastAsia" w:ascii="华文仿宋" w:hAnsi="华文仿宋" w:eastAsia="华文仿宋" w:cs="华文仿宋"/>
          <w:b/>
          <w:bCs/>
          <w:color w:val="auto"/>
          <w:spacing w:val="6"/>
          <w:sz w:val="21"/>
          <w:szCs w:val="21"/>
          <w:highlight w:val="none"/>
        </w:rPr>
        <w:t>《残疾人福利性单位声明函》。否则，因此导致虚假投标的后果由供应商自行承担。）</w:t>
      </w:r>
    </w:p>
    <w:p w14:paraId="433FBFED">
      <w:pPr>
        <w:spacing w:line="588" w:lineRule="exact"/>
        <w:ind w:firstLine="444" w:firstLineChars="200"/>
        <w:rPr>
          <w:rFonts w:hint="eastAsia" w:ascii="华文仿宋" w:hAnsi="华文仿宋" w:eastAsia="华文仿宋" w:cs="华文仿宋"/>
          <w:color w:val="auto"/>
          <w:spacing w:val="6"/>
          <w:sz w:val="21"/>
          <w:szCs w:val="21"/>
          <w:highlight w:val="none"/>
        </w:rPr>
      </w:pPr>
    </w:p>
    <w:p w14:paraId="2B8E0426">
      <w:pPr>
        <w:spacing w:line="588" w:lineRule="exact"/>
        <w:ind w:firstLine="444" w:firstLineChars="200"/>
        <w:rPr>
          <w:rFonts w:hint="eastAsia" w:ascii="华文仿宋" w:hAnsi="华文仿宋" w:eastAsia="华文仿宋" w:cs="华文仿宋"/>
          <w:color w:val="auto"/>
          <w:spacing w:val="6"/>
          <w:sz w:val="21"/>
          <w:szCs w:val="21"/>
          <w:highlight w:val="none"/>
        </w:rPr>
      </w:pPr>
    </w:p>
    <w:p w14:paraId="2C108154">
      <w:pPr>
        <w:spacing w:line="360" w:lineRule="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pacing w:val="6"/>
          <w:sz w:val="21"/>
          <w:szCs w:val="21"/>
          <w:highlight w:val="none"/>
        </w:rPr>
        <w:t xml:space="preserve">               </w:t>
      </w:r>
      <w:r>
        <w:rPr>
          <w:rFonts w:hint="eastAsia" w:ascii="华文仿宋" w:hAnsi="华文仿宋" w:eastAsia="华文仿宋" w:cs="华文仿宋"/>
          <w:color w:val="auto"/>
          <w:sz w:val="21"/>
          <w:szCs w:val="21"/>
          <w:highlight w:val="none"/>
        </w:rPr>
        <w:t xml:space="preserve">  供应商名称：</w:t>
      </w:r>
      <w:r>
        <w:rPr>
          <w:rFonts w:hint="eastAsia" w:ascii="华文仿宋" w:hAnsi="华文仿宋" w:eastAsia="华文仿宋" w:cs="华文仿宋"/>
          <w:color w:val="auto"/>
          <w:sz w:val="21"/>
          <w:szCs w:val="21"/>
          <w:highlight w:val="none"/>
          <w:u w:val="single"/>
        </w:rPr>
        <w:t xml:space="preserve">                        </w:t>
      </w:r>
      <w:r>
        <w:rPr>
          <w:rFonts w:hint="eastAsia" w:ascii="华文仿宋" w:hAnsi="华文仿宋" w:eastAsia="华文仿宋" w:cs="华文仿宋"/>
          <w:color w:val="auto"/>
          <w:sz w:val="21"/>
          <w:szCs w:val="21"/>
          <w:highlight w:val="none"/>
        </w:rPr>
        <w:t>（单位电子签章</w:t>
      </w:r>
      <w:r>
        <w:rPr>
          <w:rFonts w:hint="eastAsia" w:ascii="华文仿宋" w:hAnsi="华文仿宋" w:eastAsia="华文仿宋" w:cs="华文仿宋"/>
          <w:color w:val="auto"/>
          <w:sz w:val="21"/>
          <w:szCs w:val="21"/>
          <w:highlight w:val="none"/>
          <w:lang w:val="en-US" w:eastAsia="zh-CN"/>
        </w:rPr>
        <w:t>或盖章</w:t>
      </w:r>
      <w:r>
        <w:rPr>
          <w:rFonts w:hint="eastAsia" w:ascii="华文仿宋" w:hAnsi="华文仿宋" w:eastAsia="华文仿宋" w:cs="华文仿宋"/>
          <w:color w:val="auto"/>
          <w:sz w:val="21"/>
          <w:szCs w:val="21"/>
          <w:highlight w:val="none"/>
        </w:rPr>
        <w:t>）</w:t>
      </w:r>
    </w:p>
    <w:p w14:paraId="50A92392">
      <w:pPr>
        <w:spacing w:line="360" w:lineRule="auto"/>
        <w:rPr>
          <w:rFonts w:hint="eastAsia" w:ascii="华文仿宋" w:hAnsi="华文仿宋" w:eastAsia="华文仿宋" w:cs="华文仿宋"/>
          <w:color w:val="auto"/>
          <w:sz w:val="21"/>
          <w:szCs w:val="21"/>
          <w:highlight w:val="none"/>
        </w:rPr>
      </w:pPr>
    </w:p>
    <w:p w14:paraId="55846AAF">
      <w:pPr>
        <w:spacing w:line="360" w:lineRule="auto"/>
        <w:jc w:val="center"/>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日期：</w:t>
      </w:r>
      <w:r>
        <w:rPr>
          <w:rFonts w:hint="eastAsia" w:ascii="华文仿宋" w:hAnsi="华文仿宋" w:eastAsia="华文仿宋" w:cs="华文仿宋"/>
          <w:color w:val="auto"/>
          <w:sz w:val="21"/>
          <w:szCs w:val="21"/>
          <w:highlight w:val="none"/>
          <w:u w:val="single"/>
        </w:rPr>
        <w:t xml:space="preserve">  </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u w:val="single"/>
        </w:rPr>
        <w:t xml:space="preserve"> </w:t>
      </w:r>
      <w:r>
        <w:rPr>
          <w:rFonts w:hint="eastAsia" w:ascii="华文仿宋" w:hAnsi="华文仿宋" w:eastAsia="华文仿宋" w:cs="华文仿宋"/>
          <w:color w:val="auto"/>
          <w:sz w:val="21"/>
          <w:szCs w:val="21"/>
          <w:highlight w:val="none"/>
        </w:rPr>
        <w:t>年</w:t>
      </w:r>
      <w:r>
        <w:rPr>
          <w:rFonts w:hint="eastAsia" w:ascii="华文仿宋" w:hAnsi="华文仿宋" w:eastAsia="华文仿宋" w:cs="华文仿宋"/>
          <w:color w:val="auto"/>
          <w:sz w:val="21"/>
          <w:szCs w:val="21"/>
          <w:highlight w:val="none"/>
          <w:u w:val="single"/>
        </w:rPr>
        <w:t xml:space="preserve"> </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u w:val="single"/>
        </w:rPr>
        <w:t xml:space="preserve">  </w:t>
      </w:r>
      <w:r>
        <w:rPr>
          <w:rFonts w:hint="eastAsia" w:ascii="华文仿宋" w:hAnsi="华文仿宋" w:eastAsia="华文仿宋" w:cs="华文仿宋"/>
          <w:color w:val="auto"/>
          <w:sz w:val="21"/>
          <w:szCs w:val="21"/>
          <w:highlight w:val="none"/>
        </w:rPr>
        <w:t>月</w:t>
      </w:r>
      <w:r>
        <w:rPr>
          <w:rFonts w:hint="eastAsia" w:ascii="华文仿宋" w:hAnsi="华文仿宋" w:eastAsia="华文仿宋" w:cs="华文仿宋"/>
          <w:color w:val="auto"/>
          <w:sz w:val="21"/>
          <w:szCs w:val="21"/>
          <w:highlight w:val="none"/>
          <w:u w:val="single"/>
        </w:rPr>
        <w:t xml:space="preserve">  </w:t>
      </w:r>
      <w:r>
        <w:rPr>
          <w:rFonts w:hint="eastAsia" w:ascii="华文仿宋" w:hAnsi="华文仿宋" w:eastAsia="华文仿宋" w:cs="华文仿宋"/>
          <w:color w:val="auto"/>
          <w:sz w:val="21"/>
          <w:szCs w:val="21"/>
          <w:highlight w:val="none"/>
          <w:u w:val="single"/>
          <w:lang w:val="en-US" w:eastAsia="zh-CN"/>
        </w:rPr>
        <w:t xml:space="preserve"> </w:t>
      </w:r>
      <w:r>
        <w:rPr>
          <w:rFonts w:hint="eastAsia" w:ascii="华文仿宋" w:hAnsi="华文仿宋" w:eastAsia="华文仿宋" w:cs="华文仿宋"/>
          <w:color w:val="auto"/>
          <w:sz w:val="21"/>
          <w:szCs w:val="21"/>
          <w:highlight w:val="none"/>
          <w:u w:val="single"/>
        </w:rPr>
        <w:t xml:space="preserve"> </w:t>
      </w:r>
      <w:r>
        <w:rPr>
          <w:rFonts w:hint="eastAsia" w:ascii="华文仿宋" w:hAnsi="华文仿宋" w:eastAsia="华文仿宋" w:cs="华文仿宋"/>
          <w:color w:val="auto"/>
          <w:sz w:val="21"/>
          <w:szCs w:val="21"/>
          <w:highlight w:val="none"/>
        </w:rPr>
        <w:t>日</w:t>
      </w:r>
    </w:p>
    <w:p w14:paraId="6160DE04">
      <w:pPr>
        <w:pStyle w:val="3"/>
        <w:outlineLvl w:val="9"/>
        <w:rPr>
          <w:rFonts w:hint="eastAsia" w:ascii="华文仿宋" w:hAnsi="华文仿宋" w:eastAsia="华文仿宋" w:cs="华文仿宋"/>
          <w:color w:val="auto"/>
          <w:sz w:val="21"/>
          <w:szCs w:val="21"/>
          <w:highlight w:val="none"/>
        </w:rPr>
      </w:pPr>
    </w:p>
    <w:p w14:paraId="4EEBECD4">
      <w:pPr>
        <w:rPr>
          <w:rFonts w:hint="eastAsia" w:ascii="华文仿宋" w:hAnsi="华文仿宋" w:eastAsia="华文仿宋" w:cs="华文仿宋"/>
          <w:color w:val="auto"/>
          <w:sz w:val="21"/>
          <w:szCs w:val="21"/>
          <w:highlight w:val="none"/>
        </w:rPr>
      </w:pPr>
    </w:p>
    <w:p w14:paraId="0CCF496F">
      <w:pPr>
        <w:pStyle w:val="3"/>
        <w:outlineLvl w:val="9"/>
        <w:rPr>
          <w:rFonts w:hint="eastAsia" w:ascii="华文仿宋" w:hAnsi="华文仿宋" w:eastAsia="华文仿宋" w:cs="华文仿宋"/>
          <w:color w:val="auto"/>
          <w:sz w:val="21"/>
          <w:szCs w:val="21"/>
          <w:highlight w:val="none"/>
        </w:rPr>
      </w:pPr>
    </w:p>
    <w:p w14:paraId="3C14E8AF">
      <w:pPr>
        <w:rPr>
          <w:rFonts w:hint="eastAsia" w:ascii="华文仿宋" w:hAnsi="华文仿宋" w:eastAsia="华文仿宋" w:cs="华文仿宋"/>
          <w:color w:val="auto"/>
          <w:sz w:val="21"/>
          <w:szCs w:val="21"/>
          <w:highlight w:val="none"/>
        </w:rPr>
      </w:pPr>
    </w:p>
    <w:p w14:paraId="69EFE754">
      <w:pPr>
        <w:pStyle w:val="3"/>
        <w:outlineLvl w:val="9"/>
        <w:rPr>
          <w:rFonts w:hint="eastAsia" w:ascii="华文仿宋" w:hAnsi="华文仿宋" w:eastAsia="华文仿宋" w:cs="华文仿宋"/>
          <w:color w:val="auto"/>
          <w:sz w:val="21"/>
          <w:szCs w:val="21"/>
          <w:highlight w:val="none"/>
        </w:rPr>
      </w:pPr>
    </w:p>
    <w:p w14:paraId="29737235">
      <w:pPr>
        <w:rPr>
          <w:rFonts w:hint="eastAsia" w:ascii="华文仿宋" w:hAnsi="华文仿宋" w:eastAsia="华文仿宋" w:cs="华文仿宋"/>
          <w:color w:val="auto"/>
          <w:sz w:val="21"/>
          <w:szCs w:val="21"/>
          <w:highlight w:val="none"/>
        </w:rPr>
      </w:pPr>
    </w:p>
    <w:p w14:paraId="5298D63D">
      <w:pPr>
        <w:pStyle w:val="3"/>
        <w:outlineLvl w:val="9"/>
        <w:rPr>
          <w:rFonts w:hint="eastAsia" w:ascii="华文仿宋" w:hAnsi="华文仿宋" w:eastAsia="华文仿宋" w:cs="华文仿宋"/>
          <w:color w:val="auto"/>
          <w:sz w:val="21"/>
          <w:szCs w:val="21"/>
          <w:highlight w:val="none"/>
        </w:rPr>
      </w:pPr>
    </w:p>
    <w:p w14:paraId="466F1841">
      <w:pPr>
        <w:rPr>
          <w:rFonts w:hint="eastAsia" w:ascii="华文仿宋" w:hAnsi="华文仿宋" w:eastAsia="华文仿宋" w:cs="华文仿宋"/>
          <w:color w:val="auto"/>
          <w:sz w:val="21"/>
          <w:szCs w:val="21"/>
          <w:highlight w:val="none"/>
        </w:rPr>
      </w:pPr>
    </w:p>
    <w:p w14:paraId="7A2AFCF9">
      <w:pPr>
        <w:pStyle w:val="3"/>
        <w:outlineLvl w:val="9"/>
        <w:rPr>
          <w:rFonts w:hint="eastAsia" w:ascii="华文仿宋" w:hAnsi="华文仿宋" w:eastAsia="华文仿宋" w:cs="华文仿宋"/>
          <w:color w:val="auto"/>
          <w:sz w:val="21"/>
          <w:szCs w:val="21"/>
          <w:highlight w:val="none"/>
        </w:rPr>
      </w:pPr>
    </w:p>
    <w:p w14:paraId="760547AB">
      <w:pPr>
        <w:rPr>
          <w:rFonts w:hint="eastAsia" w:ascii="华文仿宋" w:hAnsi="华文仿宋" w:eastAsia="华文仿宋" w:cs="华文仿宋"/>
          <w:color w:val="auto"/>
        </w:rPr>
      </w:pPr>
    </w:p>
    <w:p w14:paraId="74F2EF77">
      <w:pPr>
        <w:spacing w:line="360" w:lineRule="exact"/>
        <w:jc w:val="center"/>
        <w:textAlignment w:val="baseline"/>
        <w:outlineLvl w:val="1"/>
        <w:rPr>
          <w:rFonts w:hint="eastAsia" w:ascii="华文仿宋" w:hAnsi="华文仿宋" w:eastAsia="华文仿宋" w:cs="华文仿宋"/>
          <w:b/>
          <w:color w:val="auto"/>
          <w:sz w:val="28"/>
          <w:szCs w:val="28"/>
        </w:rPr>
      </w:pPr>
      <w:r>
        <w:rPr>
          <w:rFonts w:hint="eastAsia" w:ascii="华文仿宋" w:hAnsi="华文仿宋" w:eastAsia="华文仿宋" w:cs="华文仿宋"/>
          <w:b/>
          <w:bCs/>
          <w:color w:val="auto"/>
          <w:sz w:val="32"/>
          <w:szCs w:val="32"/>
          <w:highlight w:val="none"/>
          <w:lang w:val="en-US" w:eastAsia="zh-CN"/>
        </w:rPr>
        <w:t>十、反商业贿赂承诺书</w:t>
      </w:r>
    </w:p>
    <w:p w14:paraId="263E7B47">
      <w:pPr>
        <w:spacing w:line="360" w:lineRule="auto"/>
        <w:outlineLvl w:val="9"/>
        <w:rPr>
          <w:rFonts w:hint="eastAsia" w:ascii="华文仿宋" w:hAnsi="华文仿宋" w:eastAsia="华文仿宋" w:cs="华文仿宋"/>
          <w:color w:val="auto"/>
          <w:szCs w:val="21"/>
        </w:rPr>
      </w:pPr>
    </w:p>
    <w:p w14:paraId="5A7CF66F">
      <w:pPr>
        <w:spacing w:line="360" w:lineRule="auto"/>
        <w:outlineLvl w:val="2"/>
        <w:rPr>
          <w:rFonts w:hint="eastAsia" w:ascii="华文仿宋" w:hAnsi="华文仿宋" w:eastAsia="华文仿宋" w:cs="华文仿宋"/>
          <w:color w:val="auto"/>
          <w:szCs w:val="21"/>
        </w:rPr>
      </w:pPr>
      <w:bookmarkStart w:id="854" w:name="_Toc15992"/>
      <w:bookmarkStart w:id="855" w:name="_Toc25513"/>
      <w:bookmarkStart w:id="856" w:name="_Toc30079"/>
      <w:bookmarkStart w:id="857" w:name="_Toc22501"/>
      <w:r>
        <w:rPr>
          <w:rFonts w:hint="eastAsia" w:ascii="华文仿宋" w:hAnsi="华文仿宋" w:eastAsia="华文仿宋" w:cs="华文仿宋"/>
          <w:color w:val="auto"/>
          <w:szCs w:val="21"/>
        </w:rPr>
        <w:t>我公司承诺：</w:t>
      </w:r>
      <w:bookmarkEnd w:id="854"/>
      <w:bookmarkEnd w:id="855"/>
      <w:bookmarkEnd w:id="856"/>
      <w:bookmarkEnd w:id="857"/>
    </w:p>
    <w:p w14:paraId="2C33877D">
      <w:pPr>
        <w:spacing w:line="360" w:lineRule="auto"/>
        <w:ind w:firstLine="397"/>
        <w:outlineLvl w:val="0"/>
        <w:rPr>
          <w:rFonts w:hint="eastAsia" w:ascii="华文仿宋" w:hAnsi="华文仿宋" w:eastAsia="华文仿宋" w:cs="华文仿宋"/>
          <w:color w:val="auto"/>
          <w:szCs w:val="21"/>
        </w:rPr>
      </w:pPr>
      <w:bookmarkStart w:id="858" w:name="_Toc13243"/>
      <w:bookmarkStart w:id="859" w:name="_Toc3531"/>
      <w:bookmarkStart w:id="860" w:name="_Toc5824"/>
      <w:bookmarkStart w:id="861" w:name="_Toc12515"/>
      <w:r>
        <w:rPr>
          <w:rFonts w:hint="eastAsia" w:ascii="华文仿宋" w:hAnsi="华文仿宋" w:eastAsia="华文仿宋" w:cs="华文仿宋"/>
          <w:color w:val="auto"/>
          <w:szCs w:val="21"/>
        </w:rPr>
        <w:t>在</w:t>
      </w:r>
      <w:r>
        <w:rPr>
          <w:rFonts w:hint="eastAsia" w:ascii="华文仿宋" w:hAnsi="华文仿宋" w:eastAsia="华文仿宋" w:cs="华文仿宋"/>
          <w:color w:val="auto"/>
          <w:szCs w:val="21"/>
          <w:u w:val="single"/>
        </w:rPr>
        <w:t xml:space="preserve">            </w:t>
      </w:r>
      <w:r>
        <w:rPr>
          <w:rFonts w:hint="eastAsia" w:ascii="华文仿宋" w:hAnsi="华文仿宋" w:eastAsia="华文仿宋" w:cs="华文仿宋"/>
          <w:color w:val="auto"/>
          <w:szCs w:val="21"/>
        </w:rPr>
        <w:t xml:space="preserve"> （项目名称）采购项目编号为： </w:t>
      </w:r>
      <w:r>
        <w:rPr>
          <w:rFonts w:hint="eastAsia" w:ascii="华文仿宋" w:hAnsi="华文仿宋" w:eastAsia="华文仿宋" w:cs="华文仿宋"/>
          <w:color w:val="auto"/>
          <w:szCs w:val="21"/>
          <w:u w:val="single"/>
        </w:rPr>
        <w:t xml:space="preserve">            </w:t>
      </w:r>
      <w:r>
        <w:rPr>
          <w:rFonts w:hint="eastAsia" w:ascii="华文仿宋" w:hAnsi="华文仿宋" w:eastAsia="华文仿宋" w:cs="华文仿宋"/>
          <w:color w:val="auto"/>
          <w:szCs w:val="21"/>
        </w:rPr>
        <w:t>）采购活动中，我方保证做到：</w:t>
      </w:r>
      <w:bookmarkEnd w:id="858"/>
      <w:bookmarkEnd w:id="859"/>
      <w:bookmarkEnd w:id="860"/>
      <w:bookmarkEnd w:id="861"/>
    </w:p>
    <w:p w14:paraId="5FF672A3">
      <w:pPr>
        <w:spacing w:line="360" w:lineRule="auto"/>
        <w:ind w:firstLine="397"/>
        <w:outlineLvl w:val="1"/>
        <w:rPr>
          <w:rFonts w:hint="eastAsia" w:ascii="华文仿宋" w:hAnsi="华文仿宋" w:eastAsia="华文仿宋" w:cs="华文仿宋"/>
          <w:color w:val="auto"/>
          <w:szCs w:val="21"/>
        </w:rPr>
      </w:pPr>
      <w:bookmarkStart w:id="862" w:name="_Toc25934"/>
      <w:bookmarkStart w:id="863" w:name="_Toc11146"/>
      <w:bookmarkStart w:id="864" w:name="_Toc28006"/>
      <w:bookmarkStart w:id="865" w:name="_Toc12806"/>
      <w:r>
        <w:rPr>
          <w:rFonts w:hint="eastAsia" w:ascii="华文仿宋" w:hAnsi="华文仿宋" w:eastAsia="华文仿宋" w:cs="华文仿宋"/>
          <w:color w:val="auto"/>
          <w:szCs w:val="21"/>
        </w:rPr>
        <w:t>一、公平竞争参加本次采购活动。</w:t>
      </w:r>
      <w:bookmarkEnd w:id="862"/>
      <w:bookmarkEnd w:id="863"/>
      <w:bookmarkEnd w:id="864"/>
      <w:bookmarkEnd w:id="865"/>
    </w:p>
    <w:p w14:paraId="66CDBC88">
      <w:pPr>
        <w:spacing w:line="360" w:lineRule="auto"/>
        <w:ind w:firstLine="397"/>
        <w:outlineLvl w:val="0"/>
        <w:rPr>
          <w:rFonts w:hint="eastAsia" w:ascii="华文仿宋" w:hAnsi="华文仿宋" w:eastAsia="华文仿宋" w:cs="华文仿宋"/>
          <w:color w:val="auto"/>
          <w:szCs w:val="21"/>
        </w:rPr>
      </w:pPr>
      <w:bookmarkStart w:id="866" w:name="_Toc22150"/>
      <w:bookmarkStart w:id="867" w:name="_Toc4621"/>
      <w:bookmarkStart w:id="868" w:name="_Toc19249"/>
      <w:bookmarkStart w:id="869" w:name="_Toc14495"/>
      <w:r>
        <w:rPr>
          <w:rFonts w:hint="eastAsia" w:ascii="华文仿宋" w:hAnsi="华文仿宋" w:eastAsia="华文仿宋" w:cs="华文仿宋"/>
          <w:color w:val="auto"/>
          <w:szCs w:val="21"/>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bookmarkEnd w:id="866"/>
      <w:bookmarkEnd w:id="867"/>
      <w:bookmarkEnd w:id="868"/>
      <w:bookmarkEnd w:id="869"/>
    </w:p>
    <w:p w14:paraId="09F8CD50">
      <w:pPr>
        <w:spacing w:line="360" w:lineRule="auto"/>
        <w:ind w:firstLine="397"/>
        <w:outlineLvl w:val="0"/>
        <w:rPr>
          <w:rFonts w:hint="eastAsia" w:ascii="华文仿宋" w:hAnsi="华文仿宋" w:eastAsia="华文仿宋" w:cs="华文仿宋"/>
          <w:color w:val="auto"/>
          <w:szCs w:val="21"/>
        </w:rPr>
      </w:pPr>
      <w:bookmarkStart w:id="870" w:name="_Toc23972"/>
      <w:bookmarkStart w:id="871" w:name="_Toc23938"/>
      <w:bookmarkStart w:id="872" w:name="_Toc1099"/>
      <w:bookmarkStart w:id="873" w:name="_Toc15300"/>
      <w:r>
        <w:rPr>
          <w:rFonts w:hint="eastAsia" w:ascii="华文仿宋" w:hAnsi="华文仿宋" w:eastAsia="华文仿宋" w:cs="华文仿宋"/>
          <w:color w:val="auto"/>
          <w:szCs w:val="21"/>
        </w:rPr>
        <w:t>三、若出现上述行为，我方及参与谈判的工作人员愿意接受按照国家法律法规等有关规定给予的处罚。</w:t>
      </w:r>
      <w:bookmarkEnd w:id="870"/>
      <w:bookmarkEnd w:id="871"/>
      <w:bookmarkEnd w:id="872"/>
      <w:bookmarkEnd w:id="873"/>
    </w:p>
    <w:p w14:paraId="2B3CFD9C">
      <w:pPr>
        <w:spacing w:line="360" w:lineRule="auto"/>
        <w:ind w:firstLine="555"/>
        <w:outlineLvl w:val="9"/>
        <w:rPr>
          <w:rFonts w:hint="eastAsia" w:ascii="华文仿宋" w:hAnsi="华文仿宋" w:eastAsia="华文仿宋" w:cs="华文仿宋"/>
          <w:color w:val="auto"/>
          <w:szCs w:val="21"/>
        </w:rPr>
      </w:pPr>
    </w:p>
    <w:p w14:paraId="072379DE">
      <w:pPr>
        <w:spacing w:line="360" w:lineRule="auto"/>
        <w:ind w:firstLine="308" w:firstLineChars="147"/>
        <w:outlineLvl w:val="2"/>
        <w:rPr>
          <w:rFonts w:hint="eastAsia" w:ascii="华文仿宋" w:hAnsi="华文仿宋" w:eastAsia="华文仿宋" w:cs="华文仿宋"/>
          <w:color w:val="auto"/>
          <w:szCs w:val="21"/>
        </w:rPr>
      </w:pPr>
      <w:bookmarkStart w:id="874" w:name="_Toc19699"/>
      <w:bookmarkStart w:id="875" w:name="_Toc32297"/>
      <w:bookmarkStart w:id="876" w:name="_Toc13028"/>
      <w:bookmarkStart w:id="877" w:name="_Toc173"/>
      <w:r>
        <w:rPr>
          <w:rFonts w:hint="eastAsia" w:ascii="华文仿宋" w:hAnsi="华文仿宋" w:eastAsia="华文仿宋" w:cs="华文仿宋"/>
          <w:color w:val="auto"/>
          <w:szCs w:val="21"/>
          <w:lang w:eastAsia="zh-CN"/>
        </w:rPr>
        <w:t>供应商</w:t>
      </w:r>
      <w:r>
        <w:rPr>
          <w:rFonts w:hint="eastAsia" w:ascii="华文仿宋" w:hAnsi="华文仿宋" w:eastAsia="华文仿宋" w:cs="华文仿宋"/>
          <w:color w:val="auto"/>
          <w:szCs w:val="21"/>
        </w:rPr>
        <w:t>（</w:t>
      </w:r>
      <w:r>
        <w:rPr>
          <w:rFonts w:hint="eastAsia" w:ascii="华文仿宋" w:hAnsi="华文仿宋" w:eastAsia="华文仿宋" w:cs="华文仿宋"/>
          <w:snapToGrid w:val="0"/>
          <w:color w:val="auto"/>
          <w:kern w:val="0"/>
          <w:szCs w:val="21"/>
        </w:rPr>
        <w:t>单位电子签章</w:t>
      </w:r>
      <w:r>
        <w:rPr>
          <w:rFonts w:hint="eastAsia" w:ascii="华文仿宋" w:hAnsi="华文仿宋" w:eastAsia="华文仿宋" w:cs="华文仿宋"/>
          <w:snapToGrid w:val="0"/>
          <w:color w:val="auto"/>
          <w:kern w:val="0"/>
          <w:szCs w:val="21"/>
          <w:lang w:val="en-US" w:eastAsia="zh-CN"/>
        </w:rPr>
        <w:t>或盖章</w:t>
      </w:r>
      <w:r>
        <w:rPr>
          <w:rFonts w:hint="eastAsia" w:ascii="华文仿宋" w:hAnsi="华文仿宋" w:eastAsia="华文仿宋" w:cs="华文仿宋"/>
          <w:color w:val="auto"/>
          <w:szCs w:val="21"/>
        </w:rPr>
        <w:t>）：</w:t>
      </w:r>
      <w:bookmarkEnd w:id="874"/>
      <w:bookmarkEnd w:id="875"/>
      <w:bookmarkEnd w:id="876"/>
      <w:bookmarkEnd w:id="877"/>
    </w:p>
    <w:p w14:paraId="3C4B7882">
      <w:pPr>
        <w:spacing w:line="360" w:lineRule="auto"/>
        <w:ind w:firstLine="315" w:firstLineChars="150"/>
        <w:outlineLvl w:val="0"/>
        <w:rPr>
          <w:rFonts w:hint="eastAsia" w:ascii="华文仿宋" w:hAnsi="华文仿宋" w:eastAsia="华文仿宋" w:cs="华文仿宋"/>
          <w:color w:val="auto"/>
          <w:szCs w:val="21"/>
        </w:rPr>
      </w:pPr>
      <w:bookmarkStart w:id="878" w:name="_Toc8041"/>
      <w:bookmarkStart w:id="879" w:name="_Toc27458"/>
      <w:bookmarkStart w:id="880" w:name="_Toc1249"/>
      <w:bookmarkStart w:id="881" w:name="_Toc26734"/>
      <w:r>
        <w:rPr>
          <w:rFonts w:hint="eastAsia" w:ascii="华文仿宋" w:hAnsi="华文仿宋" w:eastAsia="华文仿宋" w:cs="华文仿宋"/>
          <w:color w:val="auto"/>
          <w:szCs w:val="21"/>
        </w:rPr>
        <w:t>法定代表人（</w:t>
      </w:r>
      <w:r>
        <w:rPr>
          <w:rFonts w:hint="eastAsia" w:ascii="华文仿宋" w:hAnsi="华文仿宋" w:eastAsia="华文仿宋" w:cs="华文仿宋"/>
          <w:color w:val="auto"/>
          <w:kern w:val="0"/>
          <w:szCs w:val="21"/>
          <w:lang w:val="en-US" w:eastAsia="zh-CN"/>
        </w:rPr>
        <w:t>签字或盖章或</w:t>
      </w:r>
      <w:r>
        <w:rPr>
          <w:rFonts w:hint="eastAsia" w:ascii="华文仿宋" w:hAnsi="华文仿宋" w:eastAsia="华文仿宋" w:cs="华文仿宋"/>
          <w:color w:val="auto"/>
          <w:kern w:val="0"/>
          <w:szCs w:val="21"/>
        </w:rPr>
        <w:t>电子签名</w:t>
      </w:r>
      <w:r>
        <w:rPr>
          <w:rFonts w:hint="eastAsia" w:ascii="华文仿宋" w:hAnsi="华文仿宋" w:eastAsia="华文仿宋" w:cs="华文仿宋"/>
          <w:color w:val="auto"/>
          <w:szCs w:val="21"/>
        </w:rPr>
        <w:t>）：</w:t>
      </w:r>
      <w:bookmarkEnd w:id="878"/>
      <w:bookmarkEnd w:id="879"/>
      <w:bookmarkEnd w:id="880"/>
      <w:bookmarkEnd w:id="881"/>
      <w:r>
        <w:rPr>
          <w:rFonts w:hint="eastAsia" w:ascii="华文仿宋" w:hAnsi="华文仿宋" w:eastAsia="华文仿宋" w:cs="华文仿宋"/>
          <w:color w:val="auto"/>
          <w:szCs w:val="21"/>
        </w:rPr>
        <w:t xml:space="preserve"> </w:t>
      </w:r>
    </w:p>
    <w:p w14:paraId="65983796">
      <w:pPr>
        <w:spacing w:line="360" w:lineRule="auto"/>
        <w:ind w:firstLine="315" w:firstLineChars="150"/>
        <w:outlineLvl w:val="9"/>
        <w:rPr>
          <w:rFonts w:hint="eastAsia" w:ascii="华文仿宋" w:hAnsi="华文仿宋" w:eastAsia="华文仿宋" w:cs="华文仿宋"/>
          <w:color w:val="auto"/>
          <w:szCs w:val="21"/>
        </w:rPr>
      </w:pPr>
      <w:r>
        <w:rPr>
          <w:rFonts w:hint="eastAsia" w:ascii="华文仿宋" w:hAnsi="华文仿宋" w:eastAsia="华文仿宋" w:cs="华文仿宋"/>
          <w:color w:val="auto"/>
          <w:szCs w:val="21"/>
        </w:rPr>
        <w:t xml:space="preserve">                  </w:t>
      </w:r>
    </w:p>
    <w:p w14:paraId="783B37EC">
      <w:pPr>
        <w:spacing w:line="360" w:lineRule="auto"/>
        <w:ind w:firstLine="315" w:firstLineChars="150"/>
        <w:outlineLvl w:val="0"/>
        <w:rPr>
          <w:rFonts w:hint="eastAsia" w:ascii="华文仿宋" w:hAnsi="华文仿宋" w:eastAsia="华文仿宋" w:cs="华文仿宋"/>
          <w:color w:val="auto"/>
          <w:spacing w:val="20"/>
        </w:rPr>
      </w:pPr>
      <w:bookmarkStart w:id="882" w:name="_Toc20683"/>
      <w:bookmarkStart w:id="883" w:name="_Toc29737"/>
      <w:bookmarkStart w:id="884" w:name="_Toc30135"/>
      <w:bookmarkStart w:id="885" w:name="_Toc3024"/>
      <w:r>
        <w:rPr>
          <w:rFonts w:hint="eastAsia" w:ascii="华文仿宋" w:hAnsi="华文仿宋" w:eastAsia="华文仿宋" w:cs="华文仿宋"/>
          <w:color w:val="auto"/>
          <w:szCs w:val="21"/>
        </w:rPr>
        <w:t>日期：</w:t>
      </w:r>
      <w:r>
        <w:rPr>
          <w:rFonts w:hint="eastAsia" w:ascii="华文仿宋" w:hAnsi="华文仿宋" w:eastAsia="华文仿宋" w:cs="华文仿宋"/>
          <w:color w:val="auto"/>
          <w:spacing w:val="20"/>
          <w:u w:val="single"/>
        </w:rPr>
        <w:t xml:space="preserve">      </w:t>
      </w:r>
      <w:r>
        <w:rPr>
          <w:rFonts w:hint="eastAsia" w:ascii="华文仿宋" w:hAnsi="华文仿宋" w:eastAsia="华文仿宋" w:cs="华文仿宋"/>
          <w:color w:val="auto"/>
          <w:spacing w:val="20"/>
        </w:rPr>
        <w:t>年</w:t>
      </w:r>
      <w:r>
        <w:rPr>
          <w:rFonts w:hint="eastAsia" w:ascii="华文仿宋" w:hAnsi="华文仿宋" w:eastAsia="华文仿宋" w:cs="华文仿宋"/>
          <w:color w:val="auto"/>
          <w:spacing w:val="20"/>
          <w:u w:val="single"/>
        </w:rPr>
        <w:t xml:space="preserve">    </w:t>
      </w:r>
      <w:r>
        <w:rPr>
          <w:rFonts w:hint="eastAsia" w:ascii="华文仿宋" w:hAnsi="华文仿宋" w:eastAsia="华文仿宋" w:cs="华文仿宋"/>
          <w:color w:val="auto"/>
          <w:spacing w:val="20"/>
        </w:rPr>
        <w:t>月</w:t>
      </w:r>
      <w:r>
        <w:rPr>
          <w:rFonts w:hint="eastAsia" w:ascii="华文仿宋" w:hAnsi="华文仿宋" w:eastAsia="华文仿宋" w:cs="华文仿宋"/>
          <w:color w:val="auto"/>
          <w:spacing w:val="20"/>
          <w:u w:val="single"/>
        </w:rPr>
        <w:t xml:space="preserve">    </w:t>
      </w:r>
      <w:r>
        <w:rPr>
          <w:rFonts w:hint="eastAsia" w:ascii="华文仿宋" w:hAnsi="华文仿宋" w:eastAsia="华文仿宋" w:cs="华文仿宋"/>
          <w:color w:val="auto"/>
          <w:spacing w:val="20"/>
        </w:rPr>
        <w:t>日</w:t>
      </w:r>
      <w:bookmarkEnd w:id="882"/>
      <w:bookmarkEnd w:id="883"/>
      <w:bookmarkEnd w:id="884"/>
      <w:bookmarkEnd w:id="885"/>
    </w:p>
    <w:p w14:paraId="5BF3277A">
      <w:pPr>
        <w:spacing w:line="360" w:lineRule="auto"/>
        <w:jc w:val="center"/>
        <w:rPr>
          <w:rFonts w:hint="eastAsia" w:ascii="华文仿宋" w:hAnsi="华文仿宋" w:eastAsia="华文仿宋" w:cs="华文仿宋"/>
          <w:b/>
          <w:color w:val="auto"/>
          <w:sz w:val="24"/>
          <w:szCs w:val="24"/>
        </w:rPr>
      </w:pPr>
      <w:r>
        <w:rPr>
          <w:rFonts w:hint="eastAsia" w:ascii="华文仿宋" w:hAnsi="华文仿宋" w:eastAsia="华文仿宋" w:cs="华文仿宋"/>
          <w:color w:val="auto"/>
          <w:spacing w:val="20"/>
        </w:rPr>
        <w:br w:type="page"/>
      </w:r>
    </w:p>
    <w:p w14:paraId="256E2F61">
      <w:pPr>
        <w:pageBreakBefore w:val="0"/>
        <w:numPr>
          <w:ilvl w:val="0"/>
          <w:numId w:val="0"/>
        </w:numPr>
        <w:kinsoku/>
        <w:wordWrap w:val="0"/>
        <w:overflowPunct/>
        <w:topLinePunct/>
        <w:bidi w:val="0"/>
        <w:spacing w:line="360" w:lineRule="auto"/>
        <w:jc w:val="center"/>
        <w:outlineLvl w:val="1"/>
        <w:rPr>
          <w:rFonts w:hint="eastAsia" w:ascii="华文仿宋" w:hAnsi="华文仿宋" w:eastAsia="华文仿宋" w:cs="华文仿宋"/>
          <w:b/>
          <w:bCs/>
          <w:color w:val="auto"/>
        </w:rPr>
      </w:pPr>
      <w:bookmarkStart w:id="886" w:name="_Toc23603"/>
      <w:bookmarkStart w:id="887" w:name="_Toc12592"/>
      <w:bookmarkStart w:id="888" w:name="_Toc11849"/>
      <w:bookmarkStart w:id="889" w:name="_Toc475624464"/>
      <w:r>
        <w:rPr>
          <w:rFonts w:hint="eastAsia" w:ascii="华文仿宋" w:hAnsi="华文仿宋" w:eastAsia="华文仿宋" w:cs="华文仿宋"/>
          <w:b/>
          <w:bCs/>
          <w:color w:val="auto"/>
          <w:sz w:val="32"/>
          <w:szCs w:val="32"/>
          <w:highlight w:val="none"/>
          <w:lang w:val="en-US" w:eastAsia="zh-CN"/>
        </w:rPr>
        <w:t>十一、</w:t>
      </w:r>
      <w:r>
        <w:rPr>
          <w:rFonts w:hint="eastAsia" w:ascii="华文仿宋" w:hAnsi="华文仿宋" w:eastAsia="华文仿宋" w:cs="华文仿宋"/>
          <w:b/>
          <w:bCs/>
          <w:color w:val="auto"/>
          <w:sz w:val="32"/>
          <w:szCs w:val="32"/>
          <w:highlight w:val="none"/>
        </w:rPr>
        <w:t>其他材料</w:t>
      </w:r>
      <w:bookmarkEnd w:id="886"/>
      <w:bookmarkEnd w:id="887"/>
      <w:bookmarkEnd w:id="888"/>
      <w:bookmarkEnd w:id="889"/>
    </w:p>
    <w:p w14:paraId="274F555A">
      <w:pPr>
        <w:spacing w:line="360" w:lineRule="auto"/>
        <w:jc w:val="center"/>
        <w:outlineLvl w:val="2"/>
        <w:rPr>
          <w:rFonts w:hint="eastAsia" w:ascii="华文仿宋" w:hAnsi="华文仿宋" w:eastAsia="华文仿宋" w:cs="华文仿宋"/>
          <w:b/>
          <w:bCs/>
          <w:color w:val="auto"/>
          <w:sz w:val="21"/>
          <w:szCs w:val="21"/>
          <w:highlight w:val="none"/>
          <w:lang w:val="en-US" w:eastAsia="zh-CN"/>
        </w:rPr>
      </w:pPr>
      <w:r>
        <w:rPr>
          <w:rFonts w:hint="eastAsia" w:ascii="华文仿宋" w:hAnsi="华文仿宋" w:eastAsia="华文仿宋" w:cs="华文仿宋"/>
          <w:b/>
          <w:bCs/>
          <w:color w:val="auto"/>
          <w:sz w:val="21"/>
          <w:szCs w:val="21"/>
          <w:highlight w:val="none"/>
          <w:lang w:val="en-US" w:eastAsia="zh-CN"/>
        </w:rPr>
        <w:t>1、投标承诺函</w:t>
      </w:r>
    </w:p>
    <w:p w14:paraId="3A54AD7E">
      <w:pPr>
        <w:pStyle w:val="22"/>
        <w:shd w:val="clear" w:color="auto" w:fill="FFFFFF"/>
        <w:spacing w:before="0" w:beforeAutospacing="0" w:after="0" w:afterAutospacing="0" w:line="360" w:lineRule="auto"/>
        <w:jc w:val="both"/>
        <w:rPr>
          <w:rFonts w:hint="eastAsia" w:ascii="华文仿宋" w:hAnsi="华文仿宋" w:eastAsia="华文仿宋" w:cs="华文仿宋"/>
          <w:color w:val="auto"/>
          <w:spacing w:val="8"/>
          <w:sz w:val="21"/>
          <w:szCs w:val="21"/>
        </w:rPr>
      </w:pPr>
      <w:r>
        <w:rPr>
          <w:rFonts w:hint="eastAsia" w:ascii="华文仿宋" w:hAnsi="华文仿宋" w:eastAsia="华文仿宋" w:cs="华文仿宋"/>
          <w:color w:val="auto"/>
          <w:sz w:val="21"/>
          <w:szCs w:val="21"/>
          <w:shd w:val="clear" w:color="auto" w:fill="FFFFFF"/>
        </w:rPr>
        <w:t>致</w:t>
      </w:r>
      <w:r>
        <w:rPr>
          <w:rFonts w:hint="eastAsia" w:ascii="华文仿宋" w:hAnsi="华文仿宋" w:eastAsia="华文仿宋" w:cs="华文仿宋"/>
          <w:color w:val="auto"/>
          <w:sz w:val="21"/>
          <w:szCs w:val="21"/>
          <w:u w:val="single"/>
          <w:shd w:val="clear" w:color="auto" w:fill="FFFFFF"/>
        </w:rPr>
        <w:t>（采购人及采购代理机构）</w:t>
      </w:r>
      <w:r>
        <w:rPr>
          <w:rFonts w:hint="eastAsia" w:ascii="华文仿宋" w:hAnsi="华文仿宋" w:eastAsia="华文仿宋" w:cs="华文仿宋"/>
          <w:color w:val="auto"/>
          <w:spacing w:val="8"/>
          <w:sz w:val="21"/>
          <w:szCs w:val="21"/>
          <w:shd w:val="clear" w:color="auto" w:fill="FFFFFF"/>
        </w:rPr>
        <w:t>：</w:t>
      </w:r>
    </w:p>
    <w:p w14:paraId="53A3477B">
      <w:pPr>
        <w:spacing w:line="360" w:lineRule="auto"/>
        <w:ind w:firstLine="452"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pacing w:val="8"/>
          <w:sz w:val="21"/>
          <w:szCs w:val="21"/>
          <w:shd w:val="clear" w:color="auto" w:fill="FFFFFF"/>
        </w:rPr>
        <w:t>我</w:t>
      </w:r>
      <w:r>
        <w:rPr>
          <w:rFonts w:hint="eastAsia" w:ascii="华文仿宋" w:hAnsi="华文仿宋" w:eastAsia="华文仿宋" w:cs="华文仿宋"/>
          <w:color w:val="auto"/>
          <w:sz w:val="21"/>
          <w:szCs w:val="21"/>
        </w:rPr>
        <w:t>公司作为本次采购项目的</w:t>
      </w:r>
      <w:r>
        <w:rPr>
          <w:rFonts w:hint="eastAsia" w:ascii="华文仿宋" w:hAnsi="华文仿宋" w:eastAsia="华文仿宋" w:cs="华文仿宋"/>
          <w:color w:val="auto"/>
          <w:sz w:val="21"/>
          <w:szCs w:val="21"/>
          <w:lang w:eastAsia="zh-CN"/>
        </w:rPr>
        <w:t>投标人</w:t>
      </w:r>
      <w:r>
        <w:rPr>
          <w:rFonts w:hint="eastAsia" w:ascii="华文仿宋" w:hAnsi="华文仿宋" w:eastAsia="华文仿宋" w:cs="华文仿宋"/>
          <w:color w:val="auto"/>
          <w:sz w:val="21"/>
          <w:szCs w:val="21"/>
        </w:rPr>
        <w:t>，根据</w:t>
      </w:r>
      <w:r>
        <w:rPr>
          <w:rFonts w:hint="eastAsia" w:ascii="华文仿宋" w:hAnsi="华文仿宋" w:eastAsia="华文仿宋" w:cs="华文仿宋"/>
          <w:color w:val="auto"/>
          <w:sz w:val="21"/>
          <w:szCs w:val="21"/>
          <w:lang w:val="en-US" w:eastAsia="zh-CN"/>
        </w:rPr>
        <w:t>竞争性磋商</w:t>
      </w:r>
      <w:r>
        <w:rPr>
          <w:rFonts w:hint="eastAsia" w:ascii="华文仿宋" w:hAnsi="华文仿宋" w:eastAsia="华文仿宋" w:cs="华文仿宋"/>
          <w:color w:val="auto"/>
          <w:sz w:val="21"/>
          <w:szCs w:val="21"/>
        </w:rPr>
        <w:t>文件要求，现郑重承诺如下：</w:t>
      </w:r>
    </w:p>
    <w:p w14:paraId="72392EFB">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一、具备《中华人民共和国政府采购法》第二十二条第一款和本项目规定的条件：</w:t>
      </w:r>
    </w:p>
    <w:p w14:paraId="0196987B">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（一）具有独立承担民事责任的能力； 　　</w:t>
      </w:r>
    </w:p>
    <w:p w14:paraId="49D3F392">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（二）具有良好的商业信誉和健全的财务会计制度； 　</w:t>
      </w:r>
    </w:p>
    <w:p w14:paraId="246A8336">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（三）具有履行合同所必需的设备和专业技术能力； 　　</w:t>
      </w:r>
    </w:p>
    <w:p w14:paraId="76FAEB8E">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（四）有依法缴纳税收和社会保障资金的良好记录； 　　</w:t>
      </w:r>
    </w:p>
    <w:p w14:paraId="7F7B9686">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（五）参加政府采购活动前三年内，在经营活动中没有重大违法记录；</w:t>
      </w:r>
    </w:p>
    <w:p w14:paraId="358D48EF">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（六）法律、行政法规规定的其他条件；</w:t>
      </w:r>
    </w:p>
    <w:p w14:paraId="6DC03153">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（七）根据采购项目提出的特殊条件。</w:t>
      </w:r>
    </w:p>
    <w:p w14:paraId="2529003C">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二、完全接受和满足本项目</w:t>
      </w:r>
      <w:r>
        <w:rPr>
          <w:rFonts w:hint="eastAsia" w:ascii="华文仿宋" w:hAnsi="华文仿宋" w:eastAsia="华文仿宋" w:cs="华文仿宋"/>
          <w:color w:val="auto"/>
          <w:sz w:val="21"/>
          <w:szCs w:val="21"/>
          <w:lang w:eastAsia="zh-CN"/>
        </w:rPr>
        <w:t>竞争性磋商文件</w:t>
      </w:r>
      <w:r>
        <w:rPr>
          <w:rFonts w:hint="eastAsia" w:ascii="华文仿宋" w:hAnsi="华文仿宋" w:eastAsia="华文仿宋" w:cs="华文仿宋"/>
          <w:color w:val="auto"/>
          <w:sz w:val="21"/>
          <w:szCs w:val="21"/>
        </w:rPr>
        <w:t>中规定的实质性要求，如对</w:t>
      </w:r>
      <w:r>
        <w:rPr>
          <w:rFonts w:hint="eastAsia" w:ascii="华文仿宋" w:hAnsi="华文仿宋" w:eastAsia="华文仿宋" w:cs="华文仿宋"/>
          <w:color w:val="auto"/>
          <w:sz w:val="21"/>
          <w:szCs w:val="21"/>
          <w:lang w:eastAsia="zh-CN"/>
        </w:rPr>
        <w:t>竞争性磋商文件</w:t>
      </w:r>
      <w:r>
        <w:rPr>
          <w:rFonts w:hint="eastAsia" w:ascii="华文仿宋" w:hAnsi="华文仿宋" w:eastAsia="华文仿宋" w:cs="华文仿宋"/>
          <w:color w:val="auto"/>
          <w:sz w:val="21"/>
          <w:szCs w:val="21"/>
        </w:rPr>
        <w:t>有异议，已经在投标截止时间届满前依法进行维权救济，不存在对</w:t>
      </w:r>
      <w:r>
        <w:rPr>
          <w:rFonts w:hint="eastAsia" w:ascii="华文仿宋" w:hAnsi="华文仿宋" w:eastAsia="华文仿宋" w:cs="华文仿宋"/>
          <w:color w:val="auto"/>
          <w:sz w:val="21"/>
          <w:szCs w:val="21"/>
          <w:lang w:eastAsia="zh-CN"/>
        </w:rPr>
        <w:t>竞争性磋商文件</w:t>
      </w:r>
      <w:r>
        <w:rPr>
          <w:rFonts w:hint="eastAsia" w:ascii="华文仿宋" w:hAnsi="华文仿宋" w:eastAsia="华文仿宋" w:cs="华文仿宋"/>
          <w:color w:val="auto"/>
          <w:sz w:val="21"/>
          <w:szCs w:val="21"/>
        </w:rPr>
        <w:t>有异议的同时又参加投标以求侥幸中标或者为实现其他非法目的的行为。</w:t>
      </w:r>
    </w:p>
    <w:p w14:paraId="54656B6E">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三、参加本次招标采购活动，不存在与单位负责人为同一人或者存在直接控股、管理关系的其他</w:t>
      </w:r>
      <w:r>
        <w:rPr>
          <w:rFonts w:hint="eastAsia" w:ascii="华文仿宋" w:hAnsi="华文仿宋" w:eastAsia="华文仿宋" w:cs="华文仿宋"/>
          <w:color w:val="auto"/>
          <w:sz w:val="21"/>
          <w:szCs w:val="21"/>
          <w:lang w:eastAsia="zh-CN"/>
        </w:rPr>
        <w:t>投标人</w:t>
      </w:r>
      <w:r>
        <w:rPr>
          <w:rFonts w:hint="eastAsia" w:ascii="华文仿宋" w:hAnsi="华文仿宋" w:eastAsia="华文仿宋" w:cs="华文仿宋"/>
          <w:color w:val="auto"/>
          <w:sz w:val="21"/>
          <w:szCs w:val="21"/>
        </w:rPr>
        <w:t>参与同一合同项下的政府采购活动的行为。    </w:t>
      </w:r>
    </w:p>
    <w:p w14:paraId="09700859">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四、参加本次招标采购活动，不存在为采购项目提供整体设计、规范编制或者项目管理、监理、检测等服务的行为。</w:t>
      </w:r>
    </w:p>
    <w:p w14:paraId="67D4ED56">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五、参加本次招标采购活动，不存在和其他</w:t>
      </w:r>
      <w:r>
        <w:rPr>
          <w:rFonts w:hint="eastAsia" w:ascii="华文仿宋" w:hAnsi="华文仿宋" w:eastAsia="华文仿宋" w:cs="华文仿宋"/>
          <w:color w:val="auto"/>
          <w:sz w:val="21"/>
          <w:szCs w:val="21"/>
          <w:lang w:eastAsia="zh-CN"/>
        </w:rPr>
        <w:t>投标人</w:t>
      </w:r>
      <w:r>
        <w:rPr>
          <w:rFonts w:hint="eastAsia" w:ascii="华文仿宋" w:hAnsi="华文仿宋" w:eastAsia="华文仿宋" w:cs="华文仿宋"/>
          <w:color w:val="auto"/>
          <w:sz w:val="21"/>
          <w:szCs w:val="21"/>
        </w:rPr>
        <w:t>在同一合同项下的采购项目中，同时委托同一个自然人、同一家庭的人员、同一单位的人员作为代理人的行为。</w:t>
      </w:r>
    </w:p>
    <w:p w14:paraId="29EEBFF9">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六、</w:t>
      </w:r>
      <w:r>
        <w:rPr>
          <w:rFonts w:hint="eastAsia" w:ascii="华文仿宋" w:hAnsi="华文仿宋" w:eastAsia="华文仿宋" w:cs="华文仿宋"/>
          <w:color w:val="auto"/>
          <w:sz w:val="21"/>
          <w:szCs w:val="21"/>
          <w:lang w:eastAsia="zh-CN"/>
        </w:rPr>
        <w:t>投标人</w:t>
      </w:r>
      <w:r>
        <w:rPr>
          <w:rFonts w:hint="eastAsia" w:ascii="华文仿宋" w:hAnsi="华文仿宋" w:eastAsia="华文仿宋" w:cs="华文仿宋"/>
          <w:color w:val="auto"/>
          <w:sz w:val="21"/>
          <w:szCs w:val="21"/>
        </w:rPr>
        <w:t>参加本次政府采购活动要求在近三年内</w:t>
      </w:r>
      <w:r>
        <w:rPr>
          <w:rFonts w:hint="eastAsia" w:ascii="华文仿宋" w:hAnsi="华文仿宋" w:eastAsia="华文仿宋" w:cs="华文仿宋"/>
          <w:color w:val="auto"/>
          <w:sz w:val="21"/>
          <w:szCs w:val="21"/>
          <w:lang w:eastAsia="zh-CN"/>
        </w:rPr>
        <w:t>投标人</w:t>
      </w:r>
      <w:r>
        <w:rPr>
          <w:rFonts w:hint="eastAsia" w:ascii="华文仿宋" w:hAnsi="华文仿宋" w:eastAsia="华文仿宋" w:cs="华文仿宋"/>
          <w:color w:val="auto"/>
          <w:sz w:val="21"/>
          <w:szCs w:val="21"/>
        </w:rPr>
        <w:t>和其法定代表人没有行贿犯罪行为。</w:t>
      </w:r>
    </w:p>
    <w:p w14:paraId="73731CC5">
      <w:pPr>
        <w:spacing w:line="360" w:lineRule="auto"/>
        <w:ind w:firstLine="420" w:firstLineChars="200"/>
        <w:outlineLvl w:val="1"/>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七、参加本次招标采购活动，不存在联合体投标。</w:t>
      </w:r>
    </w:p>
    <w:p w14:paraId="0842FB1C">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八、</w:t>
      </w:r>
      <w:r>
        <w:rPr>
          <w:rFonts w:hint="eastAsia" w:ascii="华文仿宋" w:hAnsi="华文仿宋" w:eastAsia="华文仿宋" w:cs="华文仿宋"/>
          <w:color w:val="auto"/>
          <w:sz w:val="21"/>
          <w:szCs w:val="21"/>
          <w:lang w:eastAsia="zh-CN"/>
        </w:rPr>
        <w:t>响应文件</w:t>
      </w:r>
      <w:r>
        <w:rPr>
          <w:rFonts w:hint="eastAsia" w:ascii="华文仿宋" w:hAnsi="华文仿宋" w:eastAsia="华文仿宋" w:cs="华文仿宋"/>
          <w:color w:val="auto"/>
          <w:sz w:val="21"/>
          <w:szCs w:val="21"/>
        </w:rPr>
        <w:t>中提供的能够给予我公司带来优惠、好处的任何材料资料和技术、服务、商务等响应承诺情况都是真实的、有效的、合法的。</w:t>
      </w:r>
    </w:p>
    <w:p w14:paraId="5CD50BEC">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九、如本项目评标过程中需要提供样品，则我公司提供的样品即为中标后将要提供的中标产品，我公司对提供样品的性能和质量负责，因样品存在缺陷或者不符合</w:t>
      </w:r>
      <w:r>
        <w:rPr>
          <w:rFonts w:hint="eastAsia" w:ascii="华文仿宋" w:hAnsi="华文仿宋" w:eastAsia="华文仿宋" w:cs="华文仿宋"/>
          <w:color w:val="auto"/>
          <w:sz w:val="21"/>
          <w:szCs w:val="21"/>
          <w:lang w:eastAsia="zh-CN"/>
        </w:rPr>
        <w:t>竞争性磋商文件</w:t>
      </w:r>
      <w:r>
        <w:rPr>
          <w:rFonts w:hint="eastAsia" w:ascii="华文仿宋" w:hAnsi="华文仿宋" w:eastAsia="华文仿宋" w:cs="华文仿宋"/>
          <w:color w:val="auto"/>
          <w:sz w:val="21"/>
          <w:szCs w:val="21"/>
        </w:rPr>
        <w:t>要求导致未能中标的，我公司愿意承担相应不利后果。（如提供样品）    </w:t>
      </w:r>
    </w:p>
    <w:p w14:paraId="72215FDC">
      <w:pPr>
        <w:spacing w:line="360" w:lineRule="auto"/>
        <w:ind w:firstLine="420" w:firstLineChars="200"/>
        <w:outlineLvl w:val="1"/>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十、存在以下行为之一的愿意接受相关部门的处理：</w:t>
      </w:r>
    </w:p>
    <w:p w14:paraId="6EB4887D">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   （一）</w:t>
      </w:r>
      <w:r>
        <w:rPr>
          <w:rFonts w:hint="eastAsia" w:ascii="华文仿宋" w:hAnsi="华文仿宋" w:eastAsia="华文仿宋" w:cs="华文仿宋"/>
          <w:color w:val="auto"/>
          <w:sz w:val="21"/>
          <w:szCs w:val="21"/>
          <w:lang w:val="en-US" w:eastAsia="zh-CN"/>
        </w:rPr>
        <w:t>磋商</w:t>
      </w:r>
      <w:r>
        <w:rPr>
          <w:rFonts w:hint="eastAsia" w:ascii="华文仿宋" w:hAnsi="华文仿宋" w:eastAsia="华文仿宋" w:cs="华文仿宋"/>
          <w:color w:val="auto"/>
          <w:sz w:val="21"/>
          <w:szCs w:val="21"/>
        </w:rPr>
        <w:t>有效期内撤销</w:t>
      </w:r>
      <w:r>
        <w:rPr>
          <w:rFonts w:hint="eastAsia" w:ascii="华文仿宋" w:hAnsi="华文仿宋" w:eastAsia="华文仿宋" w:cs="华文仿宋"/>
          <w:color w:val="auto"/>
          <w:sz w:val="21"/>
          <w:szCs w:val="21"/>
          <w:lang w:eastAsia="zh-CN"/>
        </w:rPr>
        <w:t>响应文件</w:t>
      </w:r>
      <w:r>
        <w:rPr>
          <w:rFonts w:hint="eastAsia" w:ascii="华文仿宋" w:hAnsi="华文仿宋" w:eastAsia="华文仿宋" w:cs="华文仿宋"/>
          <w:color w:val="auto"/>
          <w:sz w:val="21"/>
          <w:szCs w:val="21"/>
        </w:rPr>
        <w:t>的；</w:t>
      </w:r>
    </w:p>
    <w:p w14:paraId="77E3C8B4">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   （二）在采购人确定成交人以前放弃中标候选资格的；</w:t>
      </w:r>
    </w:p>
    <w:p w14:paraId="65BCFA3E">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   （三）由于成交人的原因未能按照</w:t>
      </w:r>
      <w:r>
        <w:rPr>
          <w:rFonts w:hint="eastAsia" w:ascii="华文仿宋" w:hAnsi="华文仿宋" w:eastAsia="华文仿宋" w:cs="华文仿宋"/>
          <w:color w:val="auto"/>
          <w:sz w:val="21"/>
          <w:szCs w:val="21"/>
          <w:lang w:eastAsia="zh-CN"/>
        </w:rPr>
        <w:t>竞争性磋商文件</w:t>
      </w:r>
      <w:r>
        <w:rPr>
          <w:rFonts w:hint="eastAsia" w:ascii="华文仿宋" w:hAnsi="华文仿宋" w:eastAsia="华文仿宋" w:cs="华文仿宋"/>
          <w:color w:val="auto"/>
          <w:sz w:val="21"/>
          <w:szCs w:val="21"/>
        </w:rPr>
        <w:t>的规定与采购人签订合同；</w:t>
      </w:r>
    </w:p>
    <w:p w14:paraId="473715E2">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   （四）由于成交人的原因未能按照</w:t>
      </w:r>
      <w:r>
        <w:rPr>
          <w:rFonts w:hint="eastAsia" w:ascii="华文仿宋" w:hAnsi="华文仿宋" w:eastAsia="华文仿宋" w:cs="华文仿宋"/>
          <w:color w:val="auto"/>
          <w:sz w:val="21"/>
          <w:szCs w:val="21"/>
          <w:lang w:eastAsia="zh-CN"/>
        </w:rPr>
        <w:t>竞争性磋商文件</w:t>
      </w:r>
      <w:r>
        <w:rPr>
          <w:rFonts w:hint="eastAsia" w:ascii="华文仿宋" w:hAnsi="华文仿宋" w:eastAsia="华文仿宋" w:cs="华文仿宋"/>
          <w:color w:val="auto"/>
          <w:sz w:val="21"/>
          <w:szCs w:val="21"/>
        </w:rPr>
        <w:t>的规定交纳履约保证金；</w:t>
      </w:r>
    </w:p>
    <w:p w14:paraId="3F3C175A">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   （五）在</w:t>
      </w:r>
      <w:r>
        <w:rPr>
          <w:rFonts w:hint="eastAsia" w:ascii="华文仿宋" w:hAnsi="华文仿宋" w:eastAsia="华文仿宋" w:cs="华文仿宋"/>
          <w:color w:val="auto"/>
          <w:sz w:val="21"/>
          <w:szCs w:val="21"/>
          <w:lang w:eastAsia="zh-CN"/>
        </w:rPr>
        <w:t>响应文件</w:t>
      </w:r>
      <w:r>
        <w:rPr>
          <w:rFonts w:hint="eastAsia" w:ascii="华文仿宋" w:hAnsi="华文仿宋" w:eastAsia="华文仿宋" w:cs="华文仿宋"/>
          <w:color w:val="auto"/>
          <w:sz w:val="21"/>
          <w:szCs w:val="21"/>
        </w:rPr>
        <w:t>中提供虚假材料谋取中标；</w:t>
      </w:r>
    </w:p>
    <w:p w14:paraId="5C20E744">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   （六）与采购人、其他</w:t>
      </w:r>
      <w:r>
        <w:rPr>
          <w:rFonts w:hint="eastAsia" w:ascii="华文仿宋" w:hAnsi="华文仿宋" w:eastAsia="华文仿宋" w:cs="华文仿宋"/>
          <w:color w:val="auto"/>
          <w:sz w:val="21"/>
          <w:szCs w:val="21"/>
          <w:lang w:eastAsia="zh-CN"/>
        </w:rPr>
        <w:t>投标人</w:t>
      </w:r>
      <w:r>
        <w:rPr>
          <w:rFonts w:hint="eastAsia" w:ascii="华文仿宋" w:hAnsi="华文仿宋" w:eastAsia="华文仿宋" w:cs="华文仿宋"/>
          <w:color w:val="auto"/>
          <w:sz w:val="21"/>
          <w:szCs w:val="21"/>
        </w:rPr>
        <w:t>或者采购代理机构恶意串通的；</w:t>
      </w:r>
    </w:p>
    <w:p w14:paraId="2A762BBF">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   （七）投标有效期内，</w:t>
      </w:r>
      <w:r>
        <w:rPr>
          <w:rFonts w:hint="eastAsia" w:ascii="华文仿宋" w:hAnsi="华文仿宋" w:eastAsia="华文仿宋" w:cs="华文仿宋"/>
          <w:color w:val="auto"/>
          <w:sz w:val="21"/>
          <w:szCs w:val="21"/>
          <w:lang w:eastAsia="zh-CN"/>
        </w:rPr>
        <w:t>投标人</w:t>
      </w:r>
      <w:r>
        <w:rPr>
          <w:rFonts w:hint="eastAsia" w:ascii="华文仿宋" w:hAnsi="华文仿宋" w:eastAsia="华文仿宋" w:cs="华文仿宋"/>
          <w:color w:val="auto"/>
          <w:sz w:val="21"/>
          <w:szCs w:val="21"/>
        </w:rPr>
        <w:t>在政府采购活动中有违法、违规、违纪行为。</w:t>
      </w:r>
    </w:p>
    <w:p w14:paraId="59CDB0B8">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 由此产生的一切法律后果和责任由我公司承担。我公司声明放弃对此提出任何异议和追索的权利。</w:t>
      </w:r>
    </w:p>
    <w:p w14:paraId="6322DA82">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本公司对上述承诺的内容事项真实性负责。如经查实上述承诺的内容事项存在虚假，我公司愿意接受以提供虚假材料谋取中标追究法律责任。</w:t>
      </w:r>
    </w:p>
    <w:p w14:paraId="3FB5B8F5">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       </w:t>
      </w:r>
    </w:p>
    <w:p w14:paraId="2616445F">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lang w:eastAsia="zh-CN"/>
        </w:rPr>
        <w:t>投标人</w:t>
      </w:r>
      <w:r>
        <w:rPr>
          <w:rFonts w:hint="eastAsia" w:ascii="华文仿宋" w:hAnsi="华文仿宋" w:eastAsia="华文仿宋" w:cs="华文仿宋"/>
          <w:color w:val="auto"/>
          <w:sz w:val="21"/>
          <w:szCs w:val="21"/>
        </w:rPr>
        <w:t>名称：</w:t>
      </w:r>
      <w:r>
        <w:rPr>
          <w:rFonts w:hint="eastAsia" w:ascii="华文仿宋" w:hAnsi="华文仿宋" w:eastAsia="华文仿宋" w:cs="华文仿宋"/>
          <w:color w:val="auto"/>
          <w:sz w:val="21"/>
          <w:szCs w:val="21"/>
          <w:u w:val="single"/>
        </w:rPr>
        <w:t>                  </w:t>
      </w:r>
      <w:r>
        <w:rPr>
          <w:rFonts w:hint="eastAsia" w:ascii="华文仿宋" w:hAnsi="华文仿宋" w:eastAsia="华文仿宋" w:cs="华文仿宋"/>
          <w:color w:val="auto"/>
          <w:sz w:val="21"/>
          <w:szCs w:val="21"/>
        </w:rPr>
        <w:t>（</w:t>
      </w:r>
      <w:r>
        <w:rPr>
          <w:rFonts w:hint="eastAsia" w:ascii="华文仿宋" w:hAnsi="华文仿宋" w:eastAsia="华文仿宋" w:cs="华文仿宋"/>
          <w:color w:val="auto"/>
          <w:sz w:val="21"/>
          <w:szCs w:val="21"/>
          <w:highlight w:val="none"/>
          <w:u w:val="none"/>
        </w:rPr>
        <w:t>单位电子签章</w:t>
      </w:r>
      <w:r>
        <w:rPr>
          <w:rFonts w:hint="eastAsia" w:ascii="华文仿宋" w:hAnsi="华文仿宋" w:eastAsia="华文仿宋" w:cs="华文仿宋"/>
          <w:color w:val="auto"/>
          <w:sz w:val="21"/>
          <w:szCs w:val="21"/>
          <w:highlight w:val="none"/>
          <w:u w:val="none"/>
          <w:lang w:val="en-US" w:eastAsia="zh-CN"/>
        </w:rPr>
        <w:t>或盖章</w:t>
      </w:r>
      <w:r>
        <w:rPr>
          <w:rFonts w:hint="eastAsia" w:ascii="华文仿宋" w:hAnsi="华文仿宋" w:eastAsia="华文仿宋" w:cs="华文仿宋"/>
          <w:color w:val="auto"/>
          <w:sz w:val="21"/>
          <w:szCs w:val="21"/>
        </w:rPr>
        <w:t>）</w:t>
      </w:r>
    </w:p>
    <w:p w14:paraId="03CF0958">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法定代表人或授权代表：</w:t>
      </w:r>
      <w:r>
        <w:rPr>
          <w:rFonts w:hint="eastAsia" w:ascii="华文仿宋" w:hAnsi="华文仿宋" w:eastAsia="华文仿宋" w:cs="华文仿宋"/>
          <w:color w:val="auto"/>
          <w:sz w:val="21"/>
          <w:szCs w:val="21"/>
          <w:u w:val="single"/>
        </w:rPr>
        <w:t>                </w:t>
      </w:r>
      <w:r>
        <w:rPr>
          <w:rFonts w:hint="eastAsia" w:ascii="华文仿宋" w:hAnsi="华文仿宋" w:eastAsia="华文仿宋" w:cs="华文仿宋"/>
          <w:color w:val="auto"/>
          <w:sz w:val="21"/>
          <w:szCs w:val="21"/>
        </w:rPr>
        <w:t>（</w:t>
      </w:r>
      <w:r>
        <w:rPr>
          <w:rFonts w:hint="eastAsia" w:ascii="华文仿宋" w:hAnsi="华文仿宋" w:eastAsia="华文仿宋" w:cs="华文仿宋"/>
          <w:color w:val="auto"/>
          <w:kern w:val="0"/>
          <w:szCs w:val="21"/>
          <w:lang w:val="en-US" w:eastAsia="zh-CN"/>
        </w:rPr>
        <w:t>签字或盖章或</w:t>
      </w:r>
      <w:r>
        <w:rPr>
          <w:rFonts w:hint="eastAsia" w:ascii="华文仿宋" w:hAnsi="华文仿宋" w:eastAsia="华文仿宋" w:cs="华文仿宋"/>
          <w:color w:val="auto"/>
          <w:kern w:val="0"/>
          <w:szCs w:val="21"/>
        </w:rPr>
        <w:t>电子签名</w:t>
      </w:r>
      <w:r>
        <w:rPr>
          <w:rFonts w:hint="eastAsia" w:ascii="华文仿宋" w:hAnsi="华文仿宋" w:eastAsia="华文仿宋" w:cs="华文仿宋"/>
          <w:color w:val="auto"/>
          <w:sz w:val="21"/>
          <w:szCs w:val="21"/>
        </w:rPr>
        <w:t>）</w:t>
      </w:r>
    </w:p>
    <w:p w14:paraId="037A2C45">
      <w:pPr>
        <w:spacing w:line="360" w:lineRule="auto"/>
        <w:ind w:firstLine="420" w:firstLineChars="200"/>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日期：</w:t>
      </w:r>
      <w:r>
        <w:rPr>
          <w:rFonts w:hint="eastAsia" w:ascii="华文仿宋" w:hAnsi="华文仿宋" w:eastAsia="华文仿宋" w:cs="华文仿宋"/>
          <w:color w:val="auto"/>
          <w:sz w:val="21"/>
          <w:szCs w:val="21"/>
          <w:u w:val="single"/>
        </w:rPr>
        <w:t>              </w:t>
      </w:r>
    </w:p>
    <w:p w14:paraId="59C3D468">
      <w:pPr>
        <w:spacing w:line="360" w:lineRule="auto"/>
        <w:jc w:val="center"/>
        <w:rPr>
          <w:rFonts w:hint="eastAsia" w:ascii="华文仿宋" w:hAnsi="华文仿宋" w:eastAsia="华文仿宋" w:cs="华文仿宋"/>
          <w:b/>
          <w:color w:val="auto"/>
          <w:sz w:val="24"/>
          <w:szCs w:val="24"/>
        </w:rPr>
      </w:pPr>
      <w:r>
        <w:rPr>
          <w:rFonts w:hint="eastAsia" w:ascii="华文仿宋" w:hAnsi="华文仿宋" w:eastAsia="华文仿宋" w:cs="华文仿宋"/>
          <w:b/>
          <w:color w:val="auto"/>
          <w:sz w:val="24"/>
          <w:szCs w:val="24"/>
        </w:rPr>
        <w:br w:type="page"/>
      </w:r>
    </w:p>
    <w:p w14:paraId="7E5BDA69">
      <w:pPr>
        <w:keepNext w:val="0"/>
        <w:keepLines w:val="0"/>
        <w:pageBreakBefore w:val="0"/>
        <w:widowControl w:val="0"/>
        <w:kinsoku/>
        <w:wordWrap w:val="0"/>
        <w:overflowPunct/>
        <w:topLinePunct/>
        <w:autoSpaceDE/>
        <w:autoSpaceDN/>
        <w:bidi w:val="0"/>
        <w:adjustRightInd/>
        <w:snapToGrid/>
        <w:spacing w:line="360" w:lineRule="auto"/>
        <w:ind w:firstLine="422" w:firstLineChars="200"/>
        <w:jc w:val="center"/>
        <w:textAlignment w:val="auto"/>
        <w:outlineLvl w:val="2"/>
        <w:rPr>
          <w:rFonts w:hint="eastAsia" w:ascii="华文仿宋" w:hAnsi="华文仿宋" w:eastAsia="华文仿宋" w:cs="华文仿宋"/>
          <w:b/>
          <w:bCs/>
          <w:color w:val="auto"/>
          <w:sz w:val="21"/>
          <w:szCs w:val="21"/>
          <w:highlight w:val="none"/>
          <w:lang w:val="en-US" w:eastAsia="zh-CN"/>
        </w:rPr>
      </w:pPr>
      <w:r>
        <w:rPr>
          <w:rFonts w:hint="eastAsia" w:ascii="华文仿宋" w:hAnsi="华文仿宋" w:eastAsia="华文仿宋" w:cs="华文仿宋"/>
          <w:b/>
          <w:bCs/>
          <w:color w:val="auto"/>
          <w:sz w:val="21"/>
          <w:szCs w:val="21"/>
          <w:highlight w:val="none"/>
          <w:lang w:val="en-US" w:eastAsia="zh-CN"/>
        </w:rPr>
        <w:t>2、采购代理服务费承诺函</w:t>
      </w:r>
    </w:p>
    <w:p w14:paraId="62ECAA81">
      <w:pPr>
        <w:pStyle w:val="22"/>
        <w:shd w:val="clear" w:color="auto" w:fill="FFFFFF"/>
        <w:spacing w:before="0" w:beforeAutospacing="0" w:after="0" w:afterAutospacing="0"/>
        <w:jc w:val="both"/>
        <w:rPr>
          <w:rFonts w:hint="eastAsia" w:ascii="华文仿宋" w:hAnsi="华文仿宋" w:eastAsia="华文仿宋" w:cs="华文仿宋"/>
          <w:color w:val="auto"/>
          <w:spacing w:val="8"/>
          <w:sz w:val="21"/>
          <w:szCs w:val="21"/>
        </w:rPr>
      </w:pPr>
      <w:r>
        <w:rPr>
          <w:rFonts w:hint="eastAsia" w:ascii="华文仿宋" w:hAnsi="华文仿宋" w:eastAsia="华文仿宋" w:cs="华文仿宋"/>
          <w:color w:val="auto"/>
          <w:spacing w:val="8"/>
          <w:sz w:val="21"/>
          <w:szCs w:val="21"/>
          <w:shd w:val="clear" w:color="auto" w:fill="FFFFFF"/>
        </w:rPr>
        <w:t> </w:t>
      </w:r>
    </w:p>
    <w:p w14:paraId="1F57B319">
      <w:pPr>
        <w:pStyle w:val="22"/>
        <w:shd w:val="clear" w:color="auto" w:fill="FFFFFF"/>
        <w:spacing w:before="0" w:beforeAutospacing="0" w:after="0" w:afterAutospacing="0" w:line="360" w:lineRule="auto"/>
        <w:jc w:val="both"/>
        <w:rPr>
          <w:rFonts w:hint="eastAsia" w:ascii="华文仿宋" w:hAnsi="华文仿宋" w:eastAsia="华文仿宋" w:cs="华文仿宋"/>
          <w:color w:val="auto"/>
          <w:spacing w:val="8"/>
          <w:sz w:val="21"/>
          <w:szCs w:val="21"/>
        </w:rPr>
      </w:pPr>
      <w:r>
        <w:rPr>
          <w:rFonts w:hint="eastAsia" w:ascii="华文仿宋" w:hAnsi="华文仿宋" w:eastAsia="华文仿宋" w:cs="华文仿宋"/>
          <w:color w:val="auto"/>
          <w:spacing w:val="8"/>
          <w:sz w:val="21"/>
          <w:szCs w:val="21"/>
          <w:shd w:val="clear" w:color="auto" w:fill="FFFFFF"/>
        </w:rPr>
        <w:t>致</w:t>
      </w:r>
      <w:r>
        <w:rPr>
          <w:rFonts w:hint="eastAsia" w:ascii="华文仿宋" w:hAnsi="华文仿宋" w:eastAsia="华文仿宋" w:cs="华文仿宋"/>
          <w:color w:val="auto"/>
          <w:spacing w:val="8"/>
          <w:sz w:val="21"/>
          <w:szCs w:val="21"/>
          <w:u w:val="single"/>
          <w:shd w:val="clear" w:color="auto" w:fill="FFFFFF"/>
        </w:rPr>
        <w:t>（采购人及采购代理机构） </w:t>
      </w:r>
      <w:r>
        <w:rPr>
          <w:rFonts w:hint="eastAsia" w:ascii="华文仿宋" w:hAnsi="华文仿宋" w:eastAsia="华文仿宋" w:cs="华文仿宋"/>
          <w:color w:val="auto"/>
          <w:spacing w:val="8"/>
          <w:sz w:val="21"/>
          <w:szCs w:val="21"/>
          <w:shd w:val="clear" w:color="auto" w:fill="FFFFFF"/>
        </w:rPr>
        <w:t>：</w:t>
      </w:r>
    </w:p>
    <w:p w14:paraId="5BE8A62F">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rPr>
      </w:pPr>
      <w:r>
        <w:rPr>
          <w:rFonts w:hint="eastAsia" w:ascii="华文仿宋" w:hAnsi="华文仿宋" w:eastAsia="华文仿宋" w:cs="华文仿宋"/>
          <w:color w:val="auto"/>
          <w:spacing w:val="8"/>
          <w:sz w:val="21"/>
          <w:szCs w:val="21"/>
          <w:shd w:val="clear" w:color="auto" w:fill="FFFFFF"/>
        </w:rPr>
        <w:t>我们在贵公司组织的（项目名称：</w:t>
      </w:r>
      <w:r>
        <w:rPr>
          <w:rFonts w:hint="eastAsia" w:ascii="华文仿宋" w:hAnsi="华文仿宋" w:eastAsia="华文仿宋" w:cs="华文仿宋"/>
          <w:color w:val="auto"/>
          <w:spacing w:val="8"/>
          <w:sz w:val="21"/>
          <w:szCs w:val="21"/>
          <w:u w:val="single"/>
          <w:shd w:val="clear" w:color="auto" w:fill="FFFFFF"/>
        </w:rPr>
        <w:t xml:space="preserve">  </w:t>
      </w:r>
      <w:r>
        <w:rPr>
          <w:rFonts w:hint="eastAsia" w:ascii="华文仿宋" w:hAnsi="华文仿宋" w:eastAsia="华文仿宋" w:cs="华文仿宋"/>
          <w:color w:val="auto"/>
          <w:spacing w:val="8"/>
          <w:sz w:val="21"/>
          <w:szCs w:val="21"/>
          <w:u w:val="single"/>
          <w:shd w:val="clear" w:color="auto" w:fill="FFFFFF"/>
          <w:lang w:val="en-US" w:eastAsia="zh-CN"/>
        </w:rPr>
        <w:t xml:space="preserve">     </w:t>
      </w:r>
      <w:r>
        <w:rPr>
          <w:rFonts w:hint="eastAsia" w:ascii="华文仿宋" w:hAnsi="华文仿宋" w:eastAsia="华文仿宋" w:cs="华文仿宋"/>
          <w:color w:val="auto"/>
          <w:spacing w:val="8"/>
          <w:sz w:val="21"/>
          <w:szCs w:val="21"/>
          <w:u w:val="single"/>
          <w:shd w:val="clear" w:color="auto" w:fill="FFFFFF"/>
        </w:rPr>
        <w:t xml:space="preserve">   </w:t>
      </w:r>
      <w:r>
        <w:rPr>
          <w:rFonts w:hint="eastAsia" w:ascii="华文仿宋" w:hAnsi="华文仿宋" w:eastAsia="华文仿宋" w:cs="华文仿宋"/>
          <w:color w:val="auto"/>
          <w:sz w:val="21"/>
          <w:szCs w:val="21"/>
          <w:lang w:val="en-US" w:eastAsia="zh-CN"/>
        </w:rPr>
        <w:t>，</w:t>
      </w:r>
      <w:r>
        <w:rPr>
          <w:rFonts w:hint="eastAsia" w:ascii="华文仿宋" w:hAnsi="华文仿宋" w:eastAsia="华文仿宋" w:cs="华文仿宋"/>
          <w:color w:val="auto"/>
          <w:spacing w:val="8"/>
          <w:sz w:val="21"/>
          <w:szCs w:val="21"/>
          <w:shd w:val="clear" w:color="auto" w:fill="FFFFFF"/>
        </w:rPr>
        <w:t>采购编号：</w:t>
      </w:r>
      <w:r>
        <w:rPr>
          <w:rFonts w:hint="eastAsia" w:ascii="华文仿宋" w:hAnsi="华文仿宋" w:eastAsia="华文仿宋" w:cs="华文仿宋"/>
          <w:color w:val="auto"/>
          <w:spacing w:val="8"/>
          <w:sz w:val="21"/>
          <w:szCs w:val="21"/>
          <w:u w:val="single"/>
          <w:shd w:val="clear" w:color="auto" w:fill="FFFFFF"/>
        </w:rPr>
        <w:t xml:space="preserve">  </w:t>
      </w:r>
      <w:r>
        <w:rPr>
          <w:rFonts w:hint="eastAsia" w:ascii="华文仿宋" w:hAnsi="华文仿宋" w:eastAsia="华文仿宋" w:cs="华文仿宋"/>
          <w:color w:val="auto"/>
          <w:spacing w:val="8"/>
          <w:sz w:val="21"/>
          <w:szCs w:val="21"/>
          <w:u w:val="single"/>
          <w:shd w:val="clear" w:color="auto" w:fill="FFFFFF"/>
          <w:lang w:val="en-US" w:eastAsia="zh-CN"/>
        </w:rPr>
        <w:t xml:space="preserve">  </w:t>
      </w:r>
      <w:r>
        <w:rPr>
          <w:rFonts w:hint="eastAsia" w:ascii="华文仿宋" w:hAnsi="华文仿宋" w:eastAsia="华文仿宋" w:cs="华文仿宋"/>
          <w:color w:val="auto"/>
          <w:spacing w:val="8"/>
          <w:sz w:val="21"/>
          <w:szCs w:val="21"/>
          <w:u w:val="single"/>
          <w:shd w:val="clear" w:color="auto" w:fill="FFFFFF"/>
        </w:rPr>
        <w:t xml:space="preserve">   </w:t>
      </w:r>
      <w:r>
        <w:rPr>
          <w:rFonts w:hint="eastAsia" w:ascii="华文仿宋" w:hAnsi="华文仿宋" w:eastAsia="华文仿宋" w:cs="华文仿宋"/>
          <w:color w:val="auto"/>
          <w:spacing w:val="8"/>
          <w:sz w:val="21"/>
          <w:szCs w:val="21"/>
          <w:shd w:val="clear" w:color="auto" w:fill="FFFFFF"/>
        </w:rPr>
        <w:t>）招标采购中若获中标（成交），我们保证在中标(成交）结果公告发布后5个工作日内，按</w:t>
      </w:r>
      <w:r>
        <w:rPr>
          <w:rFonts w:hint="eastAsia" w:ascii="华文仿宋" w:hAnsi="华文仿宋" w:eastAsia="华文仿宋" w:cs="华文仿宋"/>
          <w:color w:val="auto"/>
          <w:spacing w:val="8"/>
          <w:sz w:val="21"/>
          <w:szCs w:val="21"/>
          <w:shd w:val="clear" w:color="auto" w:fill="FFFFFF"/>
          <w:lang w:eastAsia="zh-CN"/>
        </w:rPr>
        <w:t>竞争性磋商文件</w:t>
      </w:r>
      <w:r>
        <w:rPr>
          <w:rFonts w:hint="eastAsia" w:ascii="华文仿宋" w:hAnsi="华文仿宋" w:eastAsia="华文仿宋" w:cs="华文仿宋"/>
          <w:color w:val="auto"/>
          <w:spacing w:val="8"/>
          <w:sz w:val="21"/>
          <w:szCs w:val="21"/>
          <w:shd w:val="clear" w:color="auto" w:fill="FFFFFF"/>
        </w:rPr>
        <w:t>的规定，以支票、银行转账、汇票或现金，向贵公司一次性支付采购代理服务费用。否则，由此产生的一切法律后果和责任由我公司承担。我公司声明放弃对此提出任何异议和追索的权利。</w:t>
      </w:r>
    </w:p>
    <w:p w14:paraId="5A585515">
      <w:pPr>
        <w:pStyle w:val="22"/>
        <w:shd w:val="clear" w:color="auto" w:fill="FFFFFF"/>
        <w:spacing w:before="0" w:beforeAutospacing="0" w:after="0" w:afterAutospacing="0" w:line="360" w:lineRule="auto"/>
        <w:ind w:firstLine="452" w:firstLineChars="200"/>
        <w:jc w:val="both"/>
        <w:rPr>
          <w:rFonts w:hint="eastAsia" w:ascii="华文仿宋" w:hAnsi="华文仿宋" w:eastAsia="华文仿宋" w:cs="华文仿宋"/>
          <w:color w:val="auto"/>
          <w:spacing w:val="8"/>
          <w:sz w:val="21"/>
          <w:szCs w:val="21"/>
        </w:rPr>
      </w:pPr>
      <w:r>
        <w:rPr>
          <w:rFonts w:hint="eastAsia" w:ascii="华文仿宋" w:hAnsi="华文仿宋" w:eastAsia="华文仿宋" w:cs="华文仿宋"/>
          <w:color w:val="auto"/>
          <w:spacing w:val="8"/>
          <w:sz w:val="21"/>
          <w:szCs w:val="21"/>
          <w:shd w:val="clear" w:color="auto" w:fill="FFFFFF"/>
        </w:rPr>
        <w:t>特此承诺。</w:t>
      </w:r>
    </w:p>
    <w:p w14:paraId="2FF7AEDA">
      <w:pPr>
        <w:pStyle w:val="22"/>
        <w:shd w:val="clear" w:color="auto" w:fill="FFFFFF"/>
        <w:spacing w:before="0" w:beforeAutospacing="0" w:after="0" w:afterAutospacing="0" w:line="360" w:lineRule="auto"/>
        <w:jc w:val="both"/>
        <w:rPr>
          <w:rFonts w:hint="eastAsia" w:ascii="华文仿宋" w:hAnsi="华文仿宋" w:eastAsia="华文仿宋" w:cs="华文仿宋"/>
          <w:color w:val="auto"/>
          <w:spacing w:val="8"/>
          <w:sz w:val="21"/>
          <w:szCs w:val="21"/>
        </w:rPr>
      </w:pPr>
      <w:r>
        <w:rPr>
          <w:rFonts w:hint="eastAsia" w:ascii="华文仿宋" w:hAnsi="华文仿宋" w:eastAsia="华文仿宋" w:cs="华文仿宋"/>
          <w:color w:val="auto"/>
          <w:spacing w:val="8"/>
          <w:sz w:val="21"/>
          <w:szCs w:val="21"/>
          <w:shd w:val="clear" w:color="auto" w:fill="FFFFFF"/>
        </w:rPr>
        <w:t> </w:t>
      </w:r>
    </w:p>
    <w:p w14:paraId="48182794">
      <w:pPr>
        <w:pStyle w:val="22"/>
        <w:shd w:val="clear" w:color="auto" w:fill="FFFFFF"/>
        <w:spacing w:before="0" w:beforeAutospacing="0" w:after="0" w:afterAutospacing="0" w:line="360" w:lineRule="auto"/>
        <w:jc w:val="both"/>
        <w:rPr>
          <w:rFonts w:hint="eastAsia" w:ascii="华文仿宋" w:hAnsi="华文仿宋" w:eastAsia="华文仿宋" w:cs="华文仿宋"/>
          <w:color w:val="auto"/>
          <w:spacing w:val="8"/>
          <w:sz w:val="21"/>
          <w:szCs w:val="21"/>
        </w:rPr>
      </w:pPr>
      <w:r>
        <w:rPr>
          <w:rFonts w:hint="eastAsia" w:ascii="华文仿宋" w:hAnsi="华文仿宋" w:eastAsia="华文仿宋" w:cs="华文仿宋"/>
          <w:color w:val="auto"/>
          <w:spacing w:val="8"/>
          <w:sz w:val="21"/>
          <w:szCs w:val="21"/>
          <w:shd w:val="clear" w:color="auto" w:fill="FFFFFF"/>
        </w:rPr>
        <w:t> </w:t>
      </w:r>
    </w:p>
    <w:p w14:paraId="14714D22">
      <w:pPr>
        <w:pStyle w:val="22"/>
        <w:shd w:val="clear" w:color="auto" w:fill="FFFFFF"/>
        <w:spacing w:before="0" w:beforeAutospacing="0" w:after="0" w:afterAutospacing="0" w:line="360" w:lineRule="auto"/>
        <w:ind w:firstLine="465"/>
        <w:rPr>
          <w:rFonts w:hint="eastAsia" w:ascii="华文仿宋" w:hAnsi="华文仿宋" w:eastAsia="华文仿宋" w:cs="华文仿宋"/>
          <w:color w:val="auto"/>
          <w:spacing w:val="8"/>
          <w:sz w:val="21"/>
          <w:szCs w:val="21"/>
        </w:rPr>
      </w:pPr>
      <w:r>
        <w:rPr>
          <w:rFonts w:hint="eastAsia" w:ascii="华文仿宋" w:hAnsi="华文仿宋" w:eastAsia="华文仿宋" w:cs="华文仿宋"/>
          <w:color w:val="auto"/>
          <w:spacing w:val="8"/>
          <w:sz w:val="21"/>
          <w:szCs w:val="21"/>
          <w:shd w:val="clear" w:color="auto" w:fill="FFFFFF"/>
          <w:lang w:eastAsia="zh-CN"/>
        </w:rPr>
        <w:t>投标人</w:t>
      </w:r>
      <w:r>
        <w:rPr>
          <w:rFonts w:hint="eastAsia" w:ascii="华文仿宋" w:hAnsi="华文仿宋" w:eastAsia="华文仿宋" w:cs="华文仿宋"/>
          <w:color w:val="auto"/>
          <w:spacing w:val="8"/>
          <w:sz w:val="21"/>
          <w:szCs w:val="21"/>
          <w:shd w:val="clear" w:color="auto" w:fill="FFFFFF"/>
        </w:rPr>
        <w:t>名称：</w:t>
      </w:r>
      <w:r>
        <w:rPr>
          <w:rFonts w:hint="eastAsia" w:ascii="华文仿宋" w:hAnsi="华文仿宋" w:eastAsia="华文仿宋" w:cs="华文仿宋"/>
          <w:color w:val="auto"/>
          <w:spacing w:val="8"/>
          <w:sz w:val="21"/>
          <w:szCs w:val="21"/>
          <w:u w:val="single"/>
          <w:shd w:val="clear" w:color="auto" w:fill="FFFFFF"/>
        </w:rPr>
        <w:t>          </w:t>
      </w:r>
      <w:r>
        <w:rPr>
          <w:rFonts w:hint="eastAsia" w:ascii="华文仿宋" w:hAnsi="华文仿宋" w:eastAsia="华文仿宋" w:cs="华文仿宋"/>
          <w:color w:val="auto"/>
          <w:spacing w:val="8"/>
          <w:sz w:val="21"/>
          <w:szCs w:val="21"/>
          <w:shd w:val="clear" w:color="auto" w:fill="FFFFFF"/>
        </w:rPr>
        <w:t>（</w:t>
      </w:r>
      <w:r>
        <w:rPr>
          <w:rFonts w:hint="eastAsia" w:ascii="华文仿宋" w:hAnsi="华文仿宋" w:eastAsia="华文仿宋" w:cs="华文仿宋"/>
          <w:color w:val="auto"/>
          <w:sz w:val="21"/>
          <w:szCs w:val="21"/>
          <w:highlight w:val="none"/>
          <w:u w:val="none"/>
        </w:rPr>
        <w:t>单位电子签章</w:t>
      </w:r>
      <w:r>
        <w:rPr>
          <w:rFonts w:hint="eastAsia" w:ascii="华文仿宋" w:hAnsi="华文仿宋" w:eastAsia="华文仿宋" w:cs="华文仿宋"/>
          <w:color w:val="auto"/>
          <w:sz w:val="21"/>
          <w:szCs w:val="21"/>
          <w:highlight w:val="none"/>
          <w:u w:val="none"/>
          <w:lang w:val="en-US" w:eastAsia="zh-CN"/>
        </w:rPr>
        <w:t>或盖章</w:t>
      </w:r>
      <w:r>
        <w:rPr>
          <w:rFonts w:hint="eastAsia" w:ascii="华文仿宋" w:hAnsi="华文仿宋" w:eastAsia="华文仿宋" w:cs="华文仿宋"/>
          <w:color w:val="auto"/>
          <w:spacing w:val="8"/>
          <w:sz w:val="21"/>
          <w:szCs w:val="21"/>
          <w:shd w:val="clear" w:color="auto" w:fill="FFFFFF"/>
        </w:rPr>
        <w:t>）</w:t>
      </w:r>
    </w:p>
    <w:p w14:paraId="36AB20AA">
      <w:pPr>
        <w:pStyle w:val="22"/>
        <w:shd w:val="clear" w:color="auto" w:fill="FFFFFF"/>
        <w:spacing w:before="0" w:beforeAutospacing="0" w:after="0" w:afterAutospacing="0" w:line="360" w:lineRule="auto"/>
        <w:ind w:firstLine="465"/>
        <w:rPr>
          <w:rFonts w:hint="eastAsia" w:ascii="华文仿宋" w:hAnsi="华文仿宋" w:eastAsia="华文仿宋" w:cs="华文仿宋"/>
          <w:color w:val="auto"/>
          <w:spacing w:val="8"/>
          <w:sz w:val="21"/>
          <w:szCs w:val="21"/>
        </w:rPr>
      </w:pPr>
      <w:r>
        <w:rPr>
          <w:rFonts w:hint="eastAsia" w:ascii="华文仿宋" w:hAnsi="华文仿宋" w:eastAsia="华文仿宋" w:cs="华文仿宋"/>
          <w:color w:val="auto"/>
          <w:spacing w:val="8"/>
          <w:sz w:val="21"/>
          <w:szCs w:val="21"/>
          <w:shd w:val="clear" w:color="auto" w:fill="FFFFFF"/>
        </w:rPr>
        <w:t>法定代表人或授权代表：</w:t>
      </w:r>
      <w:r>
        <w:rPr>
          <w:rFonts w:hint="eastAsia" w:ascii="华文仿宋" w:hAnsi="华文仿宋" w:eastAsia="华文仿宋" w:cs="华文仿宋"/>
          <w:color w:val="auto"/>
          <w:spacing w:val="8"/>
          <w:sz w:val="21"/>
          <w:szCs w:val="21"/>
          <w:u w:val="single"/>
          <w:shd w:val="clear" w:color="auto" w:fill="FFFFFF"/>
        </w:rPr>
        <w:t>      </w:t>
      </w:r>
      <w:r>
        <w:rPr>
          <w:rFonts w:hint="eastAsia" w:ascii="华文仿宋" w:hAnsi="华文仿宋" w:eastAsia="华文仿宋" w:cs="华文仿宋"/>
          <w:color w:val="auto"/>
          <w:spacing w:val="8"/>
          <w:sz w:val="21"/>
          <w:szCs w:val="21"/>
          <w:shd w:val="clear" w:color="auto" w:fill="FFFFFF"/>
        </w:rPr>
        <w:t>（</w:t>
      </w:r>
      <w:r>
        <w:rPr>
          <w:rFonts w:hint="eastAsia" w:ascii="华文仿宋" w:hAnsi="华文仿宋" w:eastAsia="华文仿宋" w:cs="华文仿宋"/>
          <w:color w:val="auto"/>
          <w:spacing w:val="8"/>
          <w:sz w:val="21"/>
          <w:szCs w:val="21"/>
          <w:shd w:val="clear" w:color="auto" w:fill="FFFFFF"/>
          <w:lang w:val="en-US" w:eastAsia="zh-CN"/>
        </w:rPr>
        <w:t>签字或盖章或</w:t>
      </w:r>
      <w:r>
        <w:rPr>
          <w:rFonts w:hint="eastAsia" w:ascii="华文仿宋" w:hAnsi="华文仿宋" w:eastAsia="华文仿宋" w:cs="华文仿宋"/>
          <w:color w:val="auto"/>
          <w:spacing w:val="8"/>
          <w:sz w:val="21"/>
          <w:szCs w:val="21"/>
          <w:shd w:val="clear" w:color="auto" w:fill="FFFFFF"/>
        </w:rPr>
        <w:t>电子签名）</w:t>
      </w:r>
    </w:p>
    <w:p w14:paraId="359F258E">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u w:val="single"/>
          <w:shd w:val="clear" w:color="auto" w:fill="FFFFFF"/>
        </w:rPr>
      </w:pPr>
      <w:r>
        <w:rPr>
          <w:rFonts w:hint="eastAsia" w:ascii="华文仿宋" w:hAnsi="华文仿宋" w:eastAsia="华文仿宋" w:cs="华文仿宋"/>
          <w:color w:val="auto"/>
          <w:spacing w:val="8"/>
          <w:sz w:val="21"/>
          <w:szCs w:val="21"/>
          <w:shd w:val="clear" w:color="auto" w:fill="FFFFFF"/>
        </w:rPr>
        <w:t>日期：</w:t>
      </w:r>
      <w:r>
        <w:rPr>
          <w:rFonts w:hint="eastAsia" w:ascii="华文仿宋" w:hAnsi="华文仿宋" w:eastAsia="华文仿宋" w:cs="华文仿宋"/>
          <w:color w:val="auto"/>
          <w:spacing w:val="8"/>
          <w:sz w:val="21"/>
          <w:szCs w:val="21"/>
          <w:u w:val="single"/>
          <w:shd w:val="clear" w:color="auto" w:fill="FFFFFF"/>
        </w:rPr>
        <w:t>              </w:t>
      </w:r>
    </w:p>
    <w:p w14:paraId="26C855FC">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u w:val="single"/>
          <w:shd w:val="clear" w:color="auto" w:fill="FFFFFF"/>
        </w:rPr>
      </w:pPr>
    </w:p>
    <w:p w14:paraId="08E19CE7">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u w:val="single"/>
          <w:shd w:val="clear" w:color="auto" w:fill="FFFFFF"/>
        </w:rPr>
      </w:pPr>
    </w:p>
    <w:p w14:paraId="10309BD4">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u w:val="single"/>
          <w:shd w:val="clear" w:color="auto" w:fill="FFFFFF"/>
        </w:rPr>
      </w:pPr>
    </w:p>
    <w:p w14:paraId="2921E5D4">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u w:val="single"/>
          <w:shd w:val="clear" w:color="auto" w:fill="FFFFFF"/>
        </w:rPr>
      </w:pPr>
    </w:p>
    <w:p w14:paraId="7B38E8CF">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u w:val="single"/>
          <w:shd w:val="clear" w:color="auto" w:fill="FFFFFF"/>
        </w:rPr>
      </w:pPr>
    </w:p>
    <w:p w14:paraId="302CE62F">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u w:val="single"/>
          <w:shd w:val="clear" w:color="auto" w:fill="FFFFFF"/>
        </w:rPr>
      </w:pPr>
    </w:p>
    <w:p w14:paraId="77D9542E">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u w:val="single"/>
          <w:shd w:val="clear" w:color="auto" w:fill="FFFFFF"/>
        </w:rPr>
      </w:pPr>
    </w:p>
    <w:p w14:paraId="5157AA27">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u w:val="single"/>
          <w:shd w:val="clear" w:color="auto" w:fill="FFFFFF"/>
        </w:rPr>
      </w:pPr>
    </w:p>
    <w:p w14:paraId="62381704">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u w:val="single"/>
          <w:shd w:val="clear" w:color="auto" w:fill="FFFFFF"/>
        </w:rPr>
      </w:pPr>
    </w:p>
    <w:p w14:paraId="67571B78">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u w:val="single"/>
          <w:shd w:val="clear" w:color="auto" w:fill="FFFFFF"/>
        </w:rPr>
      </w:pPr>
    </w:p>
    <w:p w14:paraId="51737949">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u w:val="single"/>
          <w:shd w:val="clear" w:color="auto" w:fill="FFFFFF"/>
        </w:rPr>
      </w:pPr>
    </w:p>
    <w:p w14:paraId="2A7A975F">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u w:val="single"/>
          <w:shd w:val="clear" w:color="auto" w:fill="FFFFFF"/>
        </w:rPr>
      </w:pPr>
    </w:p>
    <w:p w14:paraId="2308D301">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u w:val="single"/>
          <w:shd w:val="clear" w:color="auto" w:fill="FFFFFF"/>
        </w:rPr>
      </w:pPr>
    </w:p>
    <w:p w14:paraId="4A26AE8D">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u w:val="single"/>
          <w:shd w:val="clear" w:color="auto" w:fill="FFFFFF"/>
        </w:rPr>
      </w:pPr>
    </w:p>
    <w:p w14:paraId="6FEA1BC8">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u w:val="single"/>
          <w:shd w:val="clear" w:color="auto" w:fill="FFFFFF"/>
        </w:rPr>
      </w:pPr>
    </w:p>
    <w:p w14:paraId="39B220F1">
      <w:pPr>
        <w:pStyle w:val="22"/>
        <w:shd w:val="clear" w:color="auto" w:fill="FFFFFF"/>
        <w:spacing w:before="0" w:beforeAutospacing="0" w:after="0" w:afterAutospacing="0" w:line="360" w:lineRule="auto"/>
        <w:ind w:firstLine="480"/>
        <w:jc w:val="both"/>
        <w:rPr>
          <w:rFonts w:hint="eastAsia" w:ascii="华文仿宋" w:hAnsi="华文仿宋" w:eastAsia="华文仿宋" w:cs="华文仿宋"/>
          <w:color w:val="auto"/>
          <w:spacing w:val="8"/>
          <w:sz w:val="21"/>
          <w:szCs w:val="21"/>
          <w:u w:val="single"/>
          <w:shd w:val="clear" w:color="auto" w:fill="FFFFFF"/>
        </w:rPr>
      </w:pPr>
    </w:p>
    <w:p w14:paraId="7B53BF3B">
      <w:pPr>
        <w:keepNext w:val="0"/>
        <w:keepLines w:val="0"/>
        <w:pageBreakBefore w:val="0"/>
        <w:widowControl w:val="0"/>
        <w:kinsoku/>
        <w:wordWrap w:val="0"/>
        <w:overflowPunct/>
        <w:topLinePunct/>
        <w:autoSpaceDE/>
        <w:autoSpaceDN/>
        <w:bidi w:val="0"/>
        <w:adjustRightInd/>
        <w:snapToGrid/>
        <w:spacing w:line="360" w:lineRule="auto"/>
        <w:ind w:firstLine="422" w:firstLineChars="200"/>
        <w:jc w:val="center"/>
        <w:textAlignment w:val="auto"/>
        <w:outlineLvl w:val="2"/>
        <w:rPr>
          <w:rFonts w:hint="eastAsia" w:ascii="华文仿宋" w:hAnsi="华文仿宋" w:eastAsia="华文仿宋" w:cs="华文仿宋"/>
          <w:b/>
          <w:bCs/>
          <w:color w:val="auto"/>
          <w:sz w:val="21"/>
          <w:szCs w:val="21"/>
          <w:highlight w:val="none"/>
        </w:rPr>
      </w:pPr>
      <w:r>
        <w:rPr>
          <w:rFonts w:hint="eastAsia" w:ascii="华文仿宋" w:hAnsi="华文仿宋" w:eastAsia="华文仿宋" w:cs="华文仿宋"/>
          <w:b/>
          <w:bCs/>
          <w:color w:val="auto"/>
          <w:sz w:val="21"/>
          <w:szCs w:val="21"/>
          <w:highlight w:val="none"/>
          <w:lang w:val="en-US" w:eastAsia="zh-CN"/>
        </w:rPr>
        <w:t>3</w:t>
      </w:r>
      <w:r>
        <w:rPr>
          <w:rFonts w:hint="eastAsia" w:ascii="华文仿宋" w:hAnsi="华文仿宋" w:eastAsia="华文仿宋" w:cs="华文仿宋"/>
          <w:b/>
          <w:bCs/>
          <w:color w:val="auto"/>
          <w:sz w:val="21"/>
          <w:szCs w:val="21"/>
          <w:highlight w:val="none"/>
        </w:rPr>
        <w:t>、供应商认为需要的其他资料</w:t>
      </w:r>
    </w:p>
    <w:p w14:paraId="43EBB23D">
      <w:pPr>
        <w:pageBreakBefore w:val="0"/>
        <w:kinsoku/>
        <w:wordWrap w:val="0"/>
        <w:overflowPunct/>
        <w:topLinePunct/>
        <w:bidi w:val="0"/>
        <w:spacing w:line="360" w:lineRule="auto"/>
        <w:rPr>
          <w:rFonts w:hint="eastAsia" w:ascii="华文仿宋" w:hAnsi="华文仿宋" w:eastAsia="华文仿宋" w:cs="华文仿宋"/>
          <w:b/>
          <w:bCs/>
          <w:color w:val="auto"/>
          <w:sz w:val="21"/>
          <w:szCs w:val="21"/>
          <w:highlight w:val="none"/>
        </w:rPr>
      </w:pPr>
      <w:bookmarkStart w:id="890" w:name="_Toc10485"/>
      <w:bookmarkStart w:id="891" w:name="_Toc31746"/>
      <w:r>
        <w:rPr>
          <w:rFonts w:hint="eastAsia" w:ascii="华文仿宋" w:hAnsi="华文仿宋" w:eastAsia="华文仿宋" w:cs="华文仿宋"/>
          <w:b/>
          <w:bCs/>
          <w:color w:val="auto"/>
          <w:sz w:val="21"/>
          <w:szCs w:val="21"/>
          <w:highlight w:val="none"/>
        </w:rPr>
        <w:br w:type="page"/>
      </w:r>
    </w:p>
    <w:p w14:paraId="5D3E6FCE">
      <w:pPr>
        <w:keepNext w:val="0"/>
        <w:keepLines w:val="0"/>
        <w:pageBreakBefore w:val="0"/>
        <w:widowControl w:val="0"/>
        <w:kinsoku/>
        <w:wordWrap w:val="0"/>
        <w:overflowPunct/>
        <w:topLinePunct/>
        <w:bidi w:val="0"/>
        <w:snapToGrid/>
        <w:spacing w:line="360" w:lineRule="auto"/>
        <w:jc w:val="center"/>
        <w:textAlignment w:val="auto"/>
        <w:outlineLvl w:val="0"/>
        <w:rPr>
          <w:rFonts w:hint="eastAsia" w:ascii="华文仿宋" w:hAnsi="华文仿宋" w:eastAsia="华文仿宋" w:cs="华文仿宋"/>
          <w:b/>
          <w:bCs/>
          <w:color w:val="auto"/>
          <w:sz w:val="21"/>
          <w:szCs w:val="21"/>
          <w:highlight w:val="none"/>
        </w:rPr>
      </w:pPr>
      <w:bookmarkStart w:id="892" w:name="_Toc27149"/>
      <w:r>
        <w:rPr>
          <w:rFonts w:hint="eastAsia" w:ascii="华文仿宋" w:hAnsi="华文仿宋" w:eastAsia="华文仿宋" w:cs="华文仿宋"/>
          <w:b/>
          <w:bCs/>
          <w:color w:val="auto"/>
          <w:sz w:val="21"/>
          <w:szCs w:val="21"/>
          <w:highlight w:val="none"/>
        </w:rPr>
        <w:t>河南省政府采购合同融资政策告知函</w:t>
      </w:r>
      <w:bookmarkEnd w:id="890"/>
      <w:bookmarkEnd w:id="891"/>
      <w:bookmarkEnd w:id="892"/>
    </w:p>
    <w:p w14:paraId="6D5861A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p>
    <w:p w14:paraId="45C70734">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各供应商：</w:t>
      </w:r>
    </w:p>
    <w:p w14:paraId="44B78C5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欢迎贵公司参与河南省政府采购活动！</w:t>
      </w:r>
    </w:p>
    <w:p w14:paraId="79CCD19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政府采购合同融资是河南省财政厅支持中小微企业发展，针对参与政府采购活动的供应商融资难、融资贵问题推出的一项融资政策。贵公司若成为本次政府采购项目的</w:t>
      </w:r>
      <w:r>
        <w:rPr>
          <w:rFonts w:hint="eastAsia" w:ascii="华文仿宋" w:hAnsi="华文仿宋" w:eastAsia="华文仿宋" w:cs="华文仿宋"/>
          <w:color w:val="auto"/>
          <w:sz w:val="21"/>
          <w:szCs w:val="21"/>
          <w:highlight w:val="none"/>
          <w:lang w:eastAsia="zh-CN"/>
        </w:rPr>
        <w:t>成交</w:t>
      </w:r>
      <w:r>
        <w:rPr>
          <w:rFonts w:hint="eastAsia" w:ascii="华文仿宋" w:hAnsi="华文仿宋" w:eastAsia="华文仿宋" w:cs="华文仿宋"/>
          <w:color w:val="auto"/>
          <w:sz w:val="21"/>
          <w:szCs w:val="21"/>
          <w:highlight w:val="none"/>
        </w:rPr>
        <w:t>成交供应商，可持政府采购合同向金融机构申请贷款，无需抵押、担保，融资机构将根据《河南省政府采购合同融资工作实施方案》（豫财购〔2017〕10 号），按照双方自愿的原则提供便捷、优惠的贷款服务。</w:t>
      </w:r>
    </w:p>
    <w:p w14:paraId="799BCEE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贷款渠道和提供贷款的金融机构，可在河南省政府采购网“河南省政府采购合同融资平台</w:t>
      </w:r>
      <w:r>
        <w:rPr>
          <w:rFonts w:hint="eastAsia" w:ascii="华文仿宋" w:hAnsi="华文仿宋" w:eastAsia="华文仿宋" w:cs="华文仿宋"/>
          <w:color w:val="auto"/>
          <w:sz w:val="21"/>
          <w:szCs w:val="21"/>
          <w:highlight w:val="none"/>
          <w:lang w:eastAsia="zh-CN"/>
        </w:rPr>
        <w:t>”</w:t>
      </w:r>
      <w:r>
        <w:rPr>
          <w:rFonts w:hint="eastAsia" w:ascii="华文仿宋" w:hAnsi="华文仿宋" w:eastAsia="华文仿宋" w:cs="华文仿宋"/>
          <w:color w:val="auto"/>
          <w:sz w:val="21"/>
          <w:szCs w:val="21"/>
          <w:highlight w:val="none"/>
        </w:rPr>
        <w:t>查询联系，政策解读网址： http://www.hngp.gov.cn/henan/content?infoId=1601449567470800&amp;channelCode=H6016</w:t>
      </w:r>
    </w:p>
    <w:p w14:paraId="145BCB2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p>
    <w:p w14:paraId="5167B4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注：此项仅为告知，无须附到响应文件中。</w:t>
      </w:r>
    </w:p>
    <w:p w14:paraId="60573F7A">
      <w:pPr>
        <w:pageBreakBefore w:val="0"/>
        <w:kinsoku/>
        <w:wordWrap w:val="0"/>
        <w:overflowPunct/>
        <w:topLinePunct/>
        <w:bidi w:val="0"/>
        <w:spacing w:line="360" w:lineRule="auto"/>
        <w:rPr>
          <w:rFonts w:hint="eastAsia" w:ascii="华文仿宋" w:hAnsi="华文仿宋" w:eastAsia="华文仿宋" w:cs="华文仿宋"/>
          <w:color w:val="auto"/>
          <w:highlight w:val="none"/>
        </w:rPr>
      </w:pPr>
    </w:p>
    <w:sectPr>
      <w:footerReference r:id="rId5" w:type="default"/>
      <w:pgSz w:w="11906" w:h="16838"/>
      <w:pgMar w:top="1440" w:right="1463" w:bottom="1440" w:left="146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
    <w:altName w:val="Arial"/>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A8C02">
    <w:pPr>
      <w:pStyle w:val="16"/>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C1933">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FC193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DC2C3">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963A3">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B7963A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78775">
    <w:pPr>
      <w:pStyle w:val="4"/>
      <w:pageBreakBefore w:val="0"/>
      <w:widowControl w:val="0"/>
      <w:numPr>
        <w:ilvl w:val="2"/>
        <w:numId w:val="0"/>
      </w:numPr>
      <w:pBdr>
        <w:bottom w:val="single" w:color="auto" w:sz="4" w:space="0"/>
      </w:pBdr>
      <w:kinsoku/>
      <w:wordWrap/>
      <w:overflowPunct/>
      <w:topLinePunct w:val="0"/>
      <w:autoSpaceDE/>
      <w:autoSpaceDN/>
      <w:bidi w:val="0"/>
      <w:spacing w:line="240" w:lineRule="auto"/>
      <w:jc w:val="left"/>
      <w:textAlignment w:val="auto"/>
      <w:rPr>
        <w:rFonts w:hint="eastAsia" w:ascii="华文楷体" w:hAnsi="华文楷体" w:eastAsia="华文楷体" w:cs="华文楷体"/>
      </w:rPr>
    </w:pPr>
    <w:r>
      <w:rPr>
        <w:rFonts w:hint="eastAsia" w:ascii="华文楷体" w:hAnsi="华文楷体" w:eastAsia="华文楷体" w:cs="华文楷体"/>
        <w:b/>
        <w:bCs/>
        <w:color w:val="auto"/>
        <w:kern w:val="0"/>
        <w:sz w:val="18"/>
        <w:szCs w:val="18"/>
        <w:highlight w:val="none"/>
        <w:lang w:val="en-US" w:eastAsia="zh-CN" w:bidi="ar"/>
      </w:rPr>
      <w:t>淮滨县2025年度杨树食叶害虫飞机喷药防治项目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CABB"/>
    <w:multiLevelType w:val="singleLevel"/>
    <w:tmpl w:val="9326CABB"/>
    <w:lvl w:ilvl="0" w:tentative="0">
      <w:start w:val="5"/>
      <w:numFmt w:val="decimal"/>
      <w:suff w:val="nothing"/>
      <w:lvlText w:val="%1、"/>
      <w:lvlJc w:val="left"/>
    </w:lvl>
  </w:abstractNum>
  <w:abstractNum w:abstractNumId="1">
    <w:nsid w:val="A39E5D33"/>
    <w:multiLevelType w:val="singleLevel"/>
    <w:tmpl w:val="A39E5D33"/>
    <w:lvl w:ilvl="0" w:tentative="0">
      <w:start w:val="2"/>
      <w:numFmt w:val="chineseCounting"/>
      <w:suff w:val="nothing"/>
      <w:lvlText w:val="（%1）"/>
      <w:lvlJc w:val="left"/>
      <w:rPr>
        <w:rFonts w:hint="eastAsia"/>
      </w:rPr>
    </w:lvl>
  </w:abstractNum>
  <w:abstractNum w:abstractNumId="2">
    <w:nsid w:val="B703E166"/>
    <w:multiLevelType w:val="singleLevel"/>
    <w:tmpl w:val="B703E166"/>
    <w:lvl w:ilvl="0" w:tentative="0">
      <w:start w:val="5"/>
      <w:numFmt w:val="chineseCounting"/>
      <w:suff w:val="space"/>
      <w:lvlText w:val="第%1章"/>
      <w:lvlJc w:val="left"/>
      <w:rPr>
        <w:rFonts w:hint="eastAsia"/>
      </w:rPr>
    </w:lvl>
  </w:abstractNum>
  <w:abstractNum w:abstractNumId="3">
    <w:nsid w:val="FFFFFFFB"/>
    <w:multiLevelType w:val="multilevel"/>
    <w:tmpl w:val="FFFFFFFB"/>
    <w:lvl w:ilvl="0" w:tentative="0">
      <w:start w:val="1"/>
      <w:numFmt w:val="chineseCountingThousand"/>
      <w:lvlText w:val="%1."/>
      <w:legacy w:legacy="1" w:legacySpace="113" w:legacyIndent="425"/>
      <w:lvlJc w:val="left"/>
      <w:pPr>
        <w:ind w:left="850" w:hanging="425"/>
      </w:pPr>
    </w:lvl>
    <w:lvl w:ilvl="1" w:tentative="0">
      <w:start w:val="1"/>
      <w:numFmt w:val="decimal"/>
      <w:lvlText w:val="%2."/>
      <w:legacy w:legacy="1" w:legacySpace="0" w:legacyIndent="425"/>
      <w:lvlJc w:val="left"/>
      <w:pPr>
        <w:ind w:left="851" w:hanging="425"/>
      </w:pPr>
    </w:lvl>
    <w:lvl w:ilvl="2" w:tentative="0">
      <w:start w:val="1"/>
      <w:numFmt w:val="none"/>
      <w:pStyle w:val="4"/>
      <w:suff w:val="nothing"/>
      <w:lvlText w:val=""/>
      <w:lvlJc w:val="left"/>
      <w:pPr>
        <w:ind w:left="851"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abstractNum w:abstractNumId="4">
    <w:nsid w:val="64A5DBB2"/>
    <w:multiLevelType w:val="singleLevel"/>
    <w:tmpl w:val="64A5DBB2"/>
    <w:lvl w:ilvl="0" w:tentative="0">
      <w:start w:val="1"/>
      <w:numFmt w:val="decimal"/>
      <w:suff w:val="space"/>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MzE4MTZhMDQ1NTlmZjI2MWQwZWU1YTQwZWJjNjMifQ=="/>
    <w:docVar w:name="KSO_WPS_MARK_KEY" w:val="e513856d-a69a-49f1-ac21-3862b898c1aa"/>
  </w:docVars>
  <w:rsids>
    <w:rsidRoot w:val="5C125DCA"/>
    <w:rsid w:val="00321C78"/>
    <w:rsid w:val="007B1009"/>
    <w:rsid w:val="00B92181"/>
    <w:rsid w:val="01234393"/>
    <w:rsid w:val="019C24A1"/>
    <w:rsid w:val="01DB1C83"/>
    <w:rsid w:val="01E170D2"/>
    <w:rsid w:val="01EC5006"/>
    <w:rsid w:val="02551B85"/>
    <w:rsid w:val="02BD3124"/>
    <w:rsid w:val="02D0730E"/>
    <w:rsid w:val="03547BC1"/>
    <w:rsid w:val="03A70DBA"/>
    <w:rsid w:val="04192EBC"/>
    <w:rsid w:val="04221DEB"/>
    <w:rsid w:val="045A489F"/>
    <w:rsid w:val="04B36EE7"/>
    <w:rsid w:val="04E84041"/>
    <w:rsid w:val="05105389"/>
    <w:rsid w:val="05194887"/>
    <w:rsid w:val="053368E4"/>
    <w:rsid w:val="054E0D55"/>
    <w:rsid w:val="05A92A1D"/>
    <w:rsid w:val="05B07696"/>
    <w:rsid w:val="061D0ABC"/>
    <w:rsid w:val="06514C09"/>
    <w:rsid w:val="065C3457"/>
    <w:rsid w:val="068756F1"/>
    <w:rsid w:val="07B14F24"/>
    <w:rsid w:val="07E301FD"/>
    <w:rsid w:val="08062059"/>
    <w:rsid w:val="08186EB8"/>
    <w:rsid w:val="08430582"/>
    <w:rsid w:val="0851488A"/>
    <w:rsid w:val="086E1AA3"/>
    <w:rsid w:val="087063CB"/>
    <w:rsid w:val="087F6DB5"/>
    <w:rsid w:val="091A7535"/>
    <w:rsid w:val="09344196"/>
    <w:rsid w:val="09554A11"/>
    <w:rsid w:val="095A3DD5"/>
    <w:rsid w:val="09685AEC"/>
    <w:rsid w:val="09776735"/>
    <w:rsid w:val="097D1708"/>
    <w:rsid w:val="09BC5884"/>
    <w:rsid w:val="0A0B1D23"/>
    <w:rsid w:val="0A821835"/>
    <w:rsid w:val="0A8D6878"/>
    <w:rsid w:val="0A90639B"/>
    <w:rsid w:val="0ACB0350"/>
    <w:rsid w:val="0AED7AD8"/>
    <w:rsid w:val="0B20726C"/>
    <w:rsid w:val="0B527F59"/>
    <w:rsid w:val="0B5C3103"/>
    <w:rsid w:val="0C394176"/>
    <w:rsid w:val="0C4E1015"/>
    <w:rsid w:val="0C9833C1"/>
    <w:rsid w:val="0CBC40D6"/>
    <w:rsid w:val="0CCE1CD5"/>
    <w:rsid w:val="0CD7348F"/>
    <w:rsid w:val="0CF37E72"/>
    <w:rsid w:val="0D0920BD"/>
    <w:rsid w:val="0D470EA5"/>
    <w:rsid w:val="0D7C0F42"/>
    <w:rsid w:val="0DA628B0"/>
    <w:rsid w:val="0DB3409F"/>
    <w:rsid w:val="0E43752E"/>
    <w:rsid w:val="0E656E83"/>
    <w:rsid w:val="0E822601"/>
    <w:rsid w:val="0F90631C"/>
    <w:rsid w:val="10230B6D"/>
    <w:rsid w:val="10375178"/>
    <w:rsid w:val="110216BA"/>
    <w:rsid w:val="110E078B"/>
    <w:rsid w:val="115C6B0E"/>
    <w:rsid w:val="1188535C"/>
    <w:rsid w:val="11E60DE1"/>
    <w:rsid w:val="11E659BD"/>
    <w:rsid w:val="121C17C0"/>
    <w:rsid w:val="127C4DBC"/>
    <w:rsid w:val="127F0FBA"/>
    <w:rsid w:val="12A25472"/>
    <w:rsid w:val="13405DEA"/>
    <w:rsid w:val="13611AA6"/>
    <w:rsid w:val="13A55207"/>
    <w:rsid w:val="13EB044B"/>
    <w:rsid w:val="141A5EAB"/>
    <w:rsid w:val="145F3F63"/>
    <w:rsid w:val="15477E03"/>
    <w:rsid w:val="1573562B"/>
    <w:rsid w:val="15BD2311"/>
    <w:rsid w:val="15F76613"/>
    <w:rsid w:val="162B0FD3"/>
    <w:rsid w:val="162F07B1"/>
    <w:rsid w:val="165A18B8"/>
    <w:rsid w:val="165B0359"/>
    <w:rsid w:val="1668143E"/>
    <w:rsid w:val="16936681"/>
    <w:rsid w:val="16AE1DDF"/>
    <w:rsid w:val="16B87679"/>
    <w:rsid w:val="16B919AA"/>
    <w:rsid w:val="16DB49B9"/>
    <w:rsid w:val="17C67FA8"/>
    <w:rsid w:val="17DB546F"/>
    <w:rsid w:val="17E54A34"/>
    <w:rsid w:val="17F706C0"/>
    <w:rsid w:val="18074141"/>
    <w:rsid w:val="181E495C"/>
    <w:rsid w:val="1830159B"/>
    <w:rsid w:val="18700F1F"/>
    <w:rsid w:val="18716994"/>
    <w:rsid w:val="188449CB"/>
    <w:rsid w:val="188B651C"/>
    <w:rsid w:val="193C29C9"/>
    <w:rsid w:val="1979677A"/>
    <w:rsid w:val="19FC19C3"/>
    <w:rsid w:val="1A361CF4"/>
    <w:rsid w:val="1A5C1C7C"/>
    <w:rsid w:val="1A5E1FF0"/>
    <w:rsid w:val="1A7C541F"/>
    <w:rsid w:val="1AB14F5C"/>
    <w:rsid w:val="1AC17052"/>
    <w:rsid w:val="1AE87C1D"/>
    <w:rsid w:val="1B34092A"/>
    <w:rsid w:val="1B833A21"/>
    <w:rsid w:val="1B8D003A"/>
    <w:rsid w:val="1BA26C17"/>
    <w:rsid w:val="1BA8380B"/>
    <w:rsid w:val="1BC544EB"/>
    <w:rsid w:val="1C0302FC"/>
    <w:rsid w:val="1C1129AF"/>
    <w:rsid w:val="1C735482"/>
    <w:rsid w:val="1CBE7559"/>
    <w:rsid w:val="1CFD0FC4"/>
    <w:rsid w:val="1D17405F"/>
    <w:rsid w:val="1D345463"/>
    <w:rsid w:val="1D41685C"/>
    <w:rsid w:val="1D5A1D9B"/>
    <w:rsid w:val="1D5E37ED"/>
    <w:rsid w:val="1D72325E"/>
    <w:rsid w:val="1D7D70BC"/>
    <w:rsid w:val="1E7352C5"/>
    <w:rsid w:val="1E892D3B"/>
    <w:rsid w:val="1EB853CE"/>
    <w:rsid w:val="1F841754"/>
    <w:rsid w:val="1F872F41"/>
    <w:rsid w:val="1F95324E"/>
    <w:rsid w:val="1FBA6F24"/>
    <w:rsid w:val="1FBE4C66"/>
    <w:rsid w:val="1FC14389"/>
    <w:rsid w:val="1FFE32B4"/>
    <w:rsid w:val="209A79B4"/>
    <w:rsid w:val="21226569"/>
    <w:rsid w:val="212C07B2"/>
    <w:rsid w:val="21A73454"/>
    <w:rsid w:val="21AE02D7"/>
    <w:rsid w:val="21B36919"/>
    <w:rsid w:val="21C37136"/>
    <w:rsid w:val="22001566"/>
    <w:rsid w:val="22A031DB"/>
    <w:rsid w:val="22A36CEB"/>
    <w:rsid w:val="234E3E91"/>
    <w:rsid w:val="237A70F6"/>
    <w:rsid w:val="23AB62D5"/>
    <w:rsid w:val="242272D9"/>
    <w:rsid w:val="24917575"/>
    <w:rsid w:val="24985E00"/>
    <w:rsid w:val="24CF3471"/>
    <w:rsid w:val="25882E37"/>
    <w:rsid w:val="26332E9A"/>
    <w:rsid w:val="26575DEE"/>
    <w:rsid w:val="267F75A2"/>
    <w:rsid w:val="2692412D"/>
    <w:rsid w:val="26FD0044"/>
    <w:rsid w:val="27822A1D"/>
    <w:rsid w:val="27893DAB"/>
    <w:rsid w:val="27C50694"/>
    <w:rsid w:val="27D547E6"/>
    <w:rsid w:val="27D95EEB"/>
    <w:rsid w:val="28285372"/>
    <w:rsid w:val="28650375"/>
    <w:rsid w:val="29346851"/>
    <w:rsid w:val="294216F3"/>
    <w:rsid w:val="297E7214"/>
    <w:rsid w:val="29BA649E"/>
    <w:rsid w:val="29E07CC6"/>
    <w:rsid w:val="2AA54C8B"/>
    <w:rsid w:val="2AE5579D"/>
    <w:rsid w:val="2BD0674D"/>
    <w:rsid w:val="2BF77632"/>
    <w:rsid w:val="2C081F40"/>
    <w:rsid w:val="2C090090"/>
    <w:rsid w:val="2C44775D"/>
    <w:rsid w:val="2C583A79"/>
    <w:rsid w:val="2C5C5E39"/>
    <w:rsid w:val="2C685340"/>
    <w:rsid w:val="2CAD1E3D"/>
    <w:rsid w:val="2D1C44A0"/>
    <w:rsid w:val="2D460049"/>
    <w:rsid w:val="2D6968DB"/>
    <w:rsid w:val="2E073C7C"/>
    <w:rsid w:val="2E505623"/>
    <w:rsid w:val="2E90358D"/>
    <w:rsid w:val="2EB37960"/>
    <w:rsid w:val="2ECE1ED9"/>
    <w:rsid w:val="2F647764"/>
    <w:rsid w:val="2F682405"/>
    <w:rsid w:val="2FEE690D"/>
    <w:rsid w:val="3011493E"/>
    <w:rsid w:val="30336E16"/>
    <w:rsid w:val="307429C4"/>
    <w:rsid w:val="30934920"/>
    <w:rsid w:val="309C4B4F"/>
    <w:rsid w:val="30A20C57"/>
    <w:rsid w:val="30A469D1"/>
    <w:rsid w:val="30D46D44"/>
    <w:rsid w:val="30DB411A"/>
    <w:rsid w:val="310C69F0"/>
    <w:rsid w:val="31244B45"/>
    <w:rsid w:val="31966AFF"/>
    <w:rsid w:val="320F092B"/>
    <w:rsid w:val="32133959"/>
    <w:rsid w:val="324A347A"/>
    <w:rsid w:val="32555B41"/>
    <w:rsid w:val="32D06317"/>
    <w:rsid w:val="32E56386"/>
    <w:rsid w:val="339715FE"/>
    <w:rsid w:val="33A1247D"/>
    <w:rsid w:val="33DB5D9A"/>
    <w:rsid w:val="33E83C08"/>
    <w:rsid w:val="34003381"/>
    <w:rsid w:val="340B0C91"/>
    <w:rsid w:val="34BB7AFC"/>
    <w:rsid w:val="35284F2C"/>
    <w:rsid w:val="352F4F4B"/>
    <w:rsid w:val="35442F6F"/>
    <w:rsid w:val="356D58FE"/>
    <w:rsid w:val="357E6504"/>
    <w:rsid w:val="3629174A"/>
    <w:rsid w:val="36687924"/>
    <w:rsid w:val="369B1405"/>
    <w:rsid w:val="36B811E1"/>
    <w:rsid w:val="36E96615"/>
    <w:rsid w:val="371708EF"/>
    <w:rsid w:val="37773C20"/>
    <w:rsid w:val="37A367C3"/>
    <w:rsid w:val="37C03E94"/>
    <w:rsid w:val="37D00B7F"/>
    <w:rsid w:val="37D07D46"/>
    <w:rsid w:val="382734B8"/>
    <w:rsid w:val="384D72A5"/>
    <w:rsid w:val="38666A2F"/>
    <w:rsid w:val="387408DE"/>
    <w:rsid w:val="38BD4A42"/>
    <w:rsid w:val="38F76827"/>
    <w:rsid w:val="39355B41"/>
    <w:rsid w:val="393E28D8"/>
    <w:rsid w:val="39DD73CD"/>
    <w:rsid w:val="39EB3A2B"/>
    <w:rsid w:val="39F73A55"/>
    <w:rsid w:val="3A077F84"/>
    <w:rsid w:val="3A1B1FAC"/>
    <w:rsid w:val="3A35391F"/>
    <w:rsid w:val="3A40479E"/>
    <w:rsid w:val="3A7C5D33"/>
    <w:rsid w:val="3AA35215"/>
    <w:rsid w:val="3B7D4A11"/>
    <w:rsid w:val="3B937CAE"/>
    <w:rsid w:val="3B9E2672"/>
    <w:rsid w:val="3C60319D"/>
    <w:rsid w:val="3CC94B8C"/>
    <w:rsid w:val="3CDF1D1D"/>
    <w:rsid w:val="3D193084"/>
    <w:rsid w:val="3D486DED"/>
    <w:rsid w:val="3D8A3F82"/>
    <w:rsid w:val="3DB37034"/>
    <w:rsid w:val="3DD72627"/>
    <w:rsid w:val="3DDD337C"/>
    <w:rsid w:val="3E1C5138"/>
    <w:rsid w:val="3E603E34"/>
    <w:rsid w:val="3E8F40F8"/>
    <w:rsid w:val="3EB26D2F"/>
    <w:rsid w:val="3F163D1F"/>
    <w:rsid w:val="3F66517D"/>
    <w:rsid w:val="3F95226A"/>
    <w:rsid w:val="3FF27259"/>
    <w:rsid w:val="406F7D1C"/>
    <w:rsid w:val="4089752F"/>
    <w:rsid w:val="409259A5"/>
    <w:rsid w:val="40DF481A"/>
    <w:rsid w:val="41056B99"/>
    <w:rsid w:val="413A1D8C"/>
    <w:rsid w:val="417A3ED0"/>
    <w:rsid w:val="41BB5AD4"/>
    <w:rsid w:val="41CE2FC4"/>
    <w:rsid w:val="420D19CA"/>
    <w:rsid w:val="42177886"/>
    <w:rsid w:val="426250F5"/>
    <w:rsid w:val="42B51347"/>
    <w:rsid w:val="43362BE2"/>
    <w:rsid w:val="43385E18"/>
    <w:rsid w:val="433A3D54"/>
    <w:rsid w:val="434F3BB3"/>
    <w:rsid w:val="43615785"/>
    <w:rsid w:val="436E42B9"/>
    <w:rsid w:val="436F437F"/>
    <w:rsid w:val="43BB6C43"/>
    <w:rsid w:val="448404AA"/>
    <w:rsid w:val="44894F93"/>
    <w:rsid w:val="448A4339"/>
    <w:rsid w:val="44F52628"/>
    <w:rsid w:val="456511EB"/>
    <w:rsid w:val="45805106"/>
    <w:rsid w:val="45D60869"/>
    <w:rsid w:val="45D60F56"/>
    <w:rsid w:val="4605689B"/>
    <w:rsid w:val="464A7D2C"/>
    <w:rsid w:val="466B289F"/>
    <w:rsid w:val="470360F8"/>
    <w:rsid w:val="47300E47"/>
    <w:rsid w:val="474D6E84"/>
    <w:rsid w:val="47A038CE"/>
    <w:rsid w:val="47AD2D46"/>
    <w:rsid w:val="47D66751"/>
    <w:rsid w:val="47DB717B"/>
    <w:rsid w:val="4847774B"/>
    <w:rsid w:val="48AF2D25"/>
    <w:rsid w:val="491D214E"/>
    <w:rsid w:val="497E7846"/>
    <w:rsid w:val="499D12D0"/>
    <w:rsid w:val="4A3575A3"/>
    <w:rsid w:val="4A5D6CA6"/>
    <w:rsid w:val="4A884BA4"/>
    <w:rsid w:val="4AC038E8"/>
    <w:rsid w:val="4AC20348"/>
    <w:rsid w:val="4AED1D28"/>
    <w:rsid w:val="4AFF5FAF"/>
    <w:rsid w:val="4B4F092F"/>
    <w:rsid w:val="4BF70DD7"/>
    <w:rsid w:val="4C003366"/>
    <w:rsid w:val="4C10190F"/>
    <w:rsid w:val="4C162B64"/>
    <w:rsid w:val="4CCB75A4"/>
    <w:rsid w:val="4CD465A1"/>
    <w:rsid w:val="4CF04A87"/>
    <w:rsid w:val="4D73213F"/>
    <w:rsid w:val="4D9D2C0C"/>
    <w:rsid w:val="4DD66678"/>
    <w:rsid w:val="4E0C1C3B"/>
    <w:rsid w:val="4E1C29D4"/>
    <w:rsid w:val="4E513007"/>
    <w:rsid w:val="4E9609D8"/>
    <w:rsid w:val="4F311BF0"/>
    <w:rsid w:val="4F7A6662"/>
    <w:rsid w:val="4FA42D09"/>
    <w:rsid w:val="50243DC2"/>
    <w:rsid w:val="51730B5D"/>
    <w:rsid w:val="52385326"/>
    <w:rsid w:val="52392202"/>
    <w:rsid w:val="527238E9"/>
    <w:rsid w:val="52B02227"/>
    <w:rsid w:val="52B94C95"/>
    <w:rsid w:val="52C3071B"/>
    <w:rsid w:val="52F27684"/>
    <w:rsid w:val="531719BC"/>
    <w:rsid w:val="531948D0"/>
    <w:rsid w:val="53603363"/>
    <w:rsid w:val="537F48F2"/>
    <w:rsid w:val="53BC2C8F"/>
    <w:rsid w:val="53C2401E"/>
    <w:rsid w:val="540D5230"/>
    <w:rsid w:val="54BC55D4"/>
    <w:rsid w:val="54C6369A"/>
    <w:rsid w:val="55445684"/>
    <w:rsid w:val="55853555"/>
    <w:rsid w:val="55AC6D33"/>
    <w:rsid w:val="55D93ECB"/>
    <w:rsid w:val="565B5BCD"/>
    <w:rsid w:val="5660442A"/>
    <w:rsid w:val="56876786"/>
    <w:rsid w:val="568E3CD8"/>
    <w:rsid w:val="56B66198"/>
    <w:rsid w:val="57574925"/>
    <w:rsid w:val="57C540DC"/>
    <w:rsid w:val="57FC092C"/>
    <w:rsid w:val="587A4EC7"/>
    <w:rsid w:val="58832608"/>
    <w:rsid w:val="58A106A5"/>
    <w:rsid w:val="59484FC5"/>
    <w:rsid w:val="596B70D2"/>
    <w:rsid w:val="598234EE"/>
    <w:rsid w:val="59DC2D2C"/>
    <w:rsid w:val="59DD2386"/>
    <w:rsid w:val="59E720E8"/>
    <w:rsid w:val="5A087064"/>
    <w:rsid w:val="5A772B36"/>
    <w:rsid w:val="5AA9244D"/>
    <w:rsid w:val="5AC32B55"/>
    <w:rsid w:val="5B174492"/>
    <w:rsid w:val="5B5E0B79"/>
    <w:rsid w:val="5B614D5D"/>
    <w:rsid w:val="5BB45A87"/>
    <w:rsid w:val="5BD32D6E"/>
    <w:rsid w:val="5BEB2893"/>
    <w:rsid w:val="5C125DCA"/>
    <w:rsid w:val="5C494FE8"/>
    <w:rsid w:val="5C4E5B28"/>
    <w:rsid w:val="5C6232FA"/>
    <w:rsid w:val="5C714976"/>
    <w:rsid w:val="5D2878AE"/>
    <w:rsid w:val="5D8F5802"/>
    <w:rsid w:val="5D930E12"/>
    <w:rsid w:val="5E111E29"/>
    <w:rsid w:val="5E3475C9"/>
    <w:rsid w:val="5EAB402C"/>
    <w:rsid w:val="5ED04E1A"/>
    <w:rsid w:val="5EE50805"/>
    <w:rsid w:val="5F0E6369"/>
    <w:rsid w:val="5F176321"/>
    <w:rsid w:val="5F5923D9"/>
    <w:rsid w:val="5F5A7800"/>
    <w:rsid w:val="5F5E4F33"/>
    <w:rsid w:val="5F7A39FE"/>
    <w:rsid w:val="5F7B0B86"/>
    <w:rsid w:val="5FB52C88"/>
    <w:rsid w:val="5FBB04FC"/>
    <w:rsid w:val="6005151A"/>
    <w:rsid w:val="60A401B6"/>
    <w:rsid w:val="60CB5DA4"/>
    <w:rsid w:val="61120EE9"/>
    <w:rsid w:val="613428CF"/>
    <w:rsid w:val="61380253"/>
    <w:rsid w:val="61757B6A"/>
    <w:rsid w:val="618F47FF"/>
    <w:rsid w:val="61DC62AA"/>
    <w:rsid w:val="62024FA2"/>
    <w:rsid w:val="622F287E"/>
    <w:rsid w:val="62EC489F"/>
    <w:rsid w:val="62F93DBA"/>
    <w:rsid w:val="631E4569"/>
    <w:rsid w:val="63C60FC0"/>
    <w:rsid w:val="641E7D88"/>
    <w:rsid w:val="642C0F11"/>
    <w:rsid w:val="645E3993"/>
    <w:rsid w:val="64A528A5"/>
    <w:rsid w:val="64ED07CF"/>
    <w:rsid w:val="64F23D5B"/>
    <w:rsid w:val="650E1412"/>
    <w:rsid w:val="65954DF0"/>
    <w:rsid w:val="65A00A66"/>
    <w:rsid w:val="66262E1D"/>
    <w:rsid w:val="666359E7"/>
    <w:rsid w:val="676C6322"/>
    <w:rsid w:val="67E75CF4"/>
    <w:rsid w:val="67E95C0D"/>
    <w:rsid w:val="680447AD"/>
    <w:rsid w:val="68E343C2"/>
    <w:rsid w:val="6920699E"/>
    <w:rsid w:val="69230C63"/>
    <w:rsid w:val="699C6C74"/>
    <w:rsid w:val="6A0D631B"/>
    <w:rsid w:val="6A452A79"/>
    <w:rsid w:val="6A4A0AE2"/>
    <w:rsid w:val="6A6E375C"/>
    <w:rsid w:val="6AB57FE0"/>
    <w:rsid w:val="6B435A8F"/>
    <w:rsid w:val="6B5605DC"/>
    <w:rsid w:val="6B6059F0"/>
    <w:rsid w:val="6BF951C8"/>
    <w:rsid w:val="6C515AE7"/>
    <w:rsid w:val="6C854C19"/>
    <w:rsid w:val="6CEA21C3"/>
    <w:rsid w:val="6D6E0D7F"/>
    <w:rsid w:val="6DCA3150"/>
    <w:rsid w:val="6DE9448B"/>
    <w:rsid w:val="6E076DA5"/>
    <w:rsid w:val="6E353408"/>
    <w:rsid w:val="6E7312AF"/>
    <w:rsid w:val="6EE41E7B"/>
    <w:rsid w:val="6EFF5CCE"/>
    <w:rsid w:val="6F293238"/>
    <w:rsid w:val="6F3F5F84"/>
    <w:rsid w:val="6F6A0A78"/>
    <w:rsid w:val="700E6396"/>
    <w:rsid w:val="705D2827"/>
    <w:rsid w:val="707C46F1"/>
    <w:rsid w:val="70DA254F"/>
    <w:rsid w:val="717E5165"/>
    <w:rsid w:val="71A86FD3"/>
    <w:rsid w:val="71BD15A5"/>
    <w:rsid w:val="721E646B"/>
    <w:rsid w:val="727442DD"/>
    <w:rsid w:val="72760055"/>
    <w:rsid w:val="73492604"/>
    <w:rsid w:val="73CB2D80"/>
    <w:rsid w:val="752B4572"/>
    <w:rsid w:val="7548286D"/>
    <w:rsid w:val="75796F24"/>
    <w:rsid w:val="7599464B"/>
    <w:rsid w:val="759A47B9"/>
    <w:rsid w:val="75AE2504"/>
    <w:rsid w:val="773F2103"/>
    <w:rsid w:val="77785EA7"/>
    <w:rsid w:val="778B6351"/>
    <w:rsid w:val="78BD69BB"/>
    <w:rsid w:val="78E475D3"/>
    <w:rsid w:val="79090A8A"/>
    <w:rsid w:val="791145E2"/>
    <w:rsid w:val="791E3C29"/>
    <w:rsid w:val="79294073"/>
    <w:rsid w:val="79502A72"/>
    <w:rsid w:val="796926C2"/>
    <w:rsid w:val="796D40A2"/>
    <w:rsid w:val="799A7BDC"/>
    <w:rsid w:val="79C9431B"/>
    <w:rsid w:val="7A936ECD"/>
    <w:rsid w:val="7AD1051F"/>
    <w:rsid w:val="7AEF46D7"/>
    <w:rsid w:val="7B17669C"/>
    <w:rsid w:val="7B3F45C1"/>
    <w:rsid w:val="7B7F3C63"/>
    <w:rsid w:val="7B8B2DC3"/>
    <w:rsid w:val="7B9572F7"/>
    <w:rsid w:val="7BDC6AB6"/>
    <w:rsid w:val="7C6B49A3"/>
    <w:rsid w:val="7CCE522E"/>
    <w:rsid w:val="7CE87C76"/>
    <w:rsid w:val="7D09792E"/>
    <w:rsid w:val="7D1017C4"/>
    <w:rsid w:val="7D617100"/>
    <w:rsid w:val="7D913F95"/>
    <w:rsid w:val="7EA30424"/>
    <w:rsid w:val="7ECA7843"/>
    <w:rsid w:val="7F23669E"/>
    <w:rsid w:val="7F3D2627"/>
    <w:rsid w:val="7F6A1EDE"/>
    <w:rsid w:val="7F8F696C"/>
    <w:rsid w:val="7FC806CB"/>
    <w:rsid w:val="7FDB4E5E"/>
    <w:rsid w:val="7FF17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numPr>
        <w:ilvl w:val="2"/>
        <w:numId w:val="1"/>
      </w:numPr>
      <w:adjustRightInd w:val="0"/>
      <w:spacing w:before="160" w:beforeLines="0" w:after="160" w:afterLines="0" w:line="160" w:lineRule="atLeast"/>
      <w:ind w:hanging="284"/>
      <w:textAlignment w:val="baseline"/>
      <w:outlineLvl w:val="2"/>
    </w:pPr>
    <w:rPr>
      <w:rFonts w:ascii="Ari" w:eastAsia="Ari"/>
      <w:kern w:val="0"/>
      <w:sz w:val="28"/>
      <w:szCs w:val="20"/>
    </w:rPr>
  </w:style>
  <w:style w:type="paragraph" w:styleId="5">
    <w:name w:val="heading 4"/>
    <w:basedOn w:val="1"/>
    <w:next w:val="1"/>
    <w:qFormat/>
    <w:uiPriority w:val="1"/>
    <w:pPr>
      <w:spacing w:before="58"/>
      <w:ind w:left="1"/>
      <w:jc w:val="center"/>
      <w:outlineLvl w:val="4"/>
    </w:pPr>
    <w:rPr>
      <w:rFonts w:ascii="宋体" w:hAnsi="宋体" w:eastAsia="宋体" w:cs="宋体"/>
      <w:b/>
      <w:bCs/>
      <w:sz w:val="30"/>
      <w:szCs w:val="30"/>
      <w:lang w:val="zh-CN" w:eastAsia="zh-CN" w:bidi="zh-CN"/>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index 8"/>
    <w:basedOn w:val="1"/>
    <w:next w:val="1"/>
    <w:unhideWhenUsed/>
    <w:qFormat/>
    <w:uiPriority w:val="99"/>
    <w:pPr>
      <w:ind w:left="1400" w:leftChars="1400"/>
    </w:pPr>
  </w:style>
  <w:style w:type="paragraph" w:styleId="7">
    <w:name w:val="Normal Indent"/>
    <w:basedOn w:val="1"/>
    <w:next w:val="8"/>
    <w:qFormat/>
    <w:uiPriority w:val="0"/>
    <w:pPr>
      <w:ind w:firstLine="420"/>
    </w:pPr>
    <w:rPr>
      <w:kern w:val="0"/>
      <w:sz w:val="20"/>
      <w:szCs w:val="20"/>
    </w:rPr>
  </w:style>
  <w:style w:type="paragraph" w:styleId="8">
    <w:name w:val="Body Text 2"/>
    <w:basedOn w:val="1"/>
    <w:qFormat/>
    <w:uiPriority w:val="0"/>
    <w:pPr>
      <w:spacing w:line="480" w:lineRule="auto"/>
    </w:pPr>
    <w:rPr>
      <w:sz w:val="21"/>
    </w:rPr>
  </w:style>
  <w:style w:type="paragraph" w:styleId="9">
    <w:name w:val="caption"/>
    <w:basedOn w:val="1"/>
    <w:next w:val="1"/>
    <w:qFormat/>
    <w:uiPriority w:val="0"/>
    <w:rPr>
      <w:rFonts w:ascii="Cambria" w:hAnsi="Cambria" w:eastAsia="黑体" w:cs="Times New Roman"/>
      <w:sz w:val="20"/>
      <w:szCs w:val="20"/>
    </w:rPr>
  </w:style>
  <w:style w:type="paragraph" w:styleId="10">
    <w:name w:val="index 5"/>
    <w:basedOn w:val="1"/>
    <w:next w:val="1"/>
    <w:unhideWhenUsed/>
    <w:qFormat/>
    <w:uiPriority w:val="99"/>
    <w:pPr>
      <w:ind w:left="800" w:leftChars="800"/>
    </w:pPr>
  </w:style>
  <w:style w:type="paragraph" w:styleId="11">
    <w:name w:val="annotation text"/>
    <w:basedOn w:val="1"/>
    <w:qFormat/>
    <w:uiPriority w:val="0"/>
    <w:pPr>
      <w:jc w:val="left"/>
    </w:pPr>
  </w:style>
  <w:style w:type="paragraph" w:styleId="12">
    <w:name w:val="Body Text"/>
    <w:basedOn w:val="1"/>
    <w:next w:val="1"/>
    <w:qFormat/>
    <w:uiPriority w:val="1"/>
    <w:rPr>
      <w:rFonts w:ascii="宋体" w:hAnsi="宋体" w:eastAsia="宋体" w:cs="宋体"/>
      <w:sz w:val="21"/>
      <w:szCs w:val="21"/>
      <w:lang w:val="zh-CN" w:eastAsia="zh-CN" w:bidi="zh-CN"/>
    </w:rPr>
  </w:style>
  <w:style w:type="paragraph" w:styleId="13">
    <w:name w:val="Body Text Indent"/>
    <w:basedOn w:val="1"/>
    <w:next w:val="1"/>
    <w:qFormat/>
    <w:uiPriority w:val="0"/>
    <w:pPr>
      <w:spacing w:line="312" w:lineRule="auto"/>
      <w:ind w:firstLine="735" w:firstLineChars="245"/>
    </w:pPr>
  </w:style>
  <w:style w:type="paragraph" w:styleId="14">
    <w:name w:val="Plain Text"/>
    <w:basedOn w:val="1"/>
    <w:next w:val="12"/>
    <w:qFormat/>
    <w:uiPriority w:val="0"/>
    <w:rPr>
      <w:rFonts w:ascii="宋体" w:hAnsi="Courier New"/>
      <w:szCs w:val="20"/>
    </w:rPr>
  </w:style>
  <w:style w:type="paragraph" w:styleId="15">
    <w:name w:val="Date"/>
    <w:basedOn w:val="1"/>
    <w:next w:val="1"/>
    <w:qFormat/>
    <w:uiPriority w:val="0"/>
    <w:pPr>
      <w:ind w:left="100" w:leftChars="2500"/>
    </w:pPr>
  </w:style>
  <w:style w:type="paragraph" w:styleId="16">
    <w:name w:val="footer"/>
    <w:basedOn w:val="1"/>
    <w:qFormat/>
    <w:uiPriority w:val="0"/>
    <w:pPr>
      <w:tabs>
        <w:tab w:val="center" w:pos="4153"/>
        <w:tab w:val="right" w:pos="8306"/>
      </w:tabs>
      <w:snapToGrid w:val="0"/>
      <w:jc w:val="left"/>
    </w:pPr>
    <w:rPr>
      <w:sz w:val="18"/>
    </w:rPr>
  </w:style>
  <w:style w:type="paragraph" w:styleId="17">
    <w:name w:val="envelope return"/>
    <w:basedOn w:val="1"/>
    <w:unhideWhenUsed/>
    <w:qFormat/>
    <w:uiPriority w:val="99"/>
    <w:pPr>
      <w:snapToGrid w:val="0"/>
    </w:pPr>
    <w:rPr>
      <w:rFonts w:ascii="Arial" w:hAnsi="Arial"/>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Subtitle"/>
    <w:basedOn w:val="1"/>
    <w:next w:val="1"/>
    <w:qFormat/>
    <w:uiPriority w:val="0"/>
    <w:pPr>
      <w:jc w:val="left"/>
      <w:outlineLvl w:val="1"/>
    </w:pPr>
    <w:rPr>
      <w:rFonts w:ascii="Cambria" w:hAnsi="Cambria"/>
      <w:b/>
      <w:bCs/>
      <w:kern w:val="28"/>
      <w:szCs w:val="32"/>
    </w:rPr>
  </w:style>
  <w:style w:type="paragraph" w:styleId="21">
    <w:name w:val="Body Text Indent 3"/>
    <w:basedOn w:val="1"/>
    <w:next w:val="1"/>
    <w:qFormat/>
    <w:uiPriority w:val="0"/>
    <w:pPr>
      <w:spacing w:line="360" w:lineRule="auto"/>
      <w:ind w:firstLine="420"/>
    </w:pPr>
    <w:rPr>
      <w:sz w:val="24"/>
      <w:szCs w:val="20"/>
    </w:rPr>
  </w:style>
  <w:style w:type="paragraph" w:styleId="22">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23">
    <w:name w:val="Body Text First Indent"/>
    <w:basedOn w:val="12"/>
    <w:next w:val="1"/>
    <w:qFormat/>
    <w:uiPriority w:val="0"/>
    <w:pPr>
      <w:widowControl w:val="0"/>
      <w:spacing w:before="0" w:after="120"/>
      <w:ind w:left="0" w:right="0" w:firstLine="420" w:firstLineChars="100"/>
      <w:jc w:val="both"/>
    </w:pPr>
    <w:rPr>
      <w:rFonts w:ascii="Calibri" w:hAnsi="Calibri" w:eastAsia="宋体" w:cs="Times New Roman"/>
      <w:kern w:val="2"/>
      <w:sz w:val="21"/>
      <w:szCs w:val="20"/>
      <w:lang w:val="en-US" w:eastAsia="zh-CN" w:bidi="ar-SA"/>
    </w:rPr>
  </w:style>
  <w:style w:type="paragraph" w:styleId="24">
    <w:name w:val="Body Text First Indent 2"/>
    <w:basedOn w:val="13"/>
    <w:next w:val="1"/>
    <w:qFormat/>
    <w:uiPriority w:val="0"/>
    <w:pPr>
      <w:spacing w:after="120" w:line="240" w:lineRule="auto"/>
      <w:ind w:left="420" w:leftChars="200"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qFormat/>
    <w:uiPriority w:val="0"/>
    <w:rPr>
      <w:color w:val="5C5C5C"/>
      <w:u w:val="none"/>
    </w:rPr>
  </w:style>
  <w:style w:type="character" w:styleId="31">
    <w:name w:val="Emphasis"/>
    <w:basedOn w:val="27"/>
    <w:qFormat/>
    <w:uiPriority w:val="0"/>
    <w:rPr>
      <w:b/>
      <w:bCs/>
    </w:rPr>
  </w:style>
  <w:style w:type="character" w:styleId="32">
    <w:name w:val="HTML Definition"/>
    <w:basedOn w:val="27"/>
    <w:qFormat/>
    <w:uiPriority w:val="0"/>
  </w:style>
  <w:style w:type="character" w:styleId="33">
    <w:name w:val="HTML Typewriter"/>
    <w:basedOn w:val="27"/>
    <w:qFormat/>
    <w:uiPriority w:val="0"/>
    <w:rPr>
      <w:rFonts w:hint="default" w:ascii="monospace" w:hAnsi="monospace" w:eastAsia="monospace" w:cs="monospace"/>
      <w:sz w:val="20"/>
    </w:rPr>
  </w:style>
  <w:style w:type="character" w:styleId="34">
    <w:name w:val="HTML Acronym"/>
    <w:basedOn w:val="27"/>
    <w:qFormat/>
    <w:uiPriority w:val="0"/>
  </w:style>
  <w:style w:type="character" w:styleId="35">
    <w:name w:val="HTML Variable"/>
    <w:basedOn w:val="27"/>
    <w:qFormat/>
    <w:uiPriority w:val="0"/>
  </w:style>
  <w:style w:type="character" w:styleId="36">
    <w:name w:val="Hyperlink"/>
    <w:basedOn w:val="27"/>
    <w:qFormat/>
    <w:uiPriority w:val="0"/>
    <w:rPr>
      <w:color w:val="5C5C5C"/>
      <w:u w:val="none"/>
    </w:rPr>
  </w:style>
  <w:style w:type="character" w:styleId="37">
    <w:name w:val="HTML Code"/>
    <w:basedOn w:val="27"/>
    <w:qFormat/>
    <w:uiPriority w:val="0"/>
    <w:rPr>
      <w:rFonts w:hint="default" w:ascii="monospace" w:hAnsi="monospace" w:eastAsia="monospace" w:cs="monospace"/>
      <w:sz w:val="20"/>
    </w:rPr>
  </w:style>
  <w:style w:type="character" w:styleId="38">
    <w:name w:val="HTML Cite"/>
    <w:basedOn w:val="27"/>
    <w:qFormat/>
    <w:uiPriority w:val="0"/>
  </w:style>
  <w:style w:type="character" w:styleId="39">
    <w:name w:val="HTML Keyboard"/>
    <w:basedOn w:val="27"/>
    <w:qFormat/>
    <w:uiPriority w:val="0"/>
    <w:rPr>
      <w:rFonts w:hint="default" w:ascii="monospace" w:hAnsi="monospace" w:eastAsia="monospace" w:cs="monospace"/>
      <w:sz w:val="20"/>
    </w:rPr>
  </w:style>
  <w:style w:type="character" w:styleId="40">
    <w:name w:val="HTML Sample"/>
    <w:basedOn w:val="27"/>
    <w:qFormat/>
    <w:uiPriority w:val="0"/>
    <w:rPr>
      <w:rFonts w:ascii="monospace" w:hAnsi="monospace" w:eastAsia="monospace" w:cs="monospace"/>
    </w:rPr>
  </w:style>
  <w:style w:type="paragraph" w:customStyle="1" w:styleId="41">
    <w:name w:val="正文文本首行缩进1"/>
    <w:basedOn w:val="12"/>
    <w:next w:val="1"/>
    <w:qFormat/>
    <w:uiPriority w:val="0"/>
    <w:pPr>
      <w:autoSpaceDE w:val="0"/>
      <w:autoSpaceDN w:val="0"/>
      <w:adjustRightInd w:val="0"/>
      <w:spacing w:line="360" w:lineRule="auto"/>
      <w:ind w:firstLine="420" w:firstLineChars="200"/>
    </w:pPr>
    <w:rPr>
      <w:rFonts w:ascii="Arial" w:hAnsi="Arial"/>
      <w:kern w:val="0"/>
      <w:sz w:val="20"/>
    </w:rPr>
  </w:style>
  <w:style w:type="paragraph" w:customStyle="1" w:styleId="42">
    <w:name w:val="样式 正文首行缩进 2 + Arial"/>
    <w:basedOn w:val="1"/>
    <w:next w:val="1"/>
    <w:qFormat/>
    <w:uiPriority w:val="0"/>
    <w:pPr>
      <w:spacing w:after="120" w:line="320" w:lineRule="atLeast"/>
      <w:ind w:firstLine="200" w:firstLineChars="200"/>
    </w:pPr>
    <w:rPr>
      <w:rFonts w:ascii="Arial" w:hAnsi="Arial" w:eastAsia="宋体" w:cs="Times New Roman"/>
      <w:kern w:val="0"/>
      <w:sz w:val="20"/>
      <w:szCs w:val="24"/>
    </w:rPr>
  </w:style>
  <w:style w:type="paragraph" w:customStyle="1" w:styleId="43">
    <w:name w:val="样式 样式 行距: 1.5 倍行距 + 首行缩进:  2 字符"/>
    <w:next w:val="12"/>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44">
    <w:name w:val="BodyText1I"/>
    <w:basedOn w:val="45"/>
    <w:qFormat/>
    <w:uiPriority w:val="0"/>
    <w:pPr>
      <w:spacing w:line="360" w:lineRule="auto"/>
      <w:ind w:firstLine="420" w:firstLineChars="100"/>
      <w:jc w:val="both"/>
      <w:textAlignment w:val="baseline"/>
    </w:pPr>
    <w:rPr>
      <w:kern w:val="2"/>
      <w:sz w:val="21"/>
      <w:szCs w:val="24"/>
      <w:lang w:val="en-US" w:eastAsia="zh-CN" w:bidi="ar-SA"/>
    </w:rPr>
  </w:style>
  <w:style w:type="paragraph" w:customStyle="1" w:styleId="45">
    <w:name w:val="BodyText"/>
    <w:basedOn w:val="1"/>
    <w:qFormat/>
    <w:uiPriority w:val="0"/>
    <w:pPr>
      <w:spacing w:line="360" w:lineRule="auto"/>
      <w:jc w:val="both"/>
      <w:textAlignment w:val="baseline"/>
    </w:pPr>
    <w:rPr>
      <w:kern w:val="2"/>
      <w:sz w:val="24"/>
      <w:szCs w:val="24"/>
      <w:lang w:val="en-US" w:eastAsia="zh-CN" w:bidi="ar-SA"/>
    </w:rPr>
  </w:style>
  <w:style w:type="paragraph" w:customStyle="1" w:styleId="46">
    <w:name w:val="UserStyle_25"/>
    <w:basedOn w:val="47"/>
    <w:next w:val="48"/>
    <w:qFormat/>
    <w:uiPriority w:val="0"/>
    <w:pPr>
      <w:widowControl/>
      <w:spacing w:before="100" w:beforeAutospacing="1" w:after="100" w:afterAutospacing="1"/>
      <w:jc w:val="left"/>
      <w:textAlignment w:val="baseline"/>
    </w:pPr>
    <w:rPr>
      <w:rFonts w:ascii="宋体" w:hAnsi="宋体" w:eastAsia="宋体"/>
      <w:kern w:val="0"/>
      <w:sz w:val="18"/>
      <w:szCs w:val="18"/>
      <w:lang w:val="en-US" w:eastAsia="zh-CN" w:bidi="ar-SA"/>
    </w:rPr>
  </w:style>
  <w:style w:type="paragraph" w:customStyle="1" w:styleId="47">
    <w:name w:val="UserStyle_22"/>
    <w:next w:val="44"/>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48">
    <w:name w:val="UserStyle_29"/>
    <w:next w:val="1"/>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49">
    <w:name w:val="style4"/>
    <w:basedOn w:val="50"/>
    <w:next w:val="51"/>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正文1"/>
    <w:basedOn w:val="1"/>
    <w:next w:val="23"/>
    <w:qFormat/>
    <w:uiPriority w:val="0"/>
    <w:pPr>
      <w:adjustRightInd w:val="0"/>
      <w:spacing w:line="360" w:lineRule="atLeast"/>
      <w:jc w:val="left"/>
      <w:textAlignment w:val="baseline"/>
    </w:pPr>
    <w:rPr>
      <w:rFonts w:ascii="宋体" w:hAnsi="Times New Roman" w:eastAsia="宋体" w:cs="Times New Roman"/>
      <w:kern w:val="0"/>
      <w:sz w:val="24"/>
      <w:szCs w:val="20"/>
    </w:rPr>
  </w:style>
  <w:style w:type="paragraph" w:customStyle="1" w:styleId="51">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Default"/>
    <w:basedOn w:val="14"/>
    <w:next w:val="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3">
    <w:name w:val="Char Char10 Char Char Char Char"/>
    <w:basedOn w:val="1"/>
    <w:next w:val="54"/>
    <w:qFormat/>
    <w:uiPriority w:val="0"/>
    <w:rPr>
      <w:rFonts w:ascii="Calibri" w:hAnsi="Calibri"/>
      <w:kern w:val="0"/>
    </w:rPr>
  </w:style>
  <w:style w:type="paragraph" w:customStyle="1" w:styleId="54">
    <w:name w:val="xl87"/>
    <w:basedOn w:val="1"/>
    <w:next w:val="55"/>
    <w:qFormat/>
    <w:uiPriority w:val="0"/>
    <w:pPr>
      <w:widowControl/>
      <w:shd w:val="clear" w:color="FFFFFF" w:fill="FFFFFF"/>
      <w:spacing w:before="280" w:after="280"/>
      <w:jc w:val="right"/>
    </w:pPr>
    <w:rPr>
      <w:rFonts w:ascii="宋体" w:hAnsi="Calibri"/>
      <w:kern w:val="0"/>
      <w:sz w:val="24"/>
    </w:rPr>
  </w:style>
  <w:style w:type="paragraph" w:customStyle="1" w:styleId="55">
    <w:name w:val="xl72"/>
    <w:basedOn w:val="1"/>
    <w:next w:val="15"/>
    <w:qFormat/>
    <w:uiPriority w:val="0"/>
    <w:pPr>
      <w:widowControl/>
      <w:shd w:val="clear" w:color="FFFFFF" w:fill="FFFFFF"/>
      <w:spacing w:before="280" w:after="280"/>
      <w:jc w:val="right"/>
    </w:pPr>
    <w:rPr>
      <w:rFonts w:ascii="宋体" w:hAnsi="Calibri"/>
      <w:kern w:val="0"/>
      <w:sz w:val="24"/>
    </w:rPr>
  </w:style>
  <w:style w:type="paragraph" w:customStyle="1" w:styleId="56">
    <w:name w:val="正文_0"/>
    <w:next w:val="5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正文文本_0"/>
    <w:basedOn w:val="56"/>
    <w:unhideWhenUsed/>
    <w:qFormat/>
    <w:uiPriority w:val="99"/>
    <w:pPr>
      <w:spacing w:after="120"/>
    </w:pPr>
  </w:style>
  <w:style w:type="paragraph" w:customStyle="1" w:styleId="58">
    <w:name w:val="Table Paragraph"/>
    <w:basedOn w:val="1"/>
    <w:qFormat/>
    <w:uiPriority w:val="1"/>
    <w:rPr>
      <w:rFonts w:ascii="宋体" w:hAnsi="宋体" w:eastAsia="宋体" w:cs="宋体"/>
      <w:lang w:val="zh-CN" w:eastAsia="zh-CN" w:bidi="zh-CN"/>
    </w:rPr>
  </w:style>
  <w:style w:type="paragraph" w:styleId="59">
    <w:name w:val="List Paragraph"/>
    <w:basedOn w:val="1"/>
    <w:qFormat/>
    <w:uiPriority w:val="1"/>
    <w:pPr>
      <w:ind w:left="1802" w:firstLine="420"/>
    </w:pPr>
    <w:rPr>
      <w:rFonts w:ascii="宋体" w:hAnsi="宋体" w:eastAsia="宋体" w:cs="宋体"/>
      <w:lang w:val="zh-CN" w:eastAsia="zh-CN" w:bidi="zh-CN"/>
    </w:rPr>
  </w:style>
  <w:style w:type="character" w:customStyle="1" w:styleId="60">
    <w:name w:val="font01"/>
    <w:basedOn w:val="27"/>
    <w:qFormat/>
    <w:uiPriority w:val="0"/>
    <w:rPr>
      <w:rFonts w:hint="eastAsia" w:ascii="宋体" w:hAnsi="宋体" w:eastAsia="宋体" w:cs="宋体"/>
      <w:color w:val="FF0000"/>
      <w:sz w:val="22"/>
      <w:szCs w:val="22"/>
      <w:u w:val="none"/>
    </w:rPr>
  </w:style>
  <w:style w:type="paragraph" w:customStyle="1" w:styleId="61">
    <w:name w:val="WPSOffice手动目录 1"/>
    <w:qFormat/>
    <w:uiPriority w:val="0"/>
    <w:pPr>
      <w:ind w:leftChars="0"/>
    </w:pPr>
    <w:rPr>
      <w:rFonts w:asciiTheme="minorHAnsi" w:hAnsiTheme="minorHAnsi" w:eastAsiaTheme="minorEastAsia" w:cstheme="minorBidi"/>
      <w:sz w:val="20"/>
      <w:szCs w:val="20"/>
    </w:rPr>
  </w:style>
  <w:style w:type="paragraph" w:customStyle="1" w:styleId="62">
    <w:name w:val="无间隔1"/>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纯文本1"/>
    <w:basedOn w:val="1"/>
    <w:qFormat/>
    <w:uiPriority w:val="99"/>
    <w:rPr>
      <w:rFonts w:hAnsi="Courier New" w:cs="Courier New"/>
    </w:rPr>
  </w:style>
  <w:style w:type="paragraph" w:customStyle="1" w:styleId="64">
    <w:name w:val="BodyText1I2"/>
    <w:basedOn w:val="65"/>
    <w:next w:val="66"/>
    <w:qFormat/>
    <w:uiPriority w:val="0"/>
    <w:pPr>
      <w:ind w:firstLine="420" w:firstLineChars="200"/>
    </w:pPr>
    <w:rPr>
      <w:rFonts w:ascii="Calibri" w:hAnsi="Calibri" w:eastAsia="楷体_GB2312"/>
      <w:kern w:val="44"/>
      <w:sz w:val="44"/>
    </w:rPr>
  </w:style>
  <w:style w:type="paragraph" w:customStyle="1" w:styleId="65">
    <w:name w:val="BodyTextIndent"/>
    <w:basedOn w:val="1"/>
    <w:qFormat/>
    <w:uiPriority w:val="0"/>
    <w:pPr>
      <w:spacing w:after="120"/>
      <w:ind w:left="420" w:leftChars="200"/>
    </w:pPr>
    <w:rPr>
      <w:rFonts w:ascii="Times New Roman" w:hAnsi="Times New Roman"/>
      <w:kern w:val="0"/>
      <w:sz w:val="20"/>
    </w:rPr>
  </w:style>
  <w:style w:type="paragraph" w:customStyle="1" w:styleId="66">
    <w:name w:val="UserStyle_136"/>
    <w:basedOn w:val="1"/>
    <w:next w:val="1"/>
    <w:qFormat/>
    <w:uiPriority w:val="0"/>
    <w:pPr>
      <w:spacing w:after="120" w:line="320" w:lineRule="atLeast"/>
      <w:ind w:firstLine="200" w:firstLineChars="200"/>
    </w:pPr>
    <w:rPr>
      <w:rFonts w:ascii="Arial" w:hAnsi="Arial"/>
      <w:kern w:val="0"/>
    </w:rPr>
  </w:style>
  <w:style w:type="paragraph" w:customStyle="1" w:styleId="67">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68">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sz w:val="24"/>
      <w:szCs w:val="20"/>
    </w:rPr>
  </w:style>
  <w:style w:type="paragraph" w:customStyle="1" w:styleId="69">
    <w:name w:val="样式 标题 2 + Times New Roman 四号 非加粗 段前: 5 磅 段后: 0 磅 行距: 固定值 20..."/>
    <w:basedOn w:val="3"/>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customStyle="1" w:styleId="70">
    <w:name w:val="Body text|1"/>
    <w:basedOn w:val="1"/>
    <w:qFormat/>
    <w:uiPriority w:val="0"/>
    <w:pPr>
      <w:widowControl w:val="0"/>
      <w:shd w:val="clear" w:color="auto" w:fill="auto"/>
      <w:spacing w:line="360" w:lineRule="auto"/>
      <w:ind w:firstLine="400"/>
    </w:pPr>
    <w:rPr>
      <w:rFonts w:ascii="MingLiU" w:hAnsi="MingLiU" w:eastAsia="MingLiU" w:cs="MingLiU"/>
      <w:sz w:val="19"/>
      <w:szCs w:val="19"/>
      <w:u w:val="none"/>
      <w:shd w:val="clear" w:color="auto" w:fill="auto"/>
      <w:lang w:val="zh-TW" w:eastAsia="zh-TW" w:bidi="zh-TW"/>
    </w:rPr>
  </w:style>
  <w:style w:type="paragraph" w:customStyle="1" w:styleId="7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正文_5_0"/>
    <w:qFormat/>
    <w:uiPriority w:val="0"/>
    <w:pPr>
      <w:widowControl w:val="0"/>
      <w:jc w:val="both"/>
    </w:pPr>
    <w:rPr>
      <w:rFonts w:ascii="Calibri" w:hAnsi="Calibri" w:eastAsia="宋体" w:cs="Times New Roman"/>
      <w:kern w:val="2"/>
      <w:sz w:val="21"/>
      <w:szCs w:val="24"/>
      <w:lang w:val="en-US" w:eastAsia="zh-CN" w:bidi="ar-SA"/>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Table Text"/>
    <w:basedOn w:val="1"/>
    <w:semiHidden/>
    <w:qFormat/>
    <w:uiPriority w:val="0"/>
    <w:rPr>
      <w:rFonts w:ascii="Arial" w:hAnsi="Arial" w:eastAsia="Arial" w:cs="Arial"/>
      <w:sz w:val="21"/>
      <w:szCs w:val="21"/>
      <w:lang w:val="en-US" w:eastAsia="en-US" w:bidi="ar-SA"/>
    </w:rPr>
  </w:style>
  <w:style w:type="character" w:customStyle="1" w:styleId="75">
    <w:name w:val="hover"/>
    <w:basedOn w:val="27"/>
    <w:qFormat/>
    <w:uiPriority w:val="0"/>
    <w:rPr>
      <w:color w:val="2590EB"/>
    </w:rPr>
  </w:style>
  <w:style w:type="character" w:customStyle="1" w:styleId="76">
    <w:name w:val="hover1"/>
    <w:basedOn w:val="27"/>
    <w:qFormat/>
    <w:uiPriority w:val="0"/>
  </w:style>
  <w:style w:type="character" w:customStyle="1" w:styleId="77">
    <w:name w:val="hover2"/>
    <w:basedOn w:val="27"/>
    <w:qFormat/>
    <w:uiPriority w:val="0"/>
    <w:rPr>
      <w:color w:val="2590EB"/>
    </w:rPr>
  </w:style>
  <w:style w:type="character" w:customStyle="1" w:styleId="78">
    <w:name w:val="hover3"/>
    <w:basedOn w:val="27"/>
    <w:qFormat/>
    <w:uiPriority w:val="0"/>
    <w:rPr>
      <w:color w:val="2590EB"/>
      <w:shd w:val="clear" w:fill="E9F4FD"/>
    </w:rPr>
  </w:style>
  <w:style w:type="character" w:customStyle="1" w:styleId="79">
    <w:name w:val="mini-outputtext1"/>
    <w:basedOn w:val="27"/>
    <w:qFormat/>
    <w:uiPriority w:val="0"/>
  </w:style>
  <w:style w:type="paragraph" w:customStyle="1" w:styleId="80">
    <w:name w:val="内容正文"/>
    <w:basedOn w:val="1"/>
    <w:qFormat/>
    <w:uiPriority w:val="99"/>
    <w:pPr>
      <w:widowControl/>
      <w:spacing w:line="360" w:lineRule="auto"/>
      <w:ind w:firstLine="560" w:firstLineChars="200"/>
    </w:pPr>
    <w:rPr>
      <w:kern w:val="0"/>
      <w:sz w:val="28"/>
      <w:szCs w:val="28"/>
    </w:rPr>
  </w:style>
  <w:style w:type="paragraph" w:customStyle="1" w:styleId="81">
    <w:name w:val="Body Text First Indent1"/>
    <w:basedOn w:val="12"/>
    <w:qFormat/>
    <w:uiPriority w:val="0"/>
    <w:pPr>
      <w:autoSpaceDE w:val="0"/>
      <w:autoSpaceDN w:val="0"/>
      <w:ind w:firstLine="420"/>
      <w:jc w:val="left"/>
    </w:pPr>
    <w:rPr>
      <w:rFonts w:ascii="宋体" w:hAnsi="宋体" w:eastAsia="等线" w:cs="宋体"/>
      <w:kern w:val="0"/>
      <w:szCs w:val="20"/>
      <w:lang w:val="zh-CN" w:bidi="zh-CN"/>
    </w:rPr>
  </w:style>
  <w:style w:type="paragraph" w:customStyle="1" w:styleId="82">
    <w:name w:val="&quot;正文格式&quot;"/>
    <w:qFormat/>
    <w:uiPriority w:val="0"/>
    <w:pPr>
      <w:widowControl w:val="0"/>
      <w:spacing w:after="0" w:afterLines="0" w:line="360" w:lineRule="auto"/>
      <w:ind w:firstLine="200" w:firstLineChars="200"/>
      <w:jc w:val="both"/>
    </w:pPr>
    <w:rPr>
      <w:rFonts w:ascii="宋体" w:hAnsi="宋体"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21257</Words>
  <Characters>22892</Characters>
  <Lines>0</Lines>
  <Paragraphs>0</Paragraphs>
  <TotalTime>3</TotalTime>
  <ScaleCrop>false</ScaleCrop>
  <LinksUpToDate>false</LinksUpToDate>
  <CharactersWithSpaces>23887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2023-03-23T09:11:00Z</dcterms:created>
  <dc:creator>Administrator</dc:creator>
  <cp:lastModifiedBy>NTKO</cp:lastModifiedBy>
  <cp:lastPrinted>2024-05-24T07:31:00Z</cp:lastPrinted>
  <dcterms:modified xsi:type="dcterms:W3CDTF">2025-08-15T02:50:58Z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AB1C48F530FD41C4AAE592F85B80055A_13</vt:lpwstr>
  </property>
  <property fmtid="{D5CDD505-2E9C-101B-9397-08002B2CF9AE}" pid="4" name="KSOTemplateDocerSaveRecord">
    <vt:lpwstr>eyJoZGlkIjoiYTc3NzE1YjE5Mzk5ZTgzZWIzM2RiNTljMWE3OGZjNzQiLCJ1c2VySWQiOiIyMzg0MzkyNzYifQ==</vt:lpwstr>
  </property>
</Properties>
</file>