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8D00">
      <w:pPr>
        <w:jc w:val="center"/>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驻马店市政府采购项目</w:t>
      </w:r>
    </w:p>
    <w:p w14:paraId="03CB47BC">
      <w:pPr>
        <w:pStyle w:val="51"/>
        <w:rPr>
          <w:rFonts w:hint="eastAsia" w:ascii="宋体" w:hAnsi="宋体" w:eastAsia="宋体" w:cs="宋体"/>
          <w:color w:val="000000" w:themeColor="text1"/>
          <w:highlight w:val="none"/>
          <w14:textFill>
            <w14:solidFill>
              <w14:schemeClr w14:val="tx1"/>
            </w14:solidFill>
          </w14:textFill>
        </w:rPr>
      </w:pPr>
    </w:p>
    <w:p w14:paraId="753C7A0E">
      <w:pPr>
        <w:pStyle w:val="18"/>
        <w:rPr>
          <w:rFonts w:hint="eastAsia" w:ascii="宋体" w:hAnsi="宋体" w:eastAsia="宋体" w:cs="宋体"/>
          <w:color w:val="000000" w:themeColor="text1"/>
          <w:highlight w:val="none"/>
          <w14:textFill>
            <w14:solidFill>
              <w14:schemeClr w14:val="tx1"/>
            </w14:solidFill>
          </w14:textFill>
        </w:rPr>
      </w:pPr>
    </w:p>
    <w:p w14:paraId="47287300">
      <w:pPr>
        <w:pStyle w:val="18"/>
        <w:rPr>
          <w:rFonts w:hint="eastAsia" w:ascii="宋体" w:hAnsi="宋体" w:eastAsia="宋体" w:cs="宋体"/>
          <w:color w:val="000000" w:themeColor="text1"/>
          <w:highlight w:val="none"/>
          <w14:textFill>
            <w14:solidFill>
              <w14:schemeClr w14:val="tx1"/>
            </w14:solidFill>
          </w14:textFill>
        </w:rPr>
      </w:pPr>
    </w:p>
    <w:p w14:paraId="3184FC18">
      <w:pPr>
        <w:pStyle w:val="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40"/>
          <w:szCs w:val="52"/>
          <w:highlight w:val="none"/>
          <w14:textFill>
            <w14:solidFill>
              <w14:schemeClr w14:val="tx1"/>
            </w14:solidFill>
          </w14:textFill>
        </w:rPr>
        <w:t>竞争性磋商文件</w:t>
      </w:r>
    </w:p>
    <w:p w14:paraId="27C2D07C">
      <w:pPr>
        <w:pStyle w:val="18"/>
        <w:rPr>
          <w:rFonts w:hint="eastAsia" w:ascii="宋体" w:hAnsi="宋体" w:eastAsia="宋体" w:cs="宋体"/>
          <w:color w:val="000000" w:themeColor="text1"/>
          <w:highlight w:val="none"/>
          <w14:textFill>
            <w14:solidFill>
              <w14:schemeClr w14:val="tx1"/>
            </w14:solidFill>
          </w14:textFill>
        </w:rPr>
      </w:pPr>
    </w:p>
    <w:p w14:paraId="4D314128">
      <w:pPr>
        <w:pStyle w:val="18"/>
        <w:rPr>
          <w:rFonts w:hint="eastAsia" w:ascii="宋体" w:hAnsi="宋体" w:eastAsia="宋体" w:cs="宋体"/>
          <w:color w:val="000000" w:themeColor="text1"/>
          <w:highlight w:val="none"/>
          <w14:textFill>
            <w14:solidFill>
              <w14:schemeClr w14:val="tx1"/>
            </w14:solidFill>
          </w14:textFill>
        </w:rPr>
      </w:pPr>
    </w:p>
    <w:p w14:paraId="3347E1FE">
      <w:pPr>
        <w:pStyle w:val="18"/>
        <w:rPr>
          <w:rFonts w:hint="eastAsia" w:ascii="宋体" w:hAnsi="宋体" w:eastAsia="宋体" w:cs="宋体"/>
          <w:color w:val="000000" w:themeColor="text1"/>
          <w:highlight w:val="none"/>
          <w14:textFill>
            <w14:solidFill>
              <w14:schemeClr w14:val="tx1"/>
            </w14:solidFill>
          </w14:textFill>
        </w:rPr>
      </w:pPr>
    </w:p>
    <w:p w14:paraId="3002912E">
      <w:pPr>
        <w:pStyle w:val="18"/>
        <w:rPr>
          <w:rFonts w:hint="eastAsia" w:ascii="宋体" w:hAnsi="宋体" w:eastAsia="宋体" w:cs="宋体"/>
          <w:color w:val="000000" w:themeColor="text1"/>
          <w:highlight w:val="none"/>
          <w14:textFill>
            <w14:solidFill>
              <w14:schemeClr w14:val="tx1"/>
            </w14:solidFill>
          </w14:textFill>
        </w:rPr>
      </w:pPr>
    </w:p>
    <w:p w14:paraId="73E79732">
      <w:pPr>
        <w:pStyle w:val="18"/>
        <w:rPr>
          <w:rFonts w:hint="eastAsia" w:ascii="宋体" w:hAnsi="宋体" w:eastAsia="宋体" w:cs="宋体"/>
          <w:b/>
          <w:bCs/>
          <w:color w:val="000000" w:themeColor="text1"/>
          <w:sz w:val="28"/>
          <w:szCs w:val="28"/>
          <w:highlight w:val="none"/>
          <w14:textFill>
            <w14:solidFill>
              <w14:schemeClr w14:val="tx1"/>
            </w14:solidFill>
          </w14:textFill>
        </w:rPr>
      </w:pPr>
    </w:p>
    <w:p w14:paraId="5CAAEC61">
      <w:pPr>
        <w:pStyle w:val="18"/>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采购项目编号：驻政采购-2025-09-32</w:t>
      </w:r>
    </w:p>
    <w:p w14:paraId="46CF215C">
      <w:pPr>
        <w:pStyle w:val="18"/>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采购项目名称：</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驻马店市中心医院全自动酶免分析仪（工作站）采购项目</w:t>
      </w:r>
    </w:p>
    <w:p w14:paraId="48EA4427">
      <w:pPr>
        <w:pStyle w:val="18"/>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   购   人：</w:t>
      </w:r>
      <w:r>
        <w:rPr>
          <w:rFonts w:hint="eastAsia" w:ascii="宋体" w:hAnsi="宋体" w:eastAsia="宋体" w:cs="宋体"/>
          <w:b/>
          <w:bCs/>
          <w:color w:val="000000" w:themeColor="text1"/>
          <w:sz w:val="28"/>
          <w:szCs w:val="28"/>
          <w:highlight w:val="none"/>
          <w:lang w:eastAsia="zh-CN"/>
          <w14:textFill>
            <w14:solidFill>
              <w14:schemeClr w14:val="tx1"/>
            </w14:solidFill>
          </w14:textFill>
        </w:rPr>
        <w:t>驻马店市中心医院</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14:paraId="31305E8B">
      <w:pPr>
        <w:pStyle w:val="18"/>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r>
        <w:rPr>
          <w:rFonts w:hint="eastAsia" w:ascii="宋体" w:hAnsi="宋体" w:eastAsia="宋体" w:cs="宋体"/>
          <w:b/>
          <w:bCs/>
          <w:color w:val="000000" w:themeColor="text1"/>
          <w:sz w:val="28"/>
          <w:szCs w:val="28"/>
          <w:highlight w:val="none"/>
          <w:lang w:eastAsia="zh-CN"/>
          <w14:textFill>
            <w14:solidFill>
              <w14:schemeClr w14:val="tx1"/>
            </w14:solidFill>
          </w14:textFill>
        </w:rPr>
        <w:t>中泰工程管理有限公司</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p>
    <w:p w14:paraId="4AAE349B">
      <w:pPr>
        <w:pStyle w:val="18"/>
        <w:rPr>
          <w:rFonts w:hint="eastAsia" w:ascii="宋体" w:hAnsi="宋体" w:eastAsia="宋体" w:cs="宋体"/>
          <w:b/>
          <w:bCs/>
          <w:color w:val="000000" w:themeColor="text1"/>
          <w:sz w:val="28"/>
          <w:szCs w:val="28"/>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numberInDash" w:start="1"/>
          <w:cols w:space="720" w:num="1"/>
          <w:titlePg/>
          <w:docGrid w:type="lines" w:linePitch="312" w:charSpace="0"/>
        </w:sectPr>
      </w:pPr>
      <w:r>
        <w:rPr>
          <w:rFonts w:hint="eastAsia" w:ascii="宋体" w:hAnsi="宋体" w:eastAsia="宋体" w:cs="宋体"/>
          <w:b/>
          <w:bCs/>
          <w:color w:val="000000" w:themeColor="text1"/>
          <w:sz w:val="28"/>
          <w:szCs w:val="28"/>
          <w:highlight w:val="none"/>
          <w14:textFill>
            <w14:solidFill>
              <w14:schemeClr w14:val="tx1"/>
            </w14:solidFill>
          </w14:textFill>
        </w:rPr>
        <w:t>日        期：</w:t>
      </w:r>
      <w:bookmarkStart w:id="0" w:name="_Toc369773273"/>
      <w:r>
        <w:rPr>
          <w:rFonts w:hint="eastAsia" w:ascii="宋体" w:hAnsi="宋体" w:eastAsia="宋体" w:cs="宋体"/>
          <w:b/>
          <w:bCs/>
          <w:color w:val="000000" w:themeColor="text1"/>
          <w:sz w:val="28"/>
          <w:szCs w:val="28"/>
          <w:highlight w:val="none"/>
          <w14:textFill>
            <w14:solidFill>
              <w14:schemeClr w14:val="tx1"/>
            </w14:solidFill>
          </w14:textFill>
        </w:rPr>
        <w:t>二〇二</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14:textFill>
            <w14:solidFill>
              <w14:schemeClr w14:val="tx1"/>
            </w14:solidFill>
          </w14:textFill>
        </w:rPr>
        <w:t>年</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b/>
          <w:bCs/>
          <w:color w:val="000000" w:themeColor="text1"/>
          <w:sz w:val="28"/>
          <w:szCs w:val="28"/>
          <w:highlight w:val="none"/>
          <w14:textFill>
            <w14:solidFill>
              <w14:schemeClr w14:val="tx1"/>
            </w14:solidFill>
          </w14:textFill>
        </w:rPr>
        <w:t>月</w:t>
      </w:r>
    </w:p>
    <w:bookmarkEnd w:id="0"/>
    <w:p w14:paraId="5DA696A7">
      <w:pPr>
        <w:widowControl/>
        <w:spacing w:line="360" w:lineRule="auto"/>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目    录</w:t>
      </w:r>
    </w:p>
    <w:p w14:paraId="350FDFE2">
      <w:pPr>
        <w:widowControl/>
        <w:spacing w:line="600" w:lineRule="exact"/>
        <w:ind w:firstLine="1440"/>
        <w:jc w:val="left"/>
        <w:rPr>
          <w:rFonts w:hint="eastAsia" w:ascii="宋体" w:hAnsi="宋体" w:eastAsia="宋体" w:cs="宋体"/>
          <w:color w:val="000000" w:themeColor="text1"/>
          <w:kern w:val="0"/>
          <w:sz w:val="24"/>
          <w:highlight w:val="none"/>
          <w14:textFill>
            <w14:solidFill>
              <w14:schemeClr w14:val="tx1"/>
            </w14:solidFill>
          </w14:textFill>
        </w:rPr>
      </w:pPr>
    </w:p>
    <w:p w14:paraId="1E574434">
      <w:pPr>
        <w:widowControl/>
        <w:spacing w:line="600" w:lineRule="exact"/>
        <w:ind w:firstLine="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第一章    竞争性磋商公告</w:t>
      </w:r>
    </w:p>
    <w:p w14:paraId="683F24F2">
      <w:pPr>
        <w:widowControl/>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第二章    采购需求</w:t>
      </w:r>
    </w:p>
    <w:p w14:paraId="48AB3491">
      <w:pPr>
        <w:widowControl/>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第三章    供应商须知</w:t>
      </w:r>
    </w:p>
    <w:p w14:paraId="445DD22E">
      <w:pPr>
        <w:widowControl/>
        <w:spacing w:line="600" w:lineRule="exact"/>
        <w:ind w:left="1439" w:firstLine="1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1、供应商须知前附表</w:t>
      </w:r>
    </w:p>
    <w:p w14:paraId="58C5D8D8">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2、说明</w:t>
      </w:r>
    </w:p>
    <w:p w14:paraId="4424534E">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3、竞争性磋商文件</w:t>
      </w:r>
    </w:p>
    <w:p w14:paraId="19AE5587">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4、响应文件编制要求</w:t>
      </w:r>
    </w:p>
    <w:p w14:paraId="4BB1FD2D">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5、响应文件递交要求</w:t>
      </w:r>
    </w:p>
    <w:p w14:paraId="578002E3">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6、磋商的程序及相关要求</w:t>
      </w:r>
    </w:p>
    <w:p w14:paraId="79CFF3E7">
      <w:pPr>
        <w:widowControl/>
        <w:spacing w:line="600" w:lineRule="exact"/>
        <w:ind w:left="2159" w:firstLine="48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7、评定成交标准/评定成交原则</w:t>
      </w:r>
    </w:p>
    <w:p w14:paraId="4657E5E6">
      <w:pPr>
        <w:widowControl/>
        <w:spacing w:line="600" w:lineRule="exact"/>
        <w:ind w:firstLine="26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8、合同</w:t>
      </w:r>
    </w:p>
    <w:p w14:paraId="1674943C">
      <w:pPr>
        <w:widowControl/>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第四章   政府采购合同主要条款</w:t>
      </w:r>
    </w:p>
    <w:p w14:paraId="7B388B44">
      <w:pPr>
        <w:widowControl/>
        <w:spacing w:line="600" w:lineRule="exact"/>
        <w:ind w:left="144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第五章   响应文件格式</w:t>
      </w:r>
    </w:p>
    <w:p w14:paraId="7ECAF74E">
      <w:pPr>
        <w:widowControl/>
        <w:tabs>
          <w:tab w:val="left" w:pos="1797"/>
        </w:tabs>
        <w:spacing w:line="1000" w:lineRule="exact"/>
        <w:jc w:val="left"/>
        <w:rPr>
          <w:rFonts w:hint="eastAsia" w:ascii="宋体" w:hAnsi="宋体" w:eastAsia="宋体" w:cs="宋体"/>
          <w:b/>
          <w:bCs/>
          <w:color w:val="000000" w:themeColor="text1"/>
          <w:sz w:val="44"/>
          <w:szCs w:val="44"/>
          <w:highlight w:val="none"/>
          <w14:textFill>
            <w14:solidFill>
              <w14:schemeClr w14:val="tx1"/>
            </w14:solidFill>
          </w14:textFill>
        </w:rPr>
        <w:sectPr>
          <w:footerReference r:id="rId9" w:type="default"/>
          <w:pgSz w:w="12240" w:h="15840"/>
          <w:pgMar w:top="1440" w:right="1700" w:bottom="667" w:left="1800" w:header="0" w:footer="680" w:gutter="0"/>
          <w:pgNumType w:fmt="numberInDash" w:start="1"/>
          <w:cols w:space="720" w:num="1"/>
          <w:docGrid w:linePitch="360" w:charSpace="0"/>
        </w:sectPr>
      </w:pPr>
      <w:r>
        <w:rPr>
          <w:rFonts w:hint="eastAsia" w:ascii="宋体" w:hAnsi="宋体" w:eastAsia="宋体" w:cs="宋体"/>
          <w:b/>
          <w:bCs/>
          <w:color w:val="000000" w:themeColor="text1"/>
          <w:sz w:val="44"/>
          <w:szCs w:val="44"/>
          <w:highlight w:val="none"/>
          <w14:textFill>
            <w14:solidFill>
              <w14:schemeClr w14:val="tx1"/>
            </w14:solidFill>
          </w14:textFill>
        </w:rPr>
        <w:t xml:space="preserve">  </w:t>
      </w:r>
      <w:r>
        <w:rPr>
          <w:rFonts w:hint="eastAsia" w:ascii="宋体" w:hAnsi="宋体" w:eastAsia="宋体" w:cs="宋体"/>
          <w:b/>
          <w:bCs/>
          <w:color w:val="000000" w:themeColor="text1"/>
          <w:sz w:val="44"/>
          <w:szCs w:val="44"/>
          <w:highlight w:val="none"/>
          <w14:textFill>
            <w14:solidFill>
              <w14:schemeClr w14:val="tx1"/>
            </w14:solidFill>
          </w14:textFill>
        </w:rPr>
        <w:tab/>
      </w:r>
    </w:p>
    <w:p w14:paraId="60A9F0A6">
      <w:pPr>
        <w:widowControl/>
        <w:adjustRightInd w:val="0"/>
        <w:spacing w:afterAutospacing="0" w:line="490" w:lineRule="exact"/>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1" w:name="_Toc475087349"/>
      <w:bookmarkStart w:id="2" w:name="_Toc448507848"/>
      <w:r>
        <w:rPr>
          <w:rFonts w:hint="eastAsia" w:ascii="宋体" w:hAnsi="宋体" w:eastAsia="宋体" w:cs="宋体"/>
          <w:b/>
          <w:bCs/>
          <w:color w:val="000000" w:themeColor="text1"/>
          <w:sz w:val="32"/>
          <w:szCs w:val="32"/>
          <w:highlight w:val="none"/>
          <w14:textFill>
            <w14:solidFill>
              <w14:schemeClr w14:val="tx1"/>
            </w14:solidFill>
          </w14:textFill>
        </w:rPr>
        <w:t xml:space="preserve">第一章  </w:t>
      </w:r>
      <w:bookmarkEnd w:id="1"/>
      <w:bookmarkEnd w:id="2"/>
      <w:r>
        <w:rPr>
          <w:rFonts w:hint="eastAsia" w:ascii="宋体" w:hAnsi="宋体" w:eastAsia="宋体" w:cs="宋体"/>
          <w:b/>
          <w:bCs/>
          <w:color w:val="000000" w:themeColor="text1"/>
          <w:sz w:val="32"/>
          <w:szCs w:val="32"/>
          <w:highlight w:val="none"/>
          <w14:textFill>
            <w14:solidFill>
              <w14:schemeClr w14:val="tx1"/>
            </w14:solidFill>
          </w14:textFill>
        </w:rPr>
        <w:t>竞争性磋商公告</w:t>
      </w:r>
    </w:p>
    <w:p w14:paraId="0A57DBE4">
      <w:pPr>
        <w:widowControl/>
        <w:adjustRightInd w:val="0"/>
        <w:spacing w:beforeAutospacing="0" w:afterAutospacing="0" w:line="490" w:lineRule="exact"/>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3" w:name="_Toc300499306"/>
      <w:r>
        <w:rPr>
          <w:rFonts w:hint="eastAsia" w:ascii="宋体" w:hAnsi="宋体" w:eastAsia="宋体" w:cs="宋体"/>
          <w:b/>
          <w:bCs/>
          <w:color w:val="000000" w:themeColor="text1"/>
          <w:sz w:val="28"/>
          <w:szCs w:val="28"/>
          <w:highlight w:val="none"/>
          <w:lang w:eastAsia="zh-CN"/>
          <w14:textFill>
            <w14:solidFill>
              <w14:schemeClr w14:val="tx1"/>
            </w14:solidFill>
          </w14:textFill>
        </w:rPr>
        <w:t>驻马店市中心医院全自动酶免分析仪（工作站）采购项目</w:t>
      </w:r>
    </w:p>
    <w:p w14:paraId="30BC2879">
      <w:pPr>
        <w:widowControl/>
        <w:adjustRightInd w:val="0"/>
        <w:spacing w:beforeAutospacing="0" w:afterAutospacing="0" w:line="49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竞争性磋商公告</w:t>
      </w:r>
    </w:p>
    <w:tbl>
      <w:tblPr>
        <w:tblStyle w:val="27"/>
        <w:tblW w:w="9240"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6B5C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240" w:type="dxa"/>
          </w:tcPr>
          <w:p w14:paraId="6FB8E96F">
            <w:pPr>
              <w:widowControl/>
              <w:spacing w:beforeAutospacing="0" w:afterAutospacing="0" w:line="480" w:lineRule="atLeast"/>
              <w:rPr>
                <w:rFonts w:hint="eastAsia" w:ascii="宋体" w:hAnsi="宋体" w:eastAsia="宋体" w:cs="宋体"/>
                <w:color w:val="000000" w:themeColor="text1"/>
                <w:szCs w:val="21"/>
                <w:highlight w:val="none"/>
                <w14:textFill>
                  <w14:solidFill>
                    <w14:schemeClr w14:val="tx1"/>
                  </w14:solidFill>
                </w14:textFill>
              </w:rPr>
            </w:pPr>
            <w:bookmarkStart w:id="4" w:name="_Toc35393629"/>
            <w:bookmarkStart w:id="5" w:name="_Toc28359012"/>
            <w:bookmarkStart w:id="6" w:name="_Toc28359089"/>
            <w:bookmarkStart w:id="7" w:name="_Toc35393798"/>
            <w:r>
              <w:rPr>
                <w:rFonts w:hint="eastAsia" w:ascii="宋体" w:hAnsi="宋体" w:eastAsia="宋体" w:cs="宋体"/>
                <w:color w:val="000000" w:themeColor="text1"/>
                <w:szCs w:val="21"/>
                <w:highlight w:val="none"/>
                <w14:textFill>
                  <w14:solidFill>
                    <w14:schemeClr w14:val="tx1"/>
                  </w14:solidFill>
                </w14:textFill>
              </w:rPr>
              <w:t>项目概况:</w:t>
            </w:r>
          </w:p>
          <w:p w14:paraId="1A25EC2B">
            <w:pPr>
              <w:widowControl/>
              <w:spacing w:beforeAutospacing="0" w:after="161" w:line="480" w:lineRule="atLeas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驻马店市中心医院全自动酶免分析仪（工作站）采购项目</w:t>
            </w:r>
            <w:r>
              <w:rPr>
                <w:rFonts w:hint="eastAsia" w:ascii="宋体" w:hAnsi="宋体" w:eastAsia="宋体" w:cs="宋体"/>
                <w:color w:val="000000" w:themeColor="text1"/>
                <w:szCs w:val="21"/>
                <w:highlight w:val="none"/>
                <w14:textFill>
                  <w14:solidFill>
                    <w14:schemeClr w14:val="tx1"/>
                  </w14:solidFill>
                </w14:textFill>
              </w:rPr>
              <w:t>项目的潜在供应商应在驻马店市公共资源交易</w:t>
            </w:r>
            <w:r>
              <w:rPr>
                <w:rFonts w:hint="eastAsia" w:ascii="宋体" w:hAnsi="宋体" w:eastAsia="宋体" w:cs="宋体"/>
                <w:color w:val="000000" w:themeColor="text1"/>
                <w:szCs w:val="21"/>
                <w:highlight w:val="none"/>
                <w:lang w:val="en-US" w:eastAsia="zh-CN"/>
                <w14:textFill>
                  <w14:solidFill>
                    <w14:schemeClr w14:val="tx1"/>
                  </w14:solidFill>
                </w14:textFill>
              </w:rPr>
              <w:t>中心网站</w:t>
            </w:r>
            <w:r>
              <w:rPr>
                <w:rFonts w:hint="eastAsia" w:ascii="宋体" w:hAnsi="宋体" w:eastAsia="宋体" w:cs="宋体"/>
                <w:color w:val="000000" w:themeColor="text1"/>
                <w:szCs w:val="21"/>
                <w:highlight w:val="none"/>
                <w14:textFill>
                  <w14:solidFill>
                    <w14:schemeClr w14:val="tx1"/>
                  </w14:solidFill>
                </w14:textFill>
              </w:rPr>
              <w:t>获取采购文件，并于</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14:textFill>
                  <w14:solidFill>
                    <w14:schemeClr w14:val="tx1"/>
                  </w14:solidFill>
                </w14:textFill>
              </w:rPr>
              <w:t>09</w:t>
            </w:r>
            <w:r>
              <w:rPr>
                <w:rFonts w:hint="eastAsia" w:ascii="宋体" w:hAnsi="宋体" w:eastAsia="宋体" w:cs="宋体"/>
                <w:color w:val="000000" w:themeColor="text1"/>
                <w:szCs w:val="21"/>
                <w:highlight w:val="none"/>
                <w14:textFill>
                  <w14:solidFill>
                    <w14:schemeClr w14:val="tx1"/>
                  </w14:solidFill>
                </w14:textFill>
              </w:rPr>
              <w:t>时</w:t>
            </w:r>
            <w:r>
              <w:rPr>
                <w:rFonts w:hint="eastAsia" w:ascii="宋体" w:hAnsi="宋体" w:eastAsia="宋体" w:cs="宋体"/>
                <w:color w:val="000000" w:themeColor="text1"/>
                <w:szCs w:val="21"/>
                <w:highlight w:val="none"/>
                <w:u w:val="single"/>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分（北京时间）前提交响应性文件。</w:t>
            </w:r>
          </w:p>
        </w:tc>
      </w:tr>
      <w:bookmarkEnd w:id="3"/>
      <w:bookmarkEnd w:id="4"/>
      <w:bookmarkEnd w:id="5"/>
      <w:bookmarkEnd w:id="6"/>
      <w:bookmarkEnd w:id="7"/>
    </w:tbl>
    <w:p w14:paraId="43C71F3C">
      <w:pPr>
        <w:keepNext w:val="0"/>
        <w:keepLines w:val="0"/>
        <w:pageBreakBefore w:val="0"/>
        <w:widowControl/>
        <w:kinsoku/>
        <w:overflowPunct/>
        <w:topLinePunct w:val="0"/>
        <w:autoSpaceDE/>
        <w:autoSpaceDN/>
        <w:bidi w:val="0"/>
        <w:adjustRightInd w:val="0"/>
        <w:spacing w:line="480" w:lineRule="exact"/>
        <w:ind w:left="239" w:leftChars="114" w:firstLine="211" w:firstLineChars="1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bookmarkStart w:id="8" w:name="_Toc28359079"/>
      <w:bookmarkStart w:id="9" w:name="_Toc35393621"/>
      <w:bookmarkStart w:id="10" w:name="_Toc28359002"/>
      <w:bookmarkStart w:id="11" w:name="_Toc35393790"/>
      <w:bookmarkStart w:id="12" w:name="_Toc35393801"/>
      <w:bookmarkStart w:id="13" w:name="_Toc28359092"/>
      <w:bookmarkStart w:id="14" w:name="_Toc35393632"/>
      <w:bookmarkStart w:id="15" w:name="_Toc28359015"/>
      <w:r>
        <w:rPr>
          <w:rFonts w:hint="eastAsia" w:ascii="宋体" w:hAnsi="宋体" w:eastAsia="宋体" w:cs="宋体"/>
          <w:b/>
          <w:bCs/>
          <w:color w:val="000000" w:themeColor="text1"/>
          <w:kern w:val="0"/>
          <w:szCs w:val="21"/>
          <w:highlight w:val="none"/>
          <w14:textFill>
            <w14:solidFill>
              <w14:schemeClr w14:val="tx1"/>
            </w14:solidFill>
          </w14:textFill>
        </w:rPr>
        <w:t>一、项目基本情况</w:t>
      </w:r>
      <w:bookmarkEnd w:id="8"/>
      <w:bookmarkEnd w:id="9"/>
      <w:bookmarkEnd w:id="10"/>
      <w:bookmarkEnd w:id="11"/>
      <w:r>
        <w:rPr>
          <w:rFonts w:hint="eastAsia" w:ascii="宋体" w:hAnsi="宋体" w:eastAsia="宋体" w:cs="宋体"/>
          <w:b/>
          <w:bCs/>
          <w:color w:val="000000" w:themeColor="text1"/>
          <w:kern w:val="0"/>
          <w:szCs w:val="21"/>
          <w:highlight w:val="none"/>
          <w14:textFill>
            <w14:solidFill>
              <w14:schemeClr w14:val="tx1"/>
            </w14:solidFill>
          </w14:textFill>
        </w:rPr>
        <w:t>：</w:t>
      </w:r>
    </w:p>
    <w:p w14:paraId="0B09FABB">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1、项目编号：驻政采购-2025-09-32</w:t>
      </w:r>
    </w:p>
    <w:p w14:paraId="1C5951C5">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2、项目名称：</w:t>
      </w:r>
      <w:bookmarkStart w:id="16" w:name="_Hlk113353282"/>
      <w:r>
        <w:rPr>
          <w:rFonts w:hint="eastAsia" w:ascii="宋体" w:hAnsi="宋体" w:eastAsia="宋体" w:cs="宋体"/>
          <w:color w:val="000000" w:themeColor="text1"/>
          <w:szCs w:val="21"/>
          <w:highlight w:val="none"/>
          <w:lang w:eastAsia="zh-CN"/>
          <w14:textFill>
            <w14:solidFill>
              <w14:schemeClr w14:val="tx1"/>
            </w14:solidFill>
          </w14:textFill>
        </w:rPr>
        <w:t>驻马店市中心医院全自动酶免分析仪（工作站）采购项目</w:t>
      </w:r>
    </w:p>
    <w:bookmarkEnd w:id="16"/>
    <w:p w14:paraId="2F575969">
      <w:pPr>
        <w:keepNext w:val="0"/>
        <w:keepLines w:val="0"/>
        <w:pageBreakBefore w:val="0"/>
        <w:widowControl/>
        <w:kinsoku/>
        <w:overflowPunct/>
        <w:topLinePunct w:val="0"/>
        <w:autoSpaceDE/>
        <w:autoSpaceDN/>
        <w:bidi w:val="0"/>
        <w:adjustRightInd w:val="0"/>
        <w:spacing w:line="480" w:lineRule="exact"/>
        <w:ind w:left="239" w:leftChars="114" w:firstLine="210" w:firstLineChars="1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3、采购方式：竞争性磋商</w:t>
      </w:r>
    </w:p>
    <w:p w14:paraId="28734BC7">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4、预算金额：</w:t>
      </w:r>
      <w:r>
        <w:rPr>
          <w:rFonts w:hint="eastAsia" w:ascii="宋体" w:hAnsi="宋体" w:eastAsia="宋体" w:cs="宋体"/>
          <w:color w:val="000000" w:themeColor="text1"/>
          <w:kern w:val="0"/>
          <w:szCs w:val="21"/>
          <w:highlight w:val="none"/>
          <w:lang w:val="en-US" w:eastAsia="zh-CN"/>
          <w14:textFill>
            <w14:solidFill>
              <w14:schemeClr w14:val="tx1"/>
            </w14:solidFill>
          </w14:textFill>
        </w:rPr>
        <w:t>1400000.00</w:t>
      </w:r>
      <w:r>
        <w:rPr>
          <w:rFonts w:hint="eastAsia" w:ascii="宋体" w:hAnsi="宋体" w:eastAsia="宋体" w:cs="宋体"/>
          <w:color w:val="000000" w:themeColor="text1"/>
          <w:kern w:val="0"/>
          <w:szCs w:val="21"/>
          <w:highlight w:val="none"/>
          <w14:textFill>
            <w14:solidFill>
              <w14:schemeClr w14:val="tx1"/>
            </w14:solidFill>
          </w14:textFill>
        </w:rPr>
        <w:t>元</w:t>
      </w:r>
      <w:r>
        <w:rPr>
          <w:rFonts w:hint="eastAsia" w:ascii="宋体" w:hAnsi="宋体" w:eastAsia="宋体" w:cs="宋体"/>
          <w:color w:val="000000" w:themeColor="text1"/>
          <w:szCs w:val="21"/>
          <w:highlight w:val="none"/>
          <w14:textFill>
            <w14:solidFill>
              <w14:schemeClr w14:val="tx1"/>
            </w14:solidFill>
          </w14:textFill>
        </w:rPr>
        <w:t>；最高限价：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1400000.00</w:t>
      </w:r>
      <w:r>
        <w:rPr>
          <w:rFonts w:hint="eastAsia" w:ascii="宋体" w:hAnsi="宋体" w:eastAsia="宋体" w:cs="宋体"/>
          <w:color w:val="000000" w:themeColor="text1"/>
          <w:kern w:val="0"/>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bl>
      <w:tblPr>
        <w:tblStyle w:val="27"/>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96"/>
        <w:gridCol w:w="2834"/>
        <w:gridCol w:w="1973"/>
        <w:gridCol w:w="1803"/>
      </w:tblGrid>
      <w:tr w14:paraId="2808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2" w:type="dxa"/>
            <w:vAlign w:val="center"/>
          </w:tcPr>
          <w:p w14:paraId="4F79ED44">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396" w:type="dxa"/>
            <w:vAlign w:val="center"/>
          </w:tcPr>
          <w:p w14:paraId="6871353F">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包号</w:t>
            </w:r>
          </w:p>
        </w:tc>
        <w:tc>
          <w:tcPr>
            <w:tcW w:w="2834" w:type="dxa"/>
            <w:vAlign w:val="center"/>
          </w:tcPr>
          <w:p w14:paraId="6FAE3CCA">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包名称</w:t>
            </w:r>
          </w:p>
        </w:tc>
        <w:tc>
          <w:tcPr>
            <w:tcW w:w="1973" w:type="dxa"/>
            <w:vAlign w:val="center"/>
          </w:tcPr>
          <w:p w14:paraId="217DEAB8">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包预算（元）</w:t>
            </w:r>
          </w:p>
        </w:tc>
        <w:tc>
          <w:tcPr>
            <w:tcW w:w="1803" w:type="dxa"/>
            <w:vAlign w:val="center"/>
          </w:tcPr>
          <w:p w14:paraId="647C1C34">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包最高限价（元）</w:t>
            </w:r>
          </w:p>
        </w:tc>
      </w:tr>
      <w:tr w14:paraId="534C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2" w:type="dxa"/>
            <w:vAlign w:val="center"/>
          </w:tcPr>
          <w:p w14:paraId="746FF5A7">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396" w:type="dxa"/>
            <w:vAlign w:val="center"/>
          </w:tcPr>
          <w:p w14:paraId="459EDD9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驻政采购-2025-09-32A</w:t>
            </w:r>
          </w:p>
        </w:tc>
        <w:tc>
          <w:tcPr>
            <w:tcW w:w="2834" w:type="dxa"/>
            <w:vAlign w:val="center"/>
          </w:tcPr>
          <w:p w14:paraId="65AF2BD2">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驻马店市中心医院全自动酶免分析仪（工作站）采购项目A包</w:t>
            </w:r>
          </w:p>
        </w:tc>
        <w:tc>
          <w:tcPr>
            <w:tcW w:w="1973" w:type="dxa"/>
            <w:vAlign w:val="center"/>
          </w:tcPr>
          <w:p w14:paraId="156047F4">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1400000.00</w:t>
            </w:r>
          </w:p>
        </w:tc>
        <w:tc>
          <w:tcPr>
            <w:tcW w:w="1803" w:type="dxa"/>
            <w:vAlign w:val="center"/>
          </w:tcPr>
          <w:p w14:paraId="134D09AD">
            <w:pPr>
              <w:keepNext w:val="0"/>
              <w:keepLines w:val="0"/>
              <w:pageBreakBefore w:val="0"/>
              <w:kinsoku/>
              <w:overflowPunct/>
              <w:topLinePunct w:val="0"/>
              <w:autoSpaceDE/>
              <w:autoSpaceDN/>
              <w:bidi w:val="0"/>
              <w:snapToGrid w:val="0"/>
              <w:spacing w:line="48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1400000.00</w:t>
            </w:r>
          </w:p>
        </w:tc>
      </w:tr>
    </w:tbl>
    <w:p w14:paraId="0B763DFB">
      <w:pPr>
        <w:keepNext w:val="0"/>
        <w:keepLines w:val="0"/>
        <w:pageBreakBefore w:val="0"/>
        <w:numPr>
          <w:ilvl w:val="0"/>
          <w:numId w:val="3"/>
        </w:numPr>
        <w:kinsoku/>
        <w:overflowPunct/>
        <w:topLinePunct w:val="0"/>
        <w:autoSpaceDE/>
        <w:autoSpaceDN/>
        <w:bidi w:val="0"/>
        <w:snapToGrid w:val="0"/>
        <w:spacing w:line="480" w:lineRule="exact"/>
        <w:ind w:firstLine="48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采购需求（包括但不限于标的的名称、数量、简要技术需求或服务要求等）</w:t>
      </w:r>
    </w:p>
    <w:p w14:paraId="42B9A500">
      <w:pPr>
        <w:keepNext w:val="0"/>
        <w:keepLines w:val="0"/>
        <w:pageBreakBefore w:val="0"/>
        <w:kinsoku/>
        <w:overflowPunct/>
        <w:topLinePunct w:val="0"/>
        <w:autoSpaceDE/>
        <w:autoSpaceDN/>
        <w:bidi w:val="0"/>
        <w:snapToGrid w:val="0"/>
        <w:spacing w:line="480" w:lineRule="exact"/>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5.1采购内容：</w:t>
      </w:r>
      <w:r>
        <w:rPr>
          <w:rFonts w:hint="eastAsia" w:ascii="宋体" w:hAnsi="宋体" w:eastAsia="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lang w:val="en-US" w:eastAsia="zh-CN"/>
          <w14:textFill>
            <w14:solidFill>
              <w14:schemeClr w14:val="tx1"/>
            </w14:solidFill>
          </w14:textFill>
        </w:rPr>
        <w:t>1台全自动酶免分析仪（工作站）</w:t>
      </w:r>
      <w:r>
        <w:rPr>
          <w:rFonts w:hint="eastAsia" w:ascii="宋体" w:hAnsi="宋体" w:eastAsia="宋体" w:cs="宋体"/>
          <w:color w:val="000000" w:themeColor="text1"/>
          <w:szCs w:val="21"/>
          <w:highlight w:val="none"/>
          <w14:textFill>
            <w14:solidFill>
              <w14:schemeClr w14:val="tx1"/>
            </w14:solidFill>
          </w14:textFill>
        </w:rPr>
        <w:t>。（详细内容及要求见</w:t>
      </w:r>
      <w:r>
        <w:rPr>
          <w:rFonts w:hint="eastAsia" w:ascii="宋体" w:hAnsi="宋体" w:eastAsia="宋体" w:cs="宋体"/>
          <w:color w:val="000000" w:themeColor="text1"/>
          <w:szCs w:val="21"/>
          <w:highlight w:val="none"/>
          <w:lang w:val="en-US" w:eastAsia="zh-CN"/>
          <w14:textFill>
            <w14:solidFill>
              <w14:schemeClr w14:val="tx1"/>
            </w14:solidFill>
          </w14:textFill>
        </w:rPr>
        <w:t>第二章采购需求</w:t>
      </w:r>
      <w:r>
        <w:rPr>
          <w:rFonts w:hint="eastAsia" w:ascii="宋体" w:hAnsi="宋体" w:eastAsia="宋体" w:cs="宋体"/>
          <w:color w:val="000000" w:themeColor="text1"/>
          <w:szCs w:val="21"/>
          <w:highlight w:val="none"/>
          <w14:textFill>
            <w14:solidFill>
              <w14:schemeClr w14:val="tx1"/>
            </w14:solidFill>
          </w14:textFill>
        </w:rPr>
        <w:t>）。</w:t>
      </w:r>
    </w:p>
    <w:p w14:paraId="043F9EFC">
      <w:pPr>
        <w:keepNext w:val="0"/>
        <w:keepLines w:val="0"/>
        <w:pageBreakBefore w:val="0"/>
        <w:kinsoku/>
        <w:overflowPunct/>
        <w:topLinePunct w:val="0"/>
        <w:autoSpaceDE/>
        <w:autoSpaceDN/>
        <w:bidi w:val="0"/>
        <w:snapToGrid w:val="0"/>
        <w:spacing w:line="48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r>
        <w:rPr>
          <w:rFonts w:hint="eastAsia" w:ascii="宋体" w:hAnsi="宋体" w:eastAsia="宋体" w:cs="宋体"/>
          <w:color w:val="000000" w:themeColor="text1"/>
          <w:szCs w:val="21"/>
          <w:highlight w:val="none"/>
          <w:lang w:val="en-US" w:eastAsia="zh-CN"/>
          <w14:textFill>
            <w14:solidFill>
              <w14:schemeClr w14:val="tx1"/>
            </w14:solidFill>
          </w14:textFill>
        </w:rPr>
        <w:t>交货期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合同签订后30日内交货，最终以合同约定内容为准</w:t>
      </w:r>
      <w:r>
        <w:rPr>
          <w:rFonts w:hint="eastAsia" w:ascii="宋体" w:hAnsi="宋体" w:eastAsia="宋体" w:cs="宋体"/>
          <w:color w:val="000000" w:themeColor="text1"/>
          <w:szCs w:val="21"/>
          <w:highlight w:val="none"/>
          <w:lang w:eastAsia="zh-CN"/>
          <w14:textFill>
            <w14:solidFill>
              <w14:schemeClr w14:val="tx1"/>
            </w14:solidFill>
          </w14:textFill>
        </w:rPr>
        <w:t>。</w:t>
      </w:r>
    </w:p>
    <w:p w14:paraId="6EE0DFEB">
      <w:pPr>
        <w:keepNext w:val="0"/>
        <w:keepLines w:val="0"/>
        <w:pageBreakBefore w:val="0"/>
        <w:kinsoku/>
        <w:overflowPunct/>
        <w:topLinePunct w:val="0"/>
        <w:autoSpaceDE/>
        <w:autoSpaceDN/>
        <w:bidi w:val="0"/>
        <w:snapToGrid w:val="0"/>
        <w:spacing w:line="48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交货地点：采购人指定地点</w:t>
      </w:r>
      <w:r>
        <w:rPr>
          <w:rFonts w:hint="eastAsia" w:ascii="宋体" w:hAnsi="宋体" w:eastAsia="宋体" w:cs="宋体"/>
          <w:color w:val="000000" w:themeColor="text1"/>
          <w:szCs w:val="21"/>
          <w:highlight w:val="none"/>
          <w:lang w:eastAsia="zh-CN"/>
          <w14:textFill>
            <w14:solidFill>
              <w14:schemeClr w14:val="tx1"/>
            </w14:solidFill>
          </w14:textFill>
        </w:rPr>
        <w:t>。</w:t>
      </w:r>
    </w:p>
    <w:p w14:paraId="52067A23">
      <w:pPr>
        <w:keepNext w:val="0"/>
        <w:keepLines w:val="0"/>
        <w:pageBreakBefore w:val="0"/>
        <w:kinsoku/>
        <w:overflowPunct/>
        <w:topLinePunct w:val="0"/>
        <w:autoSpaceDE/>
        <w:autoSpaceDN/>
        <w:bidi w:val="0"/>
        <w:snapToGrid w:val="0"/>
        <w:spacing w:line="480" w:lineRule="exact"/>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质量：</w:t>
      </w:r>
      <w:r>
        <w:rPr>
          <w:rFonts w:hint="eastAsia" w:ascii="宋体" w:hAnsi="宋体" w:eastAsia="宋体" w:cs="宋体"/>
          <w:color w:val="000000" w:themeColor="text1"/>
          <w:szCs w:val="21"/>
          <w:highlight w:val="none"/>
          <w:lang w:val="en-US" w:eastAsia="zh-CN"/>
          <w14:textFill>
            <w14:solidFill>
              <w14:schemeClr w14:val="tx1"/>
            </w14:solidFill>
          </w14:textFill>
        </w:rPr>
        <w:t>符合国家质量标准、部颁标准、行业标准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且</w:t>
      </w:r>
      <w:r>
        <w:rPr>
          <w:rFonts w:hint="eastAsia" w:ascii="宋体" w:hAnsi="宋体" w:eastAsia="宋体" w:cs="宋体"/>
          <w:color w:val="000000" w:themeColor="text1"/>
          <w:szCs w:val="21"/>
          <w:highlight w:val="none"/>
          <w14:textFill>
            <w14:solidFill>
              <w14:schemeClr w14:val="tx1"/>
            </w14:solidFill>
          </w14:textFill>
        </w:rPr>
        <w:t>满足</w:t>
      </w:r>
      <w:r>
        <w:rPr>
          <w:rFonts w:hint="eastAsia" w:ascii="宋体" w:hAnsi="宋体" w:eastAsia="宋体" w:cs="宋体"/>
          <w:color w:val="000000" w:themeColor="text1"/>
          <w:szCs w:val="21"/>
          <w:highlight w:val="none"/>
          <w:lang w:val="en-US" w:eastAsia="zh-CN"/>
          <w14:textFill>
            <w14:solidFill>
              <w14:schemeClr w14:val="tx1"/>
            </w14:solidFill>
          </w14:textFill>
        </w:rPr>
        <w:t>磋商文件</w:t>
      </w:r>
      <w:r>
        <w:rPr>
          <w:rFonts w:hint="eastAsia" w:ascii="宋体" w:hAnsi="宋体" w:eastAsia="宋体" w:cs="宋体"/>
          <w:color w:val="000000" w:themeColor="text1"/>
          <w:szCs w:val="21"/>
          <w:highlight w:val="none"/>
          <w14:textFill>
            <w14:solidFill>
              <w14:schemeClr w14:val="tx1"/>
            </w14:solidFill>
          </w14:textFill>
        </w:rPr>
        <w:t>要求</w:t>
      </w:r>
      <w:r>
        <w:rPr>
          <w:rFonts w:hint="eastAsia" w:ascii="宋体" w:hAnsi="宋体" w:eastAsia="宋体" w:cs="宋体"/>
          <w:color w:val="000000" w:themeColor="text1"/>
          <w:szCs w:val="21"/>
          <w:highlight w:val="none"/>
          <w:lang w:eastAsia="zh-CN"/>
          <w14:textFill>
            <w14:solidFill>
              <w14:schemeClr w14:val="tx1"/>
            </w14:solidFill>
          </w14:textFill>
        </w:rPr>
        <w:t>。</w:t>
      </w:r>
    </w:p>
    <w:p w14:paraId="385E711E">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b w:val="0"/>
          <w:bCs w:val="0"/>
          <w:color w:val="000000" w:themeColor="text1"/>
          <w:kern w:val="0"/>
          <w:szCs w:val="21"/>
          <w:highlight w:val="none"/>
          <w:lang w:eastAsia="zh-CN"/>
          <w14:textFill>
            <w14:solidFill>
              <w14:schemeClr w14:val="tx1"/>
            </w14:solidFill>
          </w14:textFill>
        </w:rPr>
      </w:pPr>
      <w:bookmarkStart w:id="17" w:name="_Toc28359090"/>
      <w:bookmarkStart w:id="18" w:name="_Toc28359013"/>
      <w:bookmarkStart w:id="19" w:name="_Toc35393799"/>
      <w:bookmarkStart w:id="20" w:name="_Toc35393630"/>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Cs w:val="21"/>
          <w:highlight w:val="none"/>
          <w14:textFill>
            <w14:solidFill>
              <w14:schemeClr w14:val="tx1"/>
            </w14:solidFill>
          </w14:textFill>
        </w:rPr>
        <w:t>合同履行期限：自合同生效至质保期结束</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p>
    <w:p w14:paraId="27C9C066">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b w:val="0"/>
          <w:bCs w:val="0"/>
          <w:color w:val="000000" w:themeColor="text1"/>
          <w:kern w:val="0"/>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7</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本项目是否接受联合体</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kern w:val="0"/>
          <w:szCs w:val="21"/>
          <w:highlight w:val="none"/>
          <w14:textFill>
            <w14:solidFill>
              <w14:schemeClr w14:val="tx1"/>
            </w14:solidFill>
          </w14:textFill>
        </w:rPr>
        <w:t>：否</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p>
    <w:p w14:paraId="2B124B3C">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b w:val="0"/>
          <w:bCs w:val="0"/>
          <w:color w:val="000000" w:themeColor="text1"/>
          <w:kern w:val="0"/>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8</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是否接受进口产品：</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否。</w:t>
      </w:r>
    </w:p>
    <w:p w14:paraId="555F8731">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b w:val="0"/>
          <w:bCs w:val="0"/>
          <w:color w:val="000000" w:themeColor="text1"/>
          <w:kern w:val="0"/>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9</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是否专门面向中小企业：否</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w:t>
      </w:r>
    </w:p>
    <w:p w14:paraId="33D83BF9">
      <w:pPr>
        <w:keepNext w:val="0"/>
        <w:keepLines w:val="0"/>
        <w:pageBreakBefore w:val="0"/>
        <w:widowControl/>
        <w:kinsoku/>
        <w:overflowPunct/>
        <w:topLinePunct w:val="0"/>
        <w:autoSpaceDE/>
        <w:autoSpaceDN/>
        <w:bidi w:val="0"/>
        <w:adjustRightInd w:val="0"/>
        <w:spacing w:line="480" w:lineRule="exact"/>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二、申请人的资格要求：</w:t>
      </w:r>
      <w:bookmarkEnd w:id="17"/>
      <w:bookmarkEnd w:id="18"/>
      <w:bookmarkEnd w:id="19"/>
      <w:bookmarkEnd w:id="20"/>
    </w:p>
    <w:p w14:paraId="7507A453">
      <w:pPr>
        <w:keepNext w:val="0"/>
        <w:keepLines w:val="0"/>
        <w:pageBreakBefore w:val="0"/>
        <w:kinsoku/>
        <w:overflowPunct/>
        <w:topLinePunct w:val="0"/>
        <w:autoSpaceDE/>
        <w:autoSpaceDN/>
        <w:bidi w:val="0"/>
        <w:snapToGrid w:val="0"/>
        <w:spacing w:line="48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1、满足《中华人民共和国政府采购法》第二十二条规定；</w:t>
      </w:r>
    </w:p>
    <w:p w14:paraId="76FC6CDE">
      <w:pPr>
        <w:keepNext w:val="0"/>
        <w:keepLines w:val="0"/>
        <w:pageBreakBefore w:val="0"/>
        <w:kinsoku/>
        <w:overflowPunct/>
        <w:topLinePunct w:val="0"/>
        <w:autoSpaceDE/>
        <w:autoSpaceDN/>
        <w:bidi w:val="0"/>
        <w:snapToGrid w:val="0"/>
        <w:spacing w:line="48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2、落实政府采购政策需满足的资格要求：本项目落实促进中小企业发展/监狱/残疾人福利性企业发展等政府采购政策；落实《政府采购促进中小企业发展管理办法》财库【2020】46号文件规定。</w:t>
      </w:r>
    </w:p>
    <w:p w14:paraId="0EE8E828">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3、本项目的特定资格要求：</w:t>
      </w:r>
      <w:bookmarkStart w:id="21" w:name="_Toc35393631"/>
      <w:bookmarkStart w:id="22" w:name="_Toc35393800"/>
    </w:p>
    <w:p w14:paraId="3D521706">
      <w:pPr>
        <w:keepNext w:val="0"/>
        <w:keepLines w:val="0"/>
        <w:pageBreakBefore w:val="0"/>
        <w:widowControl/>
        <w:kinsoku/>
        <w:wordWrap w:val="0"/>
        <w:overflowPunct/>
        <w:topLinePunct w:val="0"/>
        <w:autoSpaceDE/>
        <w:autoSpaceDN/>
        <w:bidi w:val="0"/>
        <w:adjustRightInd w:val="0"/>
        <w:snapToGrid/>
        <w:spacing w:line="480" w:lineRule="exact"/>
        <w:ind w:firstLine="420" w:firstLineChars="200"/>
        <w:jc w:val="lef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w:t>
      </w:r>
      <w:r>
        <w:rPr>
          <w:rFonts w:hint="eastAsia" w:ascii="宋体" w:hAnsi="宋体" w:eastAsia="宋体" w:cs="宋体"/>
          <w:kern w:val="0"/>
          <w:sz w:val="21"/>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BAA6A81">
      <w:pPr>
        <w:keepNext w:val="0"/>
        <w:keepLines w:val="0"/>
        <w:pageBreakBefore w:val="0"/>
        <w:widowControl/>
        <w:kinsoku/>
        <w:wordWrap w:val="0"/>
        <w:overflowPunct/>
        <w:topLinePunct w:val="0"/>
        <w:autoSpaceDE/>
        <w:autoSpaceDN/>
        <w:bidi w:val="0"/>
        <w:adjustRightInd w:val="0"/>
        <w:snapToGrid/>
        <w:spacing w:line="480" w:lineRule="exact"/>
        <w:ind w:firstLine="420" w:firstLineChars="200"/>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3.2单位负责人为同一人或者存在直接控股、管理关系的不同投标公司，不得参加同一合同项下的政府采购活动。提供在“国家企业信用信息公示系统”中查询的相关材料并加盖公章（需包含公司基本信息、股东信息及股权变更信息）或提供承诺书；</w:t>
      </w:r>
    </w:p>
    <w:p w14:paraId="51EBDE42">
      <w:pPr>
        <w:keepNext w:val="0"/>
        <w:keepLines w:val="0"/>
        <w:pageBreakBefore w:val="0"/>
        <w:widowControl/>
        <w:kinsoku/>
        <w:wordWrap w:val="0"/>
        <w:overflowPunct/>
        <w:topLinePunct w:val="0"/>
        <w:autoSpaceDE/>
        <w:autoSpaceDN/>
        <w:bidi w:val="0"/>
        <w:adjustRightInd w:val="0"/>
        <w:snapToGrid/>
        <w:spacing w:line="480" w:lineRule="exact"/>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3.3</w:t>
      </w:r>
      <w:r>
        <w:rPr>
          <w:rFonts w:hint="eastAsia" w:ascii="宋体" w:hAnsi="宋体" w:eastAsia="宋体" w:cs="宋体"/>
          <w:color w:val="000000" w:themeColor="text1"/>
          <w:kern w:val="0"/>
          <w:szCs w:val="21"/>
          <w:highlight w:val="none"/>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根据《关于在政府采购活动中查询及使用信用记录有关问题的通知》（财库〔2016〕125号）的规定，对列入失信被执行人、重大税收违法失信主体、政府采购严重违法失信行为记录名单的企业，不得参与本项目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。信息查询渠道：“信用中国”网站（www.creditchina.gov.cn）和中国政府采购网（www.ccgp.gov.cn）。</w:t>
      </w:r>
    </w:p>
    <w:p w14:paraId="3CBEE314">
      <w:pPr>
        <w:keepNext w:val="0"/>
        <w:keepLines w:val="0"/>
        <w:pageBreakBefore w:val="0"/>
        <w:widowControl/>
        <w:kinsoku/>
        <w:overflowPunct/>
        <w:topLinePunct w:val="0"/>
        <w:autoSpaceDE/>
        <w:autoSpaceDN/>
        <w:bidi w:val="0"/>
        <w:adjustRightInd w:val="0"/>
        <w:spacing w:line="480" w:lineRule="exact"/>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三、获取采购文件</w:t>
      </w:r>
      <w:bookmarkEnd w:id="21"/>
      <w:bookmarkEnd w:id="22"/>
    </w:p>
    <w:p w14:paraId="1779BEBE">
      <w:pPr>
        <w:keepNext w:val="0"/>
        <w:keepLines w:val="0"/>
        <w:pageBreakBefore w:val="0"/>
        <w:kinsoku/>
        <w:overflowPunct/>
        <w:topLinePunct w:val="0"/>
        <w:autoSpaceDE/>
        <w:autoSpaceDN/>
        <w:bidi w:val="0"/>
        <w:spacing w:line="48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1、时间：</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日至</w:t>
      </w:r>
      <w:r>
        <w:rPr>
          <w:rFonts w:hint="eastAsia" w:ascii="宋体" w:hAnsi="宋体" w:eastAsia="宋体" w:cs="宋体"/>
          <w:color w:val="000000" w:themeColor="text1"/>
          <w:szCs w:val="21"/>
          <w:highlight w:val="none"/>
          <w:u w:val="single"/>
          <w14:textFill>
            <w14:solidFill>
              <w14:schemeClr w14:val="tx1"/>
            </w14:solidFill>
          </w14:textFill>
        </w:rPr>
        <w:t>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日,每天上午08:00至12:00，下午15:00至18:00（北京时间，法定节假日除外）</w:t>
      </w:r>
      <w:r>
        <w:rPr>
          <w:rFonts w:hint="eastAsia" w:ascii="宋体" w:hAnsi="宋体" w:eastAsia="宋体" w:cs="宋体"/>
          <w:color w:val="000000" w:themeColor="text1"/>
          <w:szCs w:val="21"/>
          <w:highlight w:val="none"/>
          <w:lang w:eastAsia="zh-CN"/>
          <w14:textFill>
            <w14:solidFill>
              <w14:schemeClr w14:val="tx1"/>
            </w14:solidFill>
          </w14:textFill>
        </w:rPr>
        <w:t>。</w:t>
      </w:r>
    </w:p>
    <w:p w14:paraId="0B13CBA0">
      <w:pPr>
        <w:keepNext w:val="0"/>
        <w:keepLines w:val="0"/>
        <w:pageBreakBefore w:val="0"/>
        <w:kinsoku/>
        <w:overflowPunct/>
        <w:topLinePunct w:val="0"/>
        <w:autoSpaceDE/>
        <w:autoSpaceDN/>
        <w:bidi w:val="0"/>
        <w:spacing w:line="480" w:lineRule="exact"/>
        <w:ind w:left="0" w:leftChars="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2、地点：</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color w:val="000000" w:themeColor="text1"/>
          <w:szCs w:val="21"/>
          <w:highlight w:val="none"/>
          <w14:textFill>
            <w14:solidFill>
              <w14:schemeClr w14:val="tx1"/>
            </w14:solidFill>
          </w14:textFill>
        </w:rPr>
        <w:t>（https://ggzy.zhumadian.gov.cn ）</w:t>
      </w:r>
      <w:r>
        <w:rPr>
          <w:rFonts w:hint="eastAsia" w:ascii="宋体" w:hAnsi="宋体" w:eastAsia="宋体" w:cs="宋体"/>
          <w:color w:val="000000" w:themeColor="text1"/>
          <w:szCs w:val="21"/>
          <w:highlight w:val="none"/>
          <w:lang w:eastAsia="zh-CN"/>
          <w14:textFill>
            <w14:solidFill>
              <w14:schemeClr w14:val="tx1"/>
            </w14:solidFill>
          </w14:textFill>
        </w:rPr>
        <w:t>。</w:t>
      </w:r>
    </w:p>
    <w:p w14:paraId="6BBE9E41">
      <w:pPr>
        <w:keepNext w:val="0"/>
        <w:keepLines w:val="0"/>
        <w:pageBreakBefore w:val="0"/>
        <w:kinsoku/>
        <w:overflowPunct/>
        <w:topLinePunct w:val="0"/>
        <w:autoSpaceDE/>
        <w:autoSpaceDN/>
        <w:bidi w:val="0"/>
        <w:spacing w:line="480" w:lineRule="exact"/>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3、方式：凭CA密钥登陆会员系统并按网上提示免费下载竞争性磋商文件及资料。 </w:t>
      </w:r>
    </w:p>
    <w:p w14:paraId="553C5115">
      <w:pPr>
        <w:pStyle w:val="24"/>
        <w:keepNext w:val="0"/>
        <w:keepLines w:val="0"/>
        <w:pageBreakBefore w:val="0"/>
        <w:kinsoku/>
        <w:overflowPunct/>
        <w:topLinePunct w:val="0"/>
        <w:autoSpaceDE/>
        <w:autoSpaceDN/>
        <w:bidi w:val="0"/>
        <w:spacing w:beforeAutospacing="0" w:afterAutospacing="0" w:line="480" w:lineRule="exact"/>
        <w:ind w:left="0" w:leftChars="0" w:firstLine="420"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4、售价：0元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3C5D0F4">
      <w:pPr>
        <w:keepNext w:val="0"/>
        <w:keepLines w:val="0"/>
        <w:pageBreakBefore w:val="0"/>
        <w:widowControl/>
        <w:kinsoku/>
        <w:overflowPunct/>
        <w:topLinePunct w:val="0"/>
        <w:autoSpaceDE/>
        <w:autoSpaceDN/>
        <w:bidi w:val="0"/>
        <w:adjustRightInd w:val="0"/>
        <w:spacing w:line="480" w:lineRule="exact"/>
        <w:ind w:firstLine="422" w:firstLineChars="200"/>
        <w:jc w:val="left"/>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四、响应文件提交</w:t>
      </w:r>
    </w:p>
    <w:p w14:paraId="1CA957BA">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1、时间</w:t>
      </w:r>
      <w:r>
        <w:rPr>
          <w:rFonts w:hint="eastAsia" w:ascii="宋体" w:hAnsi="宋体" w:eastAsia="宋体" w:cs="宋体"/>
          <w:color w:val="000000" w:themeColor="text1"/>
          <w:kern w:val="0"/>
          <w:szCs w:val="21"/>
          <w:highlight w:val="none"/>
          <w:u w:val="none"/>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u w:val="none"/>
          <w14:textFill>
            <w14:solidFill>
              <w14:schemeClr w14:val="tx1"/>
            </w14:solidFill>
          </w14:textFill>
        </w:rPr>
        <w:t>月</w:t>
      </w:r>
      <w:r>
        <w:rPr>
          <w:rFonts w:hint="eastAsia" w:ascii="宋体" w:hAnsi="宋体" w:eastAsia="宋体" w:cs="宋体"/>
          <w:color w:val="000000" w:themeColor="text1"/>
          <w:szCs w:val="21"/>
          <w:highlight w:val="none"/>
          <w:u w:val="none"/>
          <w:lang w:val="en-US" w:eastAsia="zh-CN"/>
          <w14:textFill>
            <w14:solidFill>
              <w14:schemeClr w14:val="tx1"/>
            </w14:solidFill>
          </w14:textFill>
        </w:rPr>
        <w:t>20</w:t>
      </w:r>
      <w:r>
        <w:rPr>
          <w:rFonts w:hint="eastAsia" w:ascii="宋体" w:hAnsi="宋体" w:eastAsia="宋体" w:cs="宋体"/>
          <w:color w:val="000000" w:themeColor="text1"/>
          <w:szCs w:val="21"/>
          <w:highlight w:val="none"/>
          <w:u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 xml:space="preserve"> 09时00 分（北京时间）</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EFC8246">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2、地点：</w:t>
      </w:r>
      <w:r>
        <w:rPr>
          <w:rFonts w:hint="eastAsia" w:ascii="宋体" w:hAnsi="宋体" w:eastAsia="宋体" w:cs="宋体"/>
          <w:color w:val="000000" w:themeColor="text1"/>
          <w:szCs w:val="21"/>
          <w:highlight w:val="none"/>
          <w14:textFill>
            <w14:solidFill>
              <w14:schemeClr w14:val="tx1"/>
            </w14:solidFill>
          </w14:textFill>
        </w:rPr>
        <w:t>“驻马店市公共资源交易</w:t>
      </w:r>
      <w:r>
        <w:rPr>
          <w:rFonts w:hint="eastAsia" w:ascii="宋体" w:hAnsi="宋体" w:eastAsia="宋体" w:cs="宋体"/>
          <w:color w:val="000000" w:themeColor="text1"/>
          <w:szCs w:val="21"/>
          <w:highlight w:val="none"/>
          <w:lang w:val="en-US" w:eastAsia="zh-CN"/>
          <w14:textFill>
            <w14:solidFill>
              <w14:schemeClr w14:val="tx1"/>
            </w14:solidFill>
          </w14:textFill>
        </w:rPr>
        <w:t>中心</w:t>
      </w:r>
      <w:r>
        <w:rPr>
          <w:rFonts w:hint="eastAsia" w:ascii="宋体" w:hAnsi="宋体" w:eastAsia="宋体" w:cs="宋体"/>
          <w:color w:val="000000" w:themeColor="text1"/>
          <w:szCs w:val="21"/>
          <w:highlight w:val="none"/>
          <w14:textFill>
            <w14:solidFill>
              <w14:schemeClr w14:val="tx1"/>
            </w14:solidFill>
          </w14:textFill>
        </w:rPr>
        <w:t>（https://ggzy.zhumadian.gov.cn /）”网站</w:t>
      </w:r>
      <w:r>
        <w:rPr>
          <w:rFonts w:hint="eastAsia" w:ascii="宋体" w:hAnsi="宋体" w:eastAsia="宋体" w:cs="宋体"/>
          <w:color w:val="000000" w:themeColor="text1"/>
          <w:szCs w:val="21"/>
          <w:highlight w:val="none"/>
          <w:lang w:eastAsia="zh-CN"/>
          <w14:textFill>
            <w14:solidFill>
              <w14:schemeClr w14:val="tx1"/>
            </w14:solidFill>
          </w14:textFill>
        </w:rPr>
        <w:t>。</w:t>
      </w:r>
    </w:p>
    <w:p w14:paraId="221466DE">
      <w:pPr>
        <w:keepNext w:val="0"/>
        <w:keepLines w:val="0"/>
        <w:pageBreakBefore w:val="0"/>
        <w:widowControl/>
        <w:kinsoku/>
        <w:wordWrap w:val="0"/>
        <w:overflowPunct/>
        <w:topLinePunct w:val="0"/>
        <w:autoSpaceDE/>
        <w:autoSpaceDN/>
        <w:bidi w:val="0"/>
        <w:snapToGrid w:val="0"/>
        <w:spacing w:line="480" w:lineRule="exact"/>
        <w:ind w:firstLine="413" w:firstLineChars="196"/>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五、响应性文件的开启时间及地点</w:t>
      </w:r>
    </w:p>
    <w:p w14:paraId="11AAB363">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1、时间：</w:t>
      </w: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10</w:t>
      </w:r>
      <w:r>
        <w:rPr>
          <w:rFonts w:hint="eastAsia" w:ascii="宋体" w:hAnsi="宋体" w:eastAsia="宋体" w:cs="宋体"/>
          <w:color w:val="000000" w:themeColor="text1"/>
          <w:szCs w:val="21"/>
          <w:highlight w:val="none"/>
          <w:u w:val="none"/>
          <w14:textFill>
            <w14:solidFill>
              <w14:schemeClr w14:val="tx1"/>
            </w14:solidFill>
          </w14:textFill>
        </w:rPr>
        <w:t>月</w:t>
      </w:r>
      <w:r>
        <w:rPr>
          <w:rFonts w:hint="eastAsia" w:ascii="宋体" w:hAnsi="宋体" w:eastAsia="宋体" w:cs="宋体"/>
          <w:color w:val="000000" w:themeColor="text1"/>
          <w:szCs w:val="21"/>
          <w:highlight w:val="none"/>
          <w:u w:val="none"/>
          <w:lang w:val="en-US" w:eastAsia="zh-CN"/>
          <w14:textFill>
            <w14:solidFill>
              <w14:schemeClr w14:val="tx1"/>
            </w14:solidFill>
          </w14:textFill>
        </w:rPr>
        <w:t>20</w:t>
      </w:r>
      <w:r>
        <w:rPr>
          <w:rFonts w:hint="eastAsia" w:ascii="宋体" w:hAnsi="宋体" w:eastAsia="宋体" w:cs="宋体"/>
          <w:color w:val="000000" w:themeColor="text1"/>
          <w:szCs w:val="21"/>
          <w:highlight w:val="none"/>
          <w:u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 xml:space="preserve"> 09时00 分（北京时间）</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F1B5161">
      <w:pPr>
        <w:keepNext w:val="0"/>
        <w:keepLines w:val="0"/>
        <w:pageBreakBefore w:val="0"/>
        <w:widowControl/>
        <w:kinsoku/>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2、地点：</w:t>
      </w:r>
      <w:r>
        <w:rPr>
          <w:rFonts w:hint="eastAsia" w:ascii="宋体" w:hAnsi="宋体" w:eastAsia="宋体" w:cs="宋体"/>
          <w:color w:val="000000" w:themeColor="text1"/>
          <w:szCs w:val="21"/>
          <w:highlight w:val="none"/>
          <w14:textFill>
            <w14:solidFill>
              <w14:schemeClr w14:val="tx1"/>
            </w14:solidFill>
          </w14:textFill>
        </w:rPr>
        <w:t>驻马店市公共资源交易中心不见面开标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厅。</w:t>
      </w:r>
    </w:p>
    <w:p w14:paraId="690BFFD3">
      <w:pPr>
        <w:keepNext w:val="0"/>
        <w:keepLines w:val="0"/>
        <w:pageBreakBefore w:val="0"/>
        <w:widowControl/>
        <w:kinsoku/>
        <w:wordWrap w:val="0"/>
        <w:overflowPunct/>
        <w:topLinePunct w:val="0"/>
        <w:autoSpaceDE/>
        <w:autoSpaceDN/>
        <w:bidi w:val="0"/>
        <w:snapToGrid w:val="0"/>
        <w:spacing w:line="480" w:lineRule="exact"/>
        <w:ind w:firstLine="413" w:firstLineChars="196"/>
        <w:jc w:val="left"/>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六、发布公告的媒体及公告期限</w:t>
      </w:r>
    </w:p>
    <w:p w14:paraId="73AC9D5C">
      <w:pPr>
        <w:keepNext w:val="0"/>
        <w:keepLines w:val="0"/>
        <w:pageBreakBefore w:val="0"/>
        <w:widowControl/>
        <w:kinsoku/>
        <w:wordWrap w:val="0"/>
        <w:overflowPunct/>
        <w:topLinePunct w:val="0"/>
        <w:autoSpaceDE/>
        <w:autoSpaceDN/>
        <w:bidi w:val="0"/>
        <w:snapToGrid w:val="0"/>
        <w:spacing w:line="480" w:lineRule="exact"/>
        <w:ind w:firstLine="411" w:firstLineChars="196"/>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本次公告在</w:t>
      </w:r>
      <w:r>
        <w:rPr>
          <w:rFonts w:hint="eastAsia" w:ascii="宋体" w:hAnsi="宋体" w:eastAsia="宋体" w:cs="宋体"/>
          <w:color w:val="000000" w:themeColor="text1"/>
          <w:szCs w:val="21"/>
          <w:highlight w:val="none"/>
          <w14:textFill>
            <w14:solidFill>
              <w14:schemeClr w14:val="tx1"/>
            </w14:solidFill>
          </w14:textFill>
        </w:rPr>
        <w:t>《河南省政府采购网》、《</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上发布，公告期限为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r>
        <w:rPr>
          <w:rFonts w:hint="eastAsia" w:ascii="宋体" w:hAnsi="宋体" w:eastAsia="宋体" w:cs="宋体"/>
          <w:color w:val="000000" w:themeColor="text1"/>
          <w:kern w:val="0"/>
          <w:szCs w:val="21"/>
          <w:highlight w:val="none"/>
          <w14:textFill>
            <w14:solidFill>
              <w14:schemeClr w14:val="tx1"/>
            </w14:solidFill>
          </w14:textFill>
        </w:rPr>
        <w:t>个工作日。</w:t>
      </w:r>
    </w:p>
    <w:p w14:paraId="0B5C0132">
      <w:pPr>
        <w:keepNext w:val="0"/>
        <w:keepLines w:val="0"/>
        <w:pageBreakBefore w:val="0"/>
        <w:widowControl/>
        <w:kinsoku/>
        <w:overflowPunct/>
        <w:topLinePunct w:val="0"/>
        <w:autoSpaceDE/>
        <w:autoSpaceDN/>
        <w:bidi w:val="0"/>
        <w:spacing w:line="480" w:lineRule="exact"/>
        <w:ind w:firstLine="472"/>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七、其他补充事宜</w:t>
      </w:r>
    </w:p>
    <w:p w14:paraId="31D6ECD3">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1、本项目采用不见面开标、</w:t>
      </w:r>
      <w:r>
        <w:rPr>
          <w:rFonts w:hint="eastAsia" w:ascii="宋体" w:hAnsi="宋体" w:eastAsia="宋体" w:cs="宋体"/>
          <w:color w:val="000000" w:themeColor="text1"/>
          <w:kern w:val="0"/>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需要递交电子响应文件，无需递交纸质文件。</w:t>
      </w:r>
    </w:p>
    <w:p w14:paraId="529AC67C">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2、响应文件的上传/递交截止时间（</w:t>
      </w: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截止时间，下同）和地点见磋商文件。加密电子响应文件（*.ZMDTF格式）应在截止时间前通过</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color w:val="000000" w:themeColor="text1"/>
          <w:szCs w:val="21"/>
          <w:highlight w:val="none"/>
          <w14:textFill>
            <w14:solidFill>
              <w14:schemeClr w14:val="tx1"/>
            </w14:solidFill>
          </w14:textFill>
        </w:rPr>
        <w:t>（https://ggzy.zhumadian.gov.cn :8820/TPBidder）上传完成。</w:t>
      </w:r>
    </w:p>
    <w:p w14:paraId="6B05299B">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3、本项目采用远程不见面交易的模式。开标当日，供应商无需到达开标现场，仅需在任意地点通过驻马店不见面开标系统（https://ggzy.zhumadian.gov.cn :9190/BidOpening/bidopeninghallaction/hall/login）及相应的配套硬件设备（摄像头、话筒、麦克风等），完成远程解密、文件传输、提疑澄清、开标唱标、结果公布等交互环节。供应商必须使用能正确解密响应文件的“CA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w:t>
      </w:r>
    </w:p>
    <w:p w14:paraId="39382728">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4、远程开标前，</w:t>
      </w:r>
      <w:r>
        <w:rPr>
          <w:rFonts w:hint="eastAsia" w:ascii="宋体" w:hAnsi="宋体" w:eastAsia="宋体" w:cs="宋体"/>
          <w:color w:val="000000" w:themeColor="text1"/>
          <w:kern w:val="0"/>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务必在</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color w:val="000000" w:themeColor="text1"/>
          <w:kern w:val="0"/>
          <w:szCs w:val="21"/>
          <w:highlight w:val="none"/>
          <w14:textFill>
            <w14:solidFill>
              <w14:schemeClr w14:val="tx1"/>
            </w14:solidFill>
          </w14:textFill>
        </w:rPr>
        <w:t>（https://ggzy.zhumadian.gov.cn :8820/TPBidder）响应文件</w:t>
      </w:r>
      <w:r>
        <w:rPr>
          <w:rFonts w:hint="eastAsia" w:ascii="宋体" w:hAnsi="宋体" w:eastAsia="宋体" w:cs="宋体"/>
          <w:color w:val="000000" w:themeColor="text1"/>
          <w:szCs w:val="21"/>
          <w:highlight w:val="none"/>
          <w14:textFill>
            <w14:solidFill>
              <w14:schemeClr w14:val="tx1"/>
            </w14:solidFill>
          </w14:textFill>
        </w:rPr>
        <w:t>上传模块中使用“模拟解密”功能，验证本机远程自助解密环境。</w:t>
      </w:r>
    </w:p>
    <w:p w14:paraId="1CD33BE0">
      <w:pPr>
        <w:keepNext w:val="0"/>
        <w:keepLines w:val="0"/>
        <w:pageBreakBefore w:val="0"/>
        <w:widowControl/>
        <w:kinsoku/>
        <w:wordWrap w:val="0"/>
        <w:overflowPunct/>
        <w:topLinePunct w:val="0"/>
        <w:autoSpaceDE/>
        <w:autoSpaceDN/>
        <w:bidi w:val="0"/>
        <w:adjustRightInd w:val="0"/>
        <w:spacing w:line="480" w:lineRule="exact"/>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5、逾期上传/送达的或者未上传/未送达指定地点的响应文件，采购人不予受理。</w:t>
      </w:r>
    </w:p>
    <w:p w14:paraId="40041816">
      <w:pPr>
        <w:keepNext w:val="0"/>
        <w:keepLines w:val="0"/>
        <w:pageBreakBefore w:val="0"/>
        <w:widowControl/>
        <w:kinsoku/>
        <w:overflowPunct/>
        <w:topLinePunct w:val="0"/>
        <w:autoSpaceDE/>
        <w:autoSpaceDN/>
        <w:bidi w:val="0"/>
        <w:spacing w:line="480" w:lineRule="exact"/>
        <w:ind w:firstLine="472"/>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八、凡对本次招标提出询问，请按照以下方式联系：</w:t>
      </w:r>
    </w:p>
    <w:bookmarkEnd w:id="12"/>
    <w:bookmarkEnd w:id="13"/>
    <w:bookmarkEnd w:id="14"/>
    <w:bookmarkEnd w:id="15"/>
    <w:p w14:paraId="41FE6D61">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1.采购人信息</w:t>
      </w:r>
      <w:r>
        <w:rPr>
          <w:rFonts w:hint="eastAsia" w:ascii="宋体" w:hAnsi="宋体" w:eastAsia="宋体" w:cs="宋体"/>
          <w:color w:val="000000" w:themeColor="text1"/>
          <w:kern w:val="0"/>
          <w:szCs w:val="21"/>
          <w:highlight w:val="none"/>
          <w14:textFill>
            <w14:solidFill>
              <w14:schemeClr w14:val="tx1"/>
            </w14:solidFill>
          </w14:textFill>
        </w:rPr>
        <w:tab/>
      </w:r>
    </w:p>
    <w:p w14:paraId="0D0C3EB7">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名称：驻马店市中心医院</w:t>
      </w:r>
    </w:p>
    <w:p w14:paraId="132F2643">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地址：驻马店市中华路西段747号</w:t>
      </w:r>
    </w:p>
    <w:p w14:paraId="6D6D202B">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 系 人：陈先生         </w:t>
      </w:r>
    </w:p>
    <w:p w14:paraId="1299238F">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联系电话：0396-2726379 </w:t>
      </w:r>
    </w:p>
    <w:p w14:paraId="653638FE">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2.采购代理机构信息</w:t>
      </w:r>
    </w:p>
    <w:p w14:paraId="049A8E80">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名称：</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中泰工程管理有限公司 </w:t>
      </w:r>
    </w:p>
    <w:p w14:paraId="6CEF8AE5">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r>
        <w:rPr>
          <w:rFonts w:hint="eastAsia" w:ascii="宋体" w:hAnsi="宋体" w:eastAsia="宋体" w:cs="宋体"/>
          <w:color w:val="000000" w:themeColor="text1"/>
          <w:kern w:val="0"/>
          <w:szCs w:val="21"/>
          <w:highlight w:val="none"/>
          <w:lang w:val="en-US" w:eastAsia="zh-CN"/>
          <w14:textFill>
            <w14:solidFill>
              <w14:schemeClr w14:val="tx1"/>
            </w14:solidFill>
          </w14:textFill>
        </w:rPr>
        <w:t>河南省郑州市金水区红专路110号名门国际中心17层1706室</w:t>
      </w:r>
    </w:p>
    <w:p w14:paraId="3EF57B43">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张先生</w:t>
      </w:r>
    </w:p>
    <w:p w14:paraId="5DB1FCDC">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r>
        <w:rPr>
          <w:rFonts w:hint="eastAsia" w:ascii="宋体" w:hAnsi="宋体" w:eastAsia="宋体" w:cs="宋体"/>
          <w:color w:val="000000" w:themeColor="text1"/>
          <w:kern w:val="0"/>
          <w:szCs w:val="21"/>
          <w:highlight w:val="none"/>
          <w:lang w:val="en-US" w:eastAsia="zh-CN"/>
          <w14:textFill>
            <w14:solidFill>
              <w14:schemeClr w14:val="tx1"/>
            </w14:solidFill>
          </w14:textFill>
        </w:rPr>
        <w:t>15638301234</w:t>
      </w:r>
    </w:p>
    <w:p w14:paraId="7EDCD022">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3.项目联系方式</w:t>
      </w:r>
    </w:p>
    <w:p w14:paraId="4AEB4EE9">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项目联系人：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张先生</w:t>
      </w:r>
    </w:p>
    <w:p w14:paraId="19A9F84B">
      <w:pPr>
        <w:keepNext w:val="0"/>
        <w:keepLines w:val="0"/>
        <w:pageBreakBefore w:val="0"/>
        <w:kinsoku/>
        <w:wordWrap w:val="0"/>
        <w:overflowPunct/>
        <w:topLinePunct w:val="0"/>
        <w:autoSpaceDE/>
        <w:autoSpaceDN/>
        <w:bidi w:val="0"/>
        <w:snapToGrid w:val="0"/>
        <w:spacing w:line="480" w:lineRule="exact"/>
        <w:ind w:firstLine="420" w:firstLineChars="200"/>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联系方式：</w:t>
      </w:r>
      <w:r>
        <w:rPr>
          <w:rFonts w:hint="eastAsia" w:ascii="宋体" w:hAnsi="宋体" w:eastAsia="宋体" w:cs="宋体"/>
          <w:color w:val="000000" w:themeColor="text1"/>
          <w:kern w:val="0"/>
          <w:szCs w:val="21"/>
          <w:highlight w:val="none"/>
          <w:lang w:val="en-US" w:eastAsia="zh-CN"/>
          <w14:textFill>
            <w14:solidFill>
              <w14:schemeClr w14:val="tx1"/>
            </w14:solidFill>
          </w14:textFill>
        </w:rPr>
        <w:t>15638301234</w:t>
      </w:r>
    </w:p>
    <w:p w14:paraId="7B62C5DC">
      <w:pPr>
        <w:ind w:firstLine="315" w:firstLineChars="98"/>
        <w:jc w:val="center"/>
        <w:outlineLvl w:val="0"/>
        <w:rPr>
          <w:rFonts w:hint="eastAsia" w:ascii="宋体" w:hAnsi="宋体" w:eastAsia="宋体" w:cs="宋体"/>
          <w:b/>
          <w:color w:val="000000" w:themeColor="text1"/>
          <w:sz w:val="32"/>
          <w:szCs w:val="32"/>
          <w:highlight w:val="none"/>
          <w14:textFill>
            <w14:solidFill>
              <w14:schemeClr w14:val="tx1"/>
            </w14:solidFill>
          </w14:textFill>
        </w:rPr>
      </w:pPr>
    </w:p>
    <w:p w14:paraId="643D23E3">
      <w:pPr>
        <w:ind w:firstLine="315" w:firstLineChars="98"/>
        <w:jc w:val="center"/>
        <w:outlineLvl w:val="0"/>
        <w:rPr>
          <w:rFonts w:hint="eastAsia" w:ascii="宋体" w:hAnsi="宋体" w:eastAsia="宋体" w:cs="宋体"/>
          <w:b/>
          <w:color w:val="000000" w:themeColor="text1"/>
          <w:sz w:val="32"/>
          <w:szCs w:val="32"/>
          <w:highlight w:val="none"/>
          <w14:textFill>
            <w14:solidFill>
              <w14:schemeClr w14:val="tx1"/>
            </w14:solidFill>
          </w14:textFill>
        </w:rPr>
        <w:sectPr>
          <w:headerReference r:id="rId10" w:type="default"/>
          <w:footerReference r:id="rId11" w:type="default"/>
          <w:pgSz w:w="11900" w:h="16838"/>
          <w:pgMar w:top="1440" w:right="1800" w:bottom="1440" w:left="1800" w:header="850" w:footer="992" w:gutter="0"/>
          <w:pgNumType w:start="1"/>
          <w:cols w:space="720" w:num="1"/>
          <w:docGrid w:type="lines" w:linePitch="317" w:charSpace="0"/>
        </w:sectPr>
      </w:pPr>
    </w:p>
    <w:p w14:paraId="61E51A29">
      <w:pPr>
        <w:ind w:firstLine="315" w:firstLineChars="98"/>
        <w:jc w:val="center"/>
        <w:outlineLvl w:val="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第二章  采购需求</w:t>
      </w:r>
    </w:p>
    <w:p w14:paraId="5481658A">
      <w:pPr>
        <w:spacing w:line="360" w:lineRule="auto"/>
        <w:ind w:firstLine="422" w:firstLineChars="200"/>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bCs/>
          <w:color w:val="000000" w:themeColor="text1"/>
          <w:szCs w:val="21"/>
          <w:highlight w:val="none"/>
          <w:lang w:eastAsia="zh-CN"/>
          <w14:textFill>
            <w14:solidFill>
              <w14:schemeClr w14:val="tx1"/>
            </w14:solidFill>
          </w14:textFill>
        </w:rPr>
        <w:t>驻马店市中心医院全自动酶免分析仪（工作站）采购项目</w:t>
      </w:r>
    </w:p>
    <w:p w14:paraId="347E16DB">
      <w:p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r>
        <w:rPr>
          <w:rFonts w:hint="eastAsia" w:ascii="宋体" w:hAnsi="宋体" w:eastAsia="宋体" w:cs="宋体"/>
          <w:b w:val="0"/>
          <w:bCs/>
          <w:color w:val="000000" w:themeColor="text1"/>
          <w:szCs w:val="21"/>
          <w:highlight w:val="none"/>
          <w14:textFill>
            <w14:solidFill>
              <w14:schemeClr w14:val="tx1"/>
            </w14:solidFill>
          </w14:textFill>
        </w:rPr>
        <w:t>驻政采购-2025-09-32</w:t>
      </w:r>
    </w:p>
    <w:p w14:paraId="198D260F">
      <w:pPr>
        <w:spacing w:line="360" w:lineRule="auto"/>
        <w:ind w:firstLine="422" w:firstLineChars="200"/>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采购内容：</w:t>
      </w:r>
    </w:p>
    <w:tbl>
      <w:tblPr>
        <w:tblStyle w:val="28"/>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261"/>
        <w:gridCol w:w="850"/>
        <w:gridCol w:w="967"/>
        <w:gridCol w:w="1751"/>
        <w:gridCol w:w="162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68"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rPr>
              <w:t>序号</w:t>
            </w:r>
          </w:p>
        </w:tc>
        <w:tc>
          <w:tcPr>
            <w:tcW w:w="2261"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rPr>
              <w:t>标的名称</w:t>
            </w:r>
          </w:p>
        </w:tc>
        <w:tc>
          <w:tcPr>
            <w:tcW w:w="850"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lang w:val="en-US" w:eastAsia="zh-CN"/>
              </w:rPr>
              <w:t>单位</w:t>
            </w:r>
          </w:p>
        </w:tc>
        <w:tc>
          <w:tcPr>
            <w:tcW w:w="9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rPr>
              <w:t>数量</w:t>
            </w:r>
          </w:p>
        </w:tc>
        <w:tc>
          <w:tcPr>
            <w:tcW w:w="1751" w:type="dxa"/>
            <w:vAlign w:val="center"/>
          </w:tcPr>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rPr>
              <w:t>资金预算</w:t>
            </w:r>
          </w:p>
        </w:tc>
        <w:tc>
          <w:tcPr>
            <w:tcW w:w="1620" w:type="dxa"/>
            <w:vAlign w:val="center"/>
          </w:tcPr>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lang w:val="en-US" w:eastAsia="zh-CN"/>
              </w:rPr>
              <w:t>资金性质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261"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全自动酶免分析仪（工作站）</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台</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751"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140万元</w:t>
            </w:r>
          </w:p>
        </w:tc>
        <w:tc>
          <w:tcPr>
            <w:tcW w:w="162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财政资金+自筹资金</w:t>
            </w:r>
          </w:p>
        </w:tc>
      </w:tr>
    </w:tbl>
    <w:p w14:paraId="34C3A26F">
      <w:pPr>
        <w:bidi w:val="0"/>
        <w:rPr>
          <w:rFonts w:hint="eastAsia"/>
        </w:rPr>
      </w:pPr>
    </w:p>
    <w:p w14:paraId="0ECDF27A">
      <w:pPr>
        <w:pStyle w:val="20"/>
        <w:numPr>
          <w:ilvl w:val="0"/>
          <w:numId w:val="4"/>
        </w:numPr>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技术参数</w:t>
      </w:r>
    </w:p>
    <w:p w14:paraId="46E53D35">
      <w:pPr>
        <w:pStyle w:val="20"/>
        <w:numPr>
          <w:ilvl w:val="0"/>
          <w:numId w:val="0"/>
        </w:numPr>
        <w:jc w:val="center"/>
        <w:rPr>
          <w:rFonts w:hint="eastAsia" w:ascii="宋体" w:hAnsi="宋体" w:eastAsia="宋体" w:cs="宋体"/>
          <w:b/>
          <w:bCs/>
          <w:sz w:val="21"/>
          <w:szCs w:val="21"/>
          <w:highlight w:val="none"/>
          <w:lang w:val="en-US" w:eastAsia="zh-CN"/>
        </w:rPr>
      </w:pPr>
    </w:p>
    <w:p w14:paraId="3F6D535B">
      <w:pPr>
        <w:pStyle w:val="20"/>
        <w:numPr>
          <w:ilvl w:val="0"/>
          <w:numId w:val="0"/>
        </w:numPr>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全自动酶免分析仪（工作站）技术参数</w:t>
      </w:r>
    </w:p>
    <w:p w14:paraId="072164A5">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1、基本功能：全自动完成ELISA实验，包括加样、稀释、振荡、孵育、洗板、读数及结果判断全过程实验；</w:t>
      </w:r>
    </w:p>
    <w:p w14:paraId="2A44086C">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2、试剂应用范围；完全开放试剂系统；</w:t>
      </w:r>
    </w:p>
    <w:p w14:paraId="4F9F05DC">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★3、加样平台：≥8个加样本通道，≥8个加试剂通道，可独立编程，进行单次或连续分液。</w:t>
      </w:r>
    </w:p>
    <w:p w14:paraId="0E8D4BF7">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 xml:space="preserve">4、加样精密度（CV）：1000ul≤0.4%，800ul≤0.5%，100ul≤1%，10ul≤3%；准确度≤±3%。    </w:t>
      </w:r>
    </w:p>
    <w:p w14:paraId="2FDBC37E">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5、工作模式：可连续进样、连续进板、随到随做。</w:t>
      </w:r>
    </w:p>
    <w:p w14:paraId="0F684AC7">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★6、样本位和试剂仓：同时容纳（非连续装载）≥288个样本位，减少频繁的样本装载，满足大标本量需求。</w:t>
      </w:r>
    </w:p>
    <w:p w14:paraId="598C13BF">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试剂仓：单个试剂仓容量≥60ml，可同时放置≥40个通用试剂舱。样本、质控、试剂全部采用通用轨道式装载，实验完成可把载架从工作台面取出，方便更换。</w:t>
      </w:r>
    </w:p>
    <w:p w14:paraId="354A8453">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7、移液通道及加样针：独立移液通道，使用透明一次性加样头，便于人工观察吸头内液体状态，避免样品携带污染和液体稀释效应。一次性加样头装脱针具有可监测装针、脱针状态，一次性同时装载≥480支吸头。</w:t>
      </w:r>
    </w:p>
    <w:p w14:paraId="7B8E6964">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8、液体水平监测：压力感应式液面和凝块探测原理，具备液面监测、凝块监测和空管监测功能，试剂缺失时软件进行报警提示。</w:t>
      </w:r>
    </w:p>
    <w:p w14:paraId="68B58932">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9、加样板位：≥16块96孔微板，并行分配标本的微板数≥16块96孔微孔板。</w:t>
      </w:r>
    </w:p>
    <w:p w14:paraId="71D74FAF">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10、加样原理：加样无液体稀释、无尾液、无系统液污染、加样通道具有防滴漏控制功能。</w:t>
      </w:r>
    </w:p>
    <w:p w14:paraId="3D25E1F2">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★11、振荡孵育模块：振荡孵育模块≥32个，能够同时孵育≥32块微板，每个孵育模块必须有独立振荡功能；并且每个孵育模块能够单独温控，，温度控制范围：室温~60℃，温度准确度≤0.2℃。</w:t>
      </w:r>
    </w:p>
    <w:p w14:paraId="258D1466">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★12、洗板机：≥3台独立洗板机，清洗次数可调，清洗残留液量≤1ul/孔；洗液桶配有液位传感器，独立监测每个洗液桶液量，出现异常可及时报警提示。</w:t>
      </w:r>
    </w:p>
    <w:p w14:paraId="13925D27">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13、洗板通道：≥48通道96针，每个通道分别包含1个注液针和1个吸液针；洗板位置≥6个。</w:t>
      </w:r>
    </w:p>
    <w:p w14:paraId="29C62CEC">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14、机械抓手具有抓空自动报警，能自动适应各种宽度类型微板。可实时监测抓板状态，防止掉板。≥4个机械臂，至少包含2个加样机械臂，用于液体转移，2个抓板机械臂，用于微板转移。</w:t>
      </w:r>
    </w:p>
    <w:p w14:paraId="02ADA852">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15、酶标仪：≥1台酶标仪，≥8通道测量，酶标仪标准检测波长配置为：405nm、450nm、492nm和630nm。</w:t>
      </w:r>
    </w:p>
    <w:p w14:paraId="28E3E523">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16、标本条码扫描：具备标本条码扫描仪，装载标本时自动扫描标本条码。</w:t>
      </w:r>
    </w:p>
    <w:p w14:paraId="75681362">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17、报警处理：可选择重试、忽略、终止运行，可选择处理模式不影响整体实验运行。</w:t>
      </w:r>
    </w:p>
    <w:p w14:paraId="4413BBA3">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18、运行保障：具有自动运行保障系统，可以屏蔽故障模块，保证其他模块的正常运行。</w:t>
      </w:r>
    </w:p>
    <w:p w14:paraId="75E49B25">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19、中文操作系统，能在Windows 7及以上操作系统运行；具有自检诊断，纠错报警功能和局域网络化软件功能。</w:t>
      </w:r>
    </w:p>
    <w:p w14:paraId="7FCCCB9E">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★20仪器可以与医院的管理系统（LIS/HIS）连接，实现数据共享通讯，支持双工通讯（相关接口费用由成交供应商承担）； 可实现同一批上机标本每个标本检测项目自定义。</w:t>
      </w:r>
    </w:p>
    <w:p w14:paraId="57197D55">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21.配备：全自动酶免分析仪配套工作站：</w:t>
      </w:r>
    </w:p>
    <w:p w14:paraId="1EEDF21E">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CPU：≥i5，内存≥8G，硬盘≥1T，显示器尺寸≥23英寸；</w:t>
      </w:r>
    </w:p>
    <w:p w14:paraId="47195EB2">
      <w:pPr>
        <w:spacing w:afterAutospacing="0" w:line="360" w:lineRule="auto"/>
        <w:ind w:firstLine="420" w:firstLineChars="200"/>
        <w:jc w:val="left"/>
        <w:outlineLvl w:val="1"/>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打印速度≥20页/分钟，最大打印尺寸：A4；黑白、正反打印。</w:t>
      </w:r>
    </w:p>
    <w:p w14:paraId="3715288C">
      <w:pPr>
        <w:spacing w:afterAutospacing="0" w:line="360" w:lineRule="auto"/>
        <w:jc w:val="both"/>
        <w:outlineLvl w:val="1"/>
        <w:rPr>
          <w:rFonts w:hint="eastAsia" w:ascii="宋体" w:hAnsi="宋体" w:eastAsia="宋体" w:cs="宋体"/>
          <w:b/>
          <w:sz w:val="21"/>
          <w:szCs w:val="21"/>
          <w:highlight w:val="none"/>
          <w:lang w:val="en-US" w:eastAsia="zh-CN"/>
        </w:rPr>
        <w:sectPr>
          <w:pgSz w:w="11900" w:h="16838"/>
          <w:pgMar w:top="1440" w:right="1800" w:bottom="1440" w:left="1800" w:header="850" w:footer="992" w:gutter="0"/>
          <w:cols w:space="720" w:num="1"/>
          <w:docGrid w:type="lines" w:linePitch="317" w:charSpace="0"/>
        </w:sectPr>
      </w:pPr>
    </w:p>
    <w:p w14:paraId="71C5D8D5">
      <w:pPr>
        <w:bidi w:val="0"/>
        <w:rPr>
          <w:rFonts w:hint="eastAsia"/>
          <w:lang w:val="en-US" w:eastAsia="zh-CN"/>
        </w:rPr>
      </w:pPr>
    </w:p>
    <w:p w14:paraId="606652A6">
      <w:pPr>
        <w:spacing w:afterAutospacing="0" w:line="360" w:lineRule="auto"/>
        <w:jc w:val="both"/>
        <w:outlineLvl w:val="1"/>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二、其他要求</w:t>
      </w:r>
    </w:p>
    <w:p w14:paraId="18ED6865">
      <w:pPr>
        <w:pStyle w:val="3"/>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E50540A">
      <w:pPr>
        <w:spacing w:beforeAutospacing="0" w:afterAutospacing="0" w:line="360" w:lineRule="auto"/>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48C691C6">
      <w:pPr>
        <w:spacing w:beforeAutospacing="0" w:afterAutospacing="0"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3446643B">
      <w:pPr>
        <w:spacing w:beforeAutospacing="0" w:line="360" w:lineRule="auto"/>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eastAsia="zh-CN"/>
        </w:rPr>
        <w:t>2.4商品包装和快递包装应符合《商品包装政府采购需求标准（试行）》和《快递包装政府采购需求标准（试行）》规定。</w:t>
      </w:r>
    </w:p>
    <w:p w14:paraId="1BC6DE11">
      <w:pPr>
        <w:spacing w:beforeAutospacing="0" w:line="360" w:lineRule="auto"/>
        <w:ind w:firstLine="420" w:firstLineChars="200"/>
        <w:rPr>
          <w:rFonts w:hint="eastAsia" w:ascii="宋体" w:hAnsi="宋体" w:eastAsia="宋体" w:cs="宋体"/>
          <w:b w:val="0"/>
          <w:bCs w:val="0"/>
          <w:sz w:val="21"/>
          <w:szCs w:val="21"/>
          <w:highlight w:val="none"/>
          <w:lang w:val="en-US" w:eastAsia="zh-CN"/>
        </w:rPr>
        <w:sectPr>
          <w:pgSz w:w="11900" w:h="16838"/>
          <w:pgMar w:top="1440" w:right="1800" w:bottom="1440" w:left="1800" w:header="850" w:footer="992" w:gutter="0"/>
          <w:cols w:space="720" w:num="1"/>
          <w:docGrid w:type="lines" w:linePitch="317" w:charSpace="0"/>
        </w:sectPr>
      </w:pPr>
      <w:r>
        <w:rPr>
          <w:rFonts w:hint="eastAsia" w:ascii="宋体" w:hAnsi="宋体" w:eastAsia="宋体" w:cs="宋体"/>
          <w:b w:val="0"/>
          <w:bCs w:val="0"/>
          <w:sz w:val="21"/>
          <w:szCs w:val="21"/>
          <w:highlight w:val="none"/>
          <w:lang w:val="en-US" w:eastAsia="zh-CN"/>
        </w:rPr>
        <w:t>2.5成交供应商交付设备时，应按照《国家食品药品监督管理总局》第18号令第17条的要求提供相应的维护手册、维修手册、软件备份、故障代码表、备件清单、零部件、维修密码等维护维修必需的材料和信息。</w:t>
      </w:r>
    </w:p>
    <w:p w14:paraId="3DC017DF">
      <w:pPr>
        <w:spacing w:line="360" w:lineRule="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三</w:t>
      </w:r>
      <w:r>
        <w:rPr>
          <w:rFonts w:hint="eastAsia" w:ascii="宋体" w:hAnsi="宋体" w:eastAsia="宋体" w:cs="宋体"/>
          <w:b/>
          <w:bCs/>
          <w:color w:val="000000" w:themeColor="text1"/>
          <w:kern w:val="0"/>
          <w:szCs w:val="21"/>
          <w:highlight w:val="none"/>
          <w14:textFill>
            <w14:solidFill>
              <w14:schemeClr w14:val="tx1"/>
            </w14:solidFill>
          </w14:textFill>
        </w:rPr>
        <w:t>、商务要求</w:t>
      </w:r>
    </w:p>
    <w:tbl>
      <w:tblPr>
        <w:tblStyle w:val="27"/>
        <w:tblW w:w="90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7297"/>
      </w:tblGrid>
      <w:tr w14:paraId="62BCA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34DC8F1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质保期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078A77F">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从产品入库之日起，使用期内免费终身包修，出具相关服务承诺书。</w:t>
            </w:r>
          </w:p>
        </w:tc>
      </w:tr>
      <w:tr w14:paraId="75A17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175F70E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合同签订时间、交货期及地点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3BD8C6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合同签订时间:成交通知书发出后2个工作日内；</w:t>
            </w:r>
          </w:p>
          <w:p w14:paraId="0DD27F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交货期:合同签订后30日内交货，最终以合同约定内容为准；</w:t>
            </w:r>
          </w:p>
          <w:p w14:paraId="168A0E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地点:采购人指定地点。</w:t>
            </w:r>
          </w:p>
        </w:tc>
      </w:tr>
      <w:tr w14:paraId="5E4F5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075A035F">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付款方式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37F33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以合同约定为准。</w:t>
            </w:r>
          </w:p>
        </w:tc>
      </w:tr>
      <w:tr w14:paraId="14A9B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75AA3D8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售后服务保障或维修响应时间要求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40706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1.质保期内应当为采购人提供以下技术支持和服务：</w:t>
            </w:r>
          </w:p>
          <w:p w14:paraId="3C239B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a、现场响应：成交供应商应保证在12小时内对用户提出的问题或故障予以响应及处理。可提供备用设备或核心部件应急使用。</w:t>
            </w:r>
          </w:p>
          <w:p w14:paraId="7B31E5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b、成交供应商应当应每季度对该设备进行保养不少于一次,并出具保养报告，具体保养内容见合同。</w:t>
            </w:r>
          </w:p>
          <w:p w14:paraId="4C0C27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c、保期内该设备应保证大于95%（含）的开机率，如达不到要求，每少于一天质保期顺延7天，如造成严重损失需赔偿用户经济损失或换货或退货。</w:t>
            </w:r>
          </w:p>
          <w:p w14:paraId="19F83E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16CEF5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e、所有设备按照医院实际要求免费开放端口，免费为医院对接院内信息系统。质保期内免费进行软件升级。</w:t>
            </w:r>
          </w:p>
          <w:p w14:paraId="6792FF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f、除火灾、洪水、地震等天灾外，在保修期内，由于货物故障所产生的所有费用均由供应商负责。</w:t>
            </w:r>
          </w:p>
          <w:p w14:paraId="017943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培训：免费提供操作培训和维修培训。培训要求：厂家负责对医院使用人员进行仪器操作和日常维护的现场培训，根据实验室需要随时可以提供现场培训，培训次数不限。包括仪器原理、使用方法和维护方法等，需要提供培训证书。</w:t>
            </w:r>
          </w:p>
        </w:tc>
      </w:tr>
      <w:tr w14:paraId="544A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220F07B7">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其他要求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55767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要求设备为最新出厂设备，出厂日期不得早于招标日期6个月。</w:t>
            </w:r>
          </w:p>
        </w:tc>
      </w:tr>
    </w:tbl>
    <w:p w14:paraId="2D239703">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sectPr>
          <w:pgSz w:w="11900" w:h="16838"/>
          <w:pgMar w:top="1440" w:right="1800" w:bottom="1440" w:left="1800" w:header="850" w:footer="992" w:gutter="0"/>
          <w:cols w:space="720" w:num="1"/>
          <w:docGrid w:type="lines" w:linePitch="317" w:charSpace="0"/>
        </w:sectPr>
      </w:pPr>
    </w:p>
    <w:p w14:paraId="64DDF6FA">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四、采购人对项目的特殊要求及说明</w:t>
      </w:r>
    </w:p>
    <w:tbl>
      <w:tblPr>
        <w:tblStyle w:val="27"/>
        <w:tblW w:w="91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8"/>
        <w:gridCol w:w="7453"/>
      </w:tblGrid>
      <w:tr w14:paraId="1EB1C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14:paraId="171055D0">
            <w:pPr>
              <w:widowControl/>
              <w:snapToGrid w:val="0"/>
              <w:spacing w:line="40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采购人的特殊要求及说明理由</w:t>
            </w:r>
          </w:p>
        </w:tc>
        <w:tc>
          <w:tcPr>
            <w:tcW w:w="7453" w:type="dxa"/>
            <w:tcBorders>
              <w:top w:val="single" w:color="auto" w:sz="4" w:space="0"/>
              <w:left w:val="single" w:color="auto" w:sz="4" w:space="0"/>
              <w:bottom w:val="single" w:color="auto" w:sz="4" w:space="0"/>
              <w:right w:val="single" w:color="auto" w:sz="4" w:space="0"/>
            </w:tcBorders>
            <w:noWrap w:val="0"/>
            <w:vAlign w:val="top"/>
          </w:tcPr>
          <w:p w14:paraId="787F3DED">
            <w:pPr>
              <w:widowControl/>
              <w:snapToGrid w:val="0"/>
              <w:spacing w:line="46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1、包括供应商特殊资格等要求</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kern w:val="0"/>
                <w:sz w:val="21"/>
                <w:szCs w:val="21"/>
                <w:highlight w:val="none"/>
                <w:lang w:eastAsia="zh-CN"/>
              </w:rPr>
              <w:t>；</w:t>
            </w:r>
          </w:p>
          <w:p w14:paraId="1E614A71">
            <w:pPr>
              <w:widowControl/>
              <w:snapToGrid w:val="0"/>
              <w:spacing w:line="46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2、本项目是否收取</w:t>
            </w: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保证金和履约保证金：否</w:t>
            </w:r>
            <w:r>
              <w:rPr>
                <w:rFonts w:hint="eastAsia" w:ascii="宋体" w:hAnsi="宋体" w:eastAsia="宋体" w:cs="宋体"/>
                <w:kern w:val="0"/>
                <w:sz w:val="21"/>
                <w:szCs w:val="21"/>
                <w:highlight w:val="none"/>
                <w:lang w:eastAsia="zh-CN"/>
              </w:rPr>
              <w:t>；</w:t>
            </w:r>
          </w:p>
          <w:p w14:paraId="0D094DB5">
            <w:pPr>
              <w:widowControl/>
              <w:snapToGrid w:val="0"/>
              <w:spacing w:line="46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3、是否接受联合体参加</w:t>
            </w: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：否</w:t>
            </w:r>
            <w:r>
              <w:rPr>
                <w:rFonts w:hint="eastAsia" w:ascii="宋体" w:hAnsi="宋体" w:eastAsia="宋体" w:cs="宋体"/>
                <w:kern w:val="0"/>
                <w:sz w:val="21"/>
                <w:szCs w:val="21"/>
                <w:highlight w:val="none"/>
                <w:lang w:eastAsia="zh-CN"/>
              </w:rPr>
              <w:t>；</w:t>
            </w:r>
          </w:p>
          <w:p w14:paraId="584D9EAD">
            <w:pPr>
              <w:widowControl/>
              <w:snapToGrid w:val="0"/>
              <w:spacing w:line="46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4、是否授权</w:t>
            </w:r>
            <w:r>
              <w:rPr>
                <w:rFonts w:hint="eastAsia" w:ascii="宋体" w:hAnsi="宋体" w:eastAsia="宋体" w:cs="宋体"/>
                <w:kern w:val="0"/>
                <w:sz w:val="21"/>
                <w:szCs w:val="21"/>
                <w:highlight w:val="none"/>
                <w:lang w:val="en-US" w:eastAsia="zh-CN"/>
              </w:rPr>
              <w:t>磋商小组</w:t>
            </w:r>
            <w:r>
              <w:rPr>
                <w:rFonts w:hint="eastAsia" w:ascii="宋体" w:hAnsi="宋体" w:eastAsia="宋体" w:cs="宋体"/>
                <w:kern w:val="0"/>
                <w:sz w:val="21"/>
                <w:szCs w:val="21"/>
                <w:highlight w:val="none"/>
              </w:rPr>
              <w:t>直接确定</w:t>
            </w:r>
            <w:r>
              <w:rPr>
                <w:rFonts w:hint="eastAsia" w:ascii="宋体" w:hAnsi="宋体" w:eastAsia="宋体" w:cs="宋体"/>
                <w:kern w:val="0"/>
                <w:sz w:val="21"/>
                <w:szCs w:val="21"/>
                <w:highlight w:val="none"/>
                <w:lang w:val="en-US" w:eastAsia="zh-CN"/>
              </w:rPr>
              <w:t>成交供应商</w:t>
            </w:r>
            <w:r>
              <w:rPr>
                <w:rFonts w:hint="eastAsia" w:ascii="宋体" w:hAnsi="宋体" w:eastAsia="宋体" w:cs="宋体"/>
                <w:kern w:val="0"/>
                <w:sz w:val="21"/>
                <w:szCs w:val="21"/>
                <w:highlight w:val="none"/>
              </w:rPr>
              <w:t>和</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lang w:eastAsia="zh-CN"/>
              </w:rPr>
              <w:t>候选</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否</w:t>
            </w:r>
            <w:r>
              <w:rPr>
                <w:rFonts w:hint="eastAsia" w:ascii="宋体" w:hAnsi="宋体" w:eastAsia="宋体" w:cs="宋体"/>
                <w:kern w:val="0"/>
                <w:sz w:val="21"/>
                <w:szCs w:val="21"/>
                <w:highlight w:val="none"/>
                <w:lang w:eastAsia="zh-CN"/>
              </w:rPr>
              <w:t>；</w:t>
            </w:r>
          </w:p>
          <w:p w14:paraId="15D44C21">
            <w:pPr>
              <w:widowControl/>
              <w:snapToGrid w:val="0"/>
              <w:spacing w:line="460" w:lineRule="exact"/>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5、是否专门面向中小企业采购：</w:t>
            </w:r>
            <w:r>
              <w:rPr>
                <w:rFonts w:hint="eastAsia" w:ascii="宋体" w:hAnsi="宋体" w:eastAsia="宋体" w:cs="宋体"/>
                <w:kern w:val="0"/>
                <w:sz w:val="21"/>
                <w:szCs w:val="21"/>
                <w:highlight w:val="none"/>
                <w:lang w:eastAsia="zh-CN"/>
              </w:rPr>
              <w:t>否；</w:t>
            </w:r>
            <w:r>
              <w:rPr>
                <w:rFonts w:hint="eastAsia" w:ascii="宋体" w:hAnsi="宋体" w:eastAsia="宋体" w:cs="宋体"/>
                <w:kern w:val="0"/>
                <w:sz w:val="21"/>
                <w:szCs w:val="21"/>
                <w:highlight w:val="none"/>
                <w:lang w:val="en-US" w:eastAsia="zh-CN"/>
              </w:rPr>
              <w:t>未预留份额专门面向中小企业采购的采购项目，以及预留份额项目中的非预留部分采购包，采购人、采购代理机构应当对符合本办法规定的小微企业报价给予 20% （工程项目为3%-5%）的扣除，用扣除后的价格参加评审；</w:t>
            </w:r>
          </w:p>
          <w:p w14:paraId="29E3E6FC">
            <w:pPr>
              <w:widowControl/>
              <w:snapToGrid w:val="0"/>
              <w:spacing w:line="460" w:lineRule="exact"/>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6、采购标的对应的中小企业划分标准所属行业为：工业。依据《政府采购促进中小企业发展管理办法、(财库〔2020〕46号)的规定享受扶持政策获得政府采购合同的，小微企业不得将合同分包给大中型企业，中型企业不得将合同分包给大型企业。</w:t>
            </w:r>
          </w:p>
        </w:tc>
      </w:tr>
    </w:tbl>
    <w:p w14:paraId="4E1CC49A">
      <w:pPr>
        <w:rPr>
          <w:rFonts w:hint="eastAsia" w:ascii="宋体" w:hAnsi="宋体" w:eastAsia="宋体" w:cs="宋体"/>
          <w:color w:val="000000" w:themeColor="text1"/>
          <w:sz w:val="24"/>
          <w:highlight w:val="none"/>
          <w14:textFill>
            <w14:solidFill>
              <w14:schemeClr w14:val="tx1"/>
            </w14:solidFill>
          </w14:textFill>
        </w:rPr>
      </w:pPr>
    </w:p>
    <w:p w14:paraId="1C6BD7CF">
      <w:pPr>
        <w:rPr>
          <w:rFonts w:hint="eastAsia" w:ascii="宋体" w:hAnsi="宋体" w:eastAsia="宋体" w:cs="宋体"/>
          <w:color w:val="000000" w:themeColor="text1"/>
          <w:sz w:val="24"/>
          <w:highlight w:val="none"/>
          <w14:textFill>
            <w14:solidFill>
              <w14:schemeClr w14:val="tx1"/>
            </w14:solidFill>
          </w14:textFill>
        </w:rPr>
      </w:pPr>
    </w:p>
    <w:p w14:paraId="11F91B75">
      <w:pPr>
        <w:widowControl/>
        <w:spacing w:line="360" w:lineRule="auto"/>
        <w:jc w:val="center"/>
        <w:outlineLvl w:val="0"/>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br w:type="page"/>
      </w:r>
      <w:r>
        <w:rPr>
          <w:rFonts w:hint="eastAsia" w:ascii="宋体" w:hAnsi="宋体" w:eastAsia="宋体" w:cs="宋体"/>
          <w:b/>
          <w:bCs/>
          <w:color w:val="000000" w:themeColor="text1"/>
          <w:kern w:val="0"/>
          <w:sz w:val="32"/>
          <w:szCs w:val="32"/>
          <w:highlight w:val="none"/>
          <w14:textFill>
            <w14:solidFill>
              <w14:schemeClr w14:val="tx1"/>
            </w14:solidFill>
          </w14:textFill>
        </w:rPr>
        <w:t>第三章  供应商须知</w:t>
      </w:r>
    </w:p>
    <w:p w14:paraId="04F82787">
      <w:pPr>
        <w:widowControl/>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xml:space="preserve"> 供应商须知前附表</w:t>
      </w: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 xml:space="preserve"> </w:t>
      </w:r>
    </w:p>
    <w:tbl>
      <w:tblPr>
        <w:tblStyle w:val="27"/>
        <w:tblW w:w="8646" w:type="dxa"/>
        <w:tblInd w:w="0" w:type="dxa"/>
        <w:tblLayout w:type="fixed"/>
        <w:tblCellMar>
          <w:top w:w="0" w:type="dxa"/>
          <w:left w:w="0" w:type="dxa"/>
          <w:bottom w:w="0" w:type="dxa"/>
          <w:right w:w="0" w:type="dxa"/>
        </w:tblCellMar>
      </w:tblPr>
      <w:tblGrid>
        <w:gridCol w:w="869"/>
        <w:gridCol w:w="7777"/>
      </w:tblGrid>
      <w:tr w14:paraId="48C9E9A2">
        <w:tblPrEx>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46FE5C">
            <w:pPr>
              <w:widowControl/>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7777" w:type="dxa"/>
            <w:tcBorders>
              <w:top w:val="single" w:color="auto" w:sz="8" w:space="0"/>
              <w:left w:val="nil"/>
              <w:bottom w:val="single" w:color="auto" w:sz="8" w:space="0"/>
              <w:right w:val="single" w:color="auto" w:sz="8" w:space="0"/>
            </w:tcBorders>
            <w:tcMar>
              <w:left w:w="108" w:type="dxa"/>
              <w:right w:w="108" w:type="dxa"/>
            </w:tcMar>
            <w:vAlign w:val="center"/>
          </w:tcPr>
          <w:p w14:paraId="6F5C32E0">
            <w:pPr>
              <w:widowControl/>
              <w:spacing w:line="360" w:lineRule="exact"/>
              <w:ind w:firstLine="324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内容、要求</w:t>
            </w:r>
          </w:p>
        </w:tc>
      </w:tr>
      <w:tr w14:paraId="42F84B48">
        <w:tblPrEx>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14:paraId="4ADFD786">
            <w:pPr>
              <w:widowControl/>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7777" w:type="dxa"/>
            <w:tcBorders>
              <w:top w:val="nil"/>
              <w:left w:val="nil"/>
              <w:bottom w:val="single" w:color="auto" w:sz="8" w:space="0"/>
              <w:right w:val="single" w:color="auto" w:sz="8" w:space="0"/>
            </w:tcBorders>
            <w:tcMar>
              <w:left w:w="108" w:type="dxa"/>
              <w:right w:w="108" w:type="dxa"/>
            </w:tcMar>
            <w:vAlign w:val="center"/>
          </w:tcPr>
          <w:p w14:paraId="1F8029E2">
            <w:pPr>
              <w:widowControl/>
              <w:spacing w:line="460" w:lineRule="atLeas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1.1项目名称：</w:t>
            </w: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详见磋商公告</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91E0A63">
            <w:pPr>
              <w:widowControl/>
              <w:spacing w:line="460" w:lineRule="atLeast"/>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 采购人名称：</w:t>
            </w: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详见磋商公告</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91D1E4A">
            <w:pPr>
              <w:widowControl/>
              <w:spacing w:line="460" w:lineRule="atLeast"/>
              <w:jc w:val="left"/>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 项目编号：</w:t>
            </w:r>
            <w:r>
              <w:rPr>
                <w:rFonts w:hint="eastAsia" w:ascii="宋体" w:hAnsi="宋体" w:eastAsia="宋体" w:cs="宋体"/>
                <w:color w:val="000000" w:themeColor="text1"/>
                <w:kern w:val="0"/>
                <w:szCs w:val="21"/>
                <w:highlight w:val="none"/>
                <w:lang w:val="en-US" w:eastAsia="zh-CN"/>
                <w14:textFill>
                  <w14:solidFill>
                    <w14:schemeClr w14:val="tx1"/>
                  </w14:solidFill>
                </w14:textFill>
              </w:rPr>
              <w:t>详见磋商公告</w:t>
            </w:r>
            <w:r>
              <w:rPr>
                <w:rFonts w:hint="eastAsia" w:ascii="宋体" w:hAnsi="宋体" w:eastAsia="宋体" w:cs="宋体"/>
                <w:color w:val="000000" w:themeColor="text1"/>
                <w:kern w:val="0"/>
                <w:szCs w:val="21"/>
                <w:highlight w:val="none"/>
                <w14:textFill>
                  <w14:solidFill>
                    <w14:schemeClr w14:val="tx1"/>
                  </w14:solidFill>
                </w14:textFill>
              </w:rPr>
              <w:t xml:space="preserve">  </w:t>
            </w:r>
          </w:p>
        </w:tc>
      </w:tr>
      <w:tr w14:paraId="7EB41D98">
        <w:tblPrEx>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14:paraId="21F40A07">
            <w:pPr>
              <w:widowControl/>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7777" w:type="dxa"/>
            <w:tcBorders>
              <w:top w:val="nil"/>
              <w:left w:val="nil"/>
              <w:bottom w:val="single" w:color="auto" w:sz="8" w:space="0"/>
              <w:right w:val="single" w:color="auto" w:sz="8" w:space="0"/>
            </w:tcBorders>
            <w:tcMar>
              <w:left w:w="108" w:type="dxa"/>
              <w:right w:w="108" w:type="dxa"/>
            </w:tcMar>
            <w:vAlign w:val="center"/>
          </w:tcPr>
          <w:p w14:paraId="164E706F">
            <w:pPr>
              <w:widowControl/>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合格供应商：具备竞争性磋商公告“</w:t>
            </w:r>
            <w:r>
              <w:rPr>
                <w:rFonts w:hint="eastAsia" w:ascii="宋体" w:hAnsi="宋体" w:eastAsia="宋体" w:cs="宋体"/>
                <w:b/>
                <w:bCs/>
                <w:color w:val="000000" w:themeColor="text1"/>
                <w:kern w:val="0"/>
                <w:szCs w:val="21"/>
                <w:highlight w:val="none"/>
                <w14:textFill>
                  <w14:solidFill>
                    <w14:schemeClr w14:val="tx1"/>
                  </w14:solidFill>
                </w14:textFill>
              </w:rPr>
              <w:t>二、申请人的资格要求</w:t>
            </w:r>
            <w:r>
              <w:rPr>
                <w:rFonts w:hint="eastAsia" w:ascii="宋体" w:hAnsi="宋体" w:eastAsia="宋体" w:cs="宋体"/>
                <w:color w:val="000000" w:themeColor="text1"/>
                <w:kern w:val="0"/>
                <w:szCs w:val="21"/>
                <w:highlight w:val="none"/>
                <w14:textFill>
                  <w14:solidFill>
                    <w14:schemeClr w14:val="tx1"/>
                  </w14:solidFill>
                </w14:textFill>
              </w:rPr>
              <w:t>”规定的条件。</w:t>
            </w:r>
          </w:p>
        </w:tc>
      </w:tr>
      <w:tr w14:paraId="2663EE0D">
        <w:tblPrEx>
          <w:tblCellMar>
            <w:top w:w="0" w:type="dxa"/>
            <w:left w:w="0" w:type="dxa"/>
            <w:bottom w:w="0" w:type="dxa"/>
            <w:right w:w="0" w:type="dxa"/>
          </w:tblCellMar>
        </w:tblPrEx>
        <w:trPr>
          <w:trHeight w:val="2310" w:hRule="atLeast"/>
        </w:trPr>
        <w:tc>
          <w:tcPr>
            <w:tcW w:w="869" w:type="dxa"/>
            <w:tcBorders>
              <w:top w:val="nil"/>
              <w:left w:val="single" w:color="auto" w:sz="8" w:space="0"/>
              <w:bottom w:val="single" w:color="auto" w:sz="8" w:space="0"/>
              <w:right w:val="single" w:color="auto" w:sz="8" w:space="0"/>
            </w:tcBorders>
            <w:tcMar>
              <w:left w:w="108" w:type="dxa"/>
              <w:right w:w="108" w:type="dxa"/>
            </w:tcMar>
            <w:vAlign w:val="center"/>
          </w:tcPr>
          <w:p w14:paraId="1A77B9EB">
            <w:pPr>
              <w:widowControl/>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7777" w:type="dxa"/>
            <w:tcBorders>
              <w:top w:val="nil"/>
              <w:left w:val="nil"/>
              <w:bottom w:val="single" w:color="auto" w:sz="8" w:space="0"/>
              <w:right w:val="single" w:color="auto" w:sz="8" w:space="0"/>
            </w:tcBorders>
            <w:tcMar>
              <w:left w:w="108" w:type="dxa"/>
              <w:right w:w="108" w:type="dxa"/>
            </w:tcMar>
            <w:vAlign w:val="center"/>
          </w:tcPr>
          <w:p w14:paraId="0A06F757">
            <w:pPr>
              <w:widowControl/>
              <w:spacing w:line="460" w:lineRule="atLeas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磋商报价及费用：</w:t>
            </w:r>
          </w:p>
          <w:p w14:paraId="6C404976">
            <w:pPr>
              <w:widowControl/>
              <w:spacing w:line="460" w:lineRule="atLeas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 本次磋商以人民币报价。</w:t>
            </w:r>
          </w:p>
          <w:p w14:paraId="79F8FA80">
            <w:pPr>
              <w:widowControl/>
              <w:spacing w:line="460" w:lineRule="atLeas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 供应商的最后一轮报价超过最高限价的，采购人不能支付的，本项目磋商废止。</w:t>
            </w:r>
          </w:p>
          <w:p w14:paraId="4180B813">
            <w:pPr>
              <w:widowControl/>
              <w:spacing w:line="460" w:lineRule="atLeast"/>
              <w:jc w:val="left"/>
              <w:textAlignment w:val="bottom"/>
              <w:rPr>
                <w:rFonts w:hint="eastAsia" w:ascii="宋体" w:hAnsi="宋体" w:eastAsia="宋体" w:cs="宋体"/>
                <w:highlight w:val="none"/>
                <w:lang w:val="en-US" w:eastAsia="zh-CN"/>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3.3本项目代理服务费按照驻马店市政府采购电子商城订单及合同约定由采购人支付，订单金额：1080元。</w:t>
            </w:r>
          </w:p>
        </w:tc>
      </w:tr>
      <w:tr w14:paraId="5E772638">
        <w:tblPrEx>
          <w:tblCellMar>
            <w:top w:w="0" w:type="dxa"/>
            <w:left w:w="0" w:type="dxa"/>
            <w:bottom w:w="0" w:type="dxa"/>
            <w:right w:w="0" w:type="dxa"/>
          </w:tblCellMar>
        </w:tblPrEx>
        <w:trPr>
          <w:trHeight w:val="676"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8FA251">
            <w:pPr>
              <w:widowControl/>
              <w:shd w:val="clear" w:color="auto" w:fill="auto"/>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67ADDEE9">
            <w:pPr>
              <w:widowControl/>
              <w:shd w:val="clear" w:color="auto" w:fill="auto"/>
              <w:spacing w:line="460" w:lineRule="atLeast"/>
              <w:textAlignment w:val="bottom"/>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现场踏勘或标前答疑：</w:t>
            </w:r>
            <w:r>
              <w:rPr>
                <w:rFonts w:hint="eastAsia" w:ascii="宋体" w:hAnsi="宋体" w:eastAsia="宋体" w:cs="宋体"/>
                <w:color w:val="000000"/>
                <w:kern w:val="0"/>
                <w:sz w:val="21"/>
                <w:szCs w:val="21"/>
                <w:highlight w:val="none"/>
                <w:lang w:val="en-US" w:eastAsia="zh-CN"/>
              </w:rPr>
              <w:t>无</w:t>
            </w:r>
            <w:r>
              <w:rPr>
                <w:rFonts w:hint="eastAsia" w:ascii="宋体" w:hAnsi="宋体" w:eastAsia="宋体" w:cs="宋体"/>
                <w:color w:val="000000"/>
                <w:kern w:val="0"/>
                <w:sz w:val="21"/>
                <w:szCs w:val="21"/>
                <w:highlight w:val="none"/>
              </w:rPr>
              <w:t>。</w:t>
            </w:r>
            <w:r>
              <w:rPr>
                <w:rFonts w:hint="eastAsia" w:ascii="宋体" w:hAnsi="宋体" w:eastAsia="宋体" w:cs="宋体"/>
                <w:color w:val="000000"/>
                <w:sz w:val="21"/>
                <w:szCs w:val="21"/>
                <w:highlight w:val="none"/>
              </w:rPr>
              <w:t xml:space="preserve"> </w:t>
            </w:r>
          </w:p>
        </w:tc>
      </w:tr>
      <w:tr w14:paraId="3954D012">
        <w:tblPrEx>
          <w:tblCellMar>
            <w:top w:w="0" w:type="dxa"/>
            <w:left w:w="0" w:type="dxa"/>
            <w:bottom w:w="0" w:type="dxa"/>
            <w:right w:w="0" w:type="dxa"/>
          </w:tblCellMar>
        </w:tblPrEx>
        <w:trPr>
          <w:trHeight w:val="640"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1065AC">
            <w:pPr>
              <w:widowControl/>
              <w:shd w:val="clear" w:color="auto" w:fill="auto"/>
              <w:spacing w:line="36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5</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284F68DB">
            <w:pPr>
              <w:keepNext w:val="0"/>
              <w:keepLines w:val="0"/>
              <w:pageBreakBefore w:val="0"/>
              <w:widowControl/>
              <w:shd w:val="clear" w:color="auto" w:fill="auto"/>
              <w:kinsoku/>
              <w:wordWrap/>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响应性文件组成：加密的电子响应性文件</w:t>
            </w:r>
            <w:r>
              <w:rPr>
                <w:rFonts w:hint="eastAsia" w:ascii="宋体" w:hAnsi="宋体" w:eastAsia="宋体" w:cs="宋体"/>
                <w:color w:val="000000"/>
                <w:kern w:val="0"/>
                <w:sz w:val="21"/>
                <w:szCs w:val="21"/>
                <w:highlight w:val="none"/>
                <w:lang w:eastAsia="zh-CN"/>
              </w:rPr>
              <w:t>。</w:t>
            </w:r>
          </w:p>
        </w:tc>
      </w:tr>
      <w:tr w14:paraId="5A4B1CBD">
        <w:tblPrEx>
          <w:tblCellMar>
            <w:top w:w="0" w:type="dxa"/>
            <w:left w:w="0" w:type="dxa"/>
            <w:bottom w:w="0" w:type="dxa"/>
            <w:right w:w="0" w:type="dxa"/>
          </w:tblCellMar>
        </w:tblPrEx>
        <w:trPr>
          <w:trHeight w:val="590"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0C4DE3">
            <w:pPr>
              <w:widowControl/>
              <w:shd w:val="clear" w:color="auto" w:fill="auto"/>
              <w:spacing w:line="36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6</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27F6C210">
            <w:pPr>
              <w:widowControl/>
              <w:shd w:val="clear" w:color="auto" w:fill="auto"/>
              <w:spacing w:line="360" w:lineRule="exact"/>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递交响应性文件截止时间及地点：详见竞争性磋商公告</w:t>
            </w:r>
            <w:r>
              <w:rPr>
                <w:rFonts w:hint="eastAsia" w:ascii="宋体" w:hAnsi="宋体" w:eastAsia="宋体" w:cs="宋体"/>
                <w:color w:val="000000"/>
                <w:kern w:val="0"/>
                <w:sz w:val="21"/>
                <w:szCs w:val="21"/>
                <w:highlight w:val="none"/>
                <w:lang w:eastAsia="zh-CN"/>
              </w:rPr>
              <w:t>。</w:t>
            </w:r>
          </w:p>
        </w:tc>
      </w:tr>
      <w:tr w14:paraId="59BBE687">
        <w:tblPrEx>
          <w:tblCellMar>
            <w:top w:w="0" w:type="dxa"/>
            <w:left w:w="0" w:type="dxa"/>
            <w:bottom w:w="0" w:type="dxa"/>
            <w:right w:w="0" w:type="dxa"/>
          </w:tblCellMar>
        </w:tblPrEx>
        <w:trPr>
          <w:trHeight w:val="560" w:hRule="atLeast"/>
        </w:trPr>
        <w:tc>
          <w:tcPr>
            <w:tcW w:w="869" w:type="dxa"/>
            <w:tcBorders>
              <w:top w:val="nil"/>
              <w:left w:val="single" w:color="auto" w:sz="8" w:space="0"/>
              <w:bottom w:val="single" w:color="auto" w:sz="4" w:space="0"/>
              <w:right w:val="single" w:color="auto" w:sz="8" w:space="0"/>
            </w:tcBorders>
            <w:noWrap w:val="0"/>
            <w:tcMar>
              <w:left w:w="108" w:type="dxa"/>
              <w:right w:w="108" w:type="dxa"/>
            </w:tcMar>
            <w:vAlign w:val="center"/>
          </w:tcPr>
          <w:p w14:paraId="04EC3B43">
            <w:pPr>
              <w:widowControl/>
              <w:shd w:val="clear" w:color="auto" w:fill="auto"/>
              <w:spacing w:line="36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7</w:t>
            </w:r>
          </w:p>
        </w:tc>
        <w:tc>
          <w:tcPr>
            <w:tcW w:w="7777" w:type="dxa"/>
            <w:tcBorders>
              <w:top w:val="nil"/>
              <w:left w:val="nil"/>
              <w:bottom w:val="single" w:color="auto" w:sz="4" w:space="0"/>
              <w:right w:val="single" w:color="auto" w:sz="8" w:space="0"/>
            </w:tcBorders>
            <w:noWrap w:val="0"/>
            <w:tcMar>
              <w:left w:w="108" w:type="dxa"/>
              <w:right w:w="108" w:type="dxa"/>
            </w:tcMar>
            <w:vAlign w:val="center"/>
          </w:tcPr>
          <w:p w14:paraId="4FB7FF77">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磋商时间及地点：详见竞争性磋商公告。</w:t>
            </w:r>
          </w:p>
        </w:tc>
      </w:tr>
      <w:tr w14:paraId="58F103C3">
        <w:tblPrEx>
          <w:tblCellMar>
            <w:top w:w="0" w:type="dxa"/>
            <w:left w:w="0" w:type="dxa"/>
            <w:bottom w:w="0" w:type="dxa"/>
            <w:right w:w="0" w:type="dxa"/>
          </w:tblCellMar>
        </w:tblPrEx>
        <w:trPr>
          <w:trHeight w:val="1905" w:hRule="atLeast"/>
        </w:trPr>
        <w:tc>
          <w:tcPr>
            <w:tcW w:w="869"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47C6BF16">
            <w:pPr>
              <w:widowControl/>
              <w:shd w:val="clear" w:color="auto" w:fill="auto"/>
              <w:spacing w:line="36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8</w:t>
            </w:r>
          </w:p>
        </w:tc>
        <w:tc>
          <w:tcPr>
            <w:tcW w:w="7777" w:type="dxa"/>
            <w:tcBorders>
              <w:top w:val="single" w:color="auto" w:sz="4" w:space="0"/>
              <w:left w:val="nil"/>
              <w:bottom w:val="single" w:color="auto" w:sz="4" w:space="0"/>
              <w:right w:val="single" w:color="auto" w:sz="4" w:space="0"/>
            </w:tcBorders>
            <w:noWrap w:val="0"/>
            <w:tcMar>
              <w:left w:w="108" w:type="dxa"/>
              <w:right w:w="108" w:type="dxa"/>
            </w:tcMar>
            <w:vAlign w:val="center"/>
          </w:tcPr>
          <w:p w14:paraId="5F8108EE">
            <w:pPr>
              <w:pStyle w:val="2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SA"/>
              </w:rPr>
              <w:t>评定办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被推荐为成交候选供应商的评审办法（其他候选供应商以此类推，最多不超过3名）。</w:t>
            </w:r>
          </w:p>
        </w:tc>
      </w:tr>
      <w:tr w14:paraId="74CD2BBF">
        <w:tblPrEx>
          <w:tblCellMar>
            <w:top w:w="0" w:type="dxa"/>
            <w:left w:w="0" w:type="dxa"/>
            <w:bottom w:w="0" w:type="dxa"/>
            <w:right w:w="0" w:type="dxa"/>
          </w:tblCellMar>
        </w:tblPrEx>
        <w:trPr>
          <w:trHeight w:val="470"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A5B030">
            <w:pPr>
              <w:widowControl/>
              <w:shd w:val="clear" w:color="auto" w:fill="auto"/>
              <w:spacing w:line="36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rPr>
              <w:t>9</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3F785C">
            <w:pPr>
              <w:widowControl/>
              <w:shd w:val="clear" w:color="auto" w:fill="auto"/>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成交公告及成交通知书：</w:t>
            </w:r>
            <w:r>
              <w:rPr>
                <w:rFonts w:hint="eastAsia" w:ascii="宋体" w:hAnsi="宋体" w:eastAsia="宋体" w:cs="宋体"/>
                <w:color w:val="000000"/>
                <w:kern w:val="0"/>
                <w:sz w:val="21"/>
                <w:szCs w:val="21"/>
                <w:highlight w:val="none"/>
                <w:lang w:val="en-US" w:eastAsia="zh-CN"/>
              </w:rPr>
              <w:t>磋商小组应</w:t>
            </w:r>
            <w:r>
              <w:rPr>
                <w:rFonts w:hint="eastAsia" w:ascii="宋体" w:hAnsi="宋体" w:eastAsia="宋体" w:cs="宋体"/>
                <w:color w:val="000000"/>
                <w:kern w:val="0"/>
                <w:sz w:val="21"/>
                <w:szCs w:val="21"/>
                <w:highlight w:val="none"/>
              </w:rPr>
              <w:t>根据全体</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成员签字的原始</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记录和</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结果编写</w:t>
            </w:r>
            <w:r>
              <w:rPr>
                <w:rFonts w:hint="eastAsia" w:ascii="宋体" w:hAnsi="宋体" w:eastAsia="宋体" w:cs="宋体"/>
                <w:color w:val="000000"/>
                <w:kern w:val="0"/>
                <w:sz w:val="21"/>
                <w:szCs w:val="21"/>
                <w:highlight w:val="none"/>
                <w:lang w:val="en-US" w:eastAsia="zh-CN"/>
              </w:rPr>
              <w:t>评审</w:t>
            </w:r>
            <w:r>
              <w:rPr>
                <w:rFonts w:hint="eastAsia" w:ascii="宋体" w:hAnsi="宋体" w:eastAsia="宋体" w:cs="宋体"/>
                <w:color w:val="000000"/>
                <w:kern w:val="0"/>
                <w:sz w:val="21"/>
                <w:szCs w:val="21"/>
                <w:highlight w:val="none"/>
              </w:rPr>
              <w:t>报告</w:t>
            </w:r>
            <w:r>
              <w:rPr>
                <w:rFonts w:hint="eastAsia" w:ascii="宋体" w:hAnsi="宋体" w:eastAsia="宋体" w:cs="宋体"/>
                <w:color w:val="000000"/>
                <w:kern w:val="0"/>
                <w:sz w:val="21"/>
                <w:szCs w:val="21"/>
                <w:highlight w:val="none"/>
                <w:lang w:val="en-US" w:eastAsia="zh-CN"/>
              </w:rPr>
              <w:t>并推荐三名成交候选供应商，评审结束后2个工作日内将评标报告通过公共资源电子交易系统提交采购人，</w:t>
            </w:r>
            <w:r>
              <w:rPr>
                <w:rFonts w:hint="eastAsia" w:ascii="宋体" w:hAnsi="宋体" w:eastAsia="宋体" w:cs="宋体"/>
                <w:color w:val="000000"/>
                <w:kern w:val="0"/>
                <w:sz w:val="21"/>
                <w:szCs w:val="21"/>
                <w:highlight w:val="none"/>
                <w:lang w:eastAsia="zh-CN"/>
              </w:rPr>
              <w:t>采购人在收到评审报告1个工作日内通过公共资源电子交易系统线上确定</w:t>
            </w:r>
            <w:r>
              <w:rPr>
                <w:rFonts w:hint="eastAsia" w:ascii="宋体" w:hAnsi="宋体" w:eastAsia="宋体" w:cs="宋体"/>
                <w:color w:val="000000"/>
                <w:kern w:val="0"/>
                <w:sz w:val="21"/>
                <w:szCs w:val="21"/>
                <w:highlight w:val="none"/>
                <w:lang w:val="en-US" w:eastAsia="zh-CN"/>
              </w:rPr>
              <w:t>成交供应商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确定</w:t>
            </w:r>
            <w:r>
              <w:rPr>
                <w:rFonts w:hint="eastAsia" w:ascii="宋体" w:hAnsi="宋体" w:eastAsia="宋体" w:cs="宋体"/>
                <w:color w:val="000000"/>
                <w:kern w:val="0"/>
                <w:sz w:val="21"/>
                <w:szCs w:val="21"/>
                <w:highlight w:val="none"/>
                <w:lang w:val="en-US" w:eastAsia="zh-CN"/>
              </w:rPr>
              <w:t>成交供应商</w:t>
            </w:r>
            <w:r>
              <w:rPr>
                <w:rFonts w:hint="eastAsia" w:ascii="宋体" w:hAnsi="宋体" w:eastAsia="宋体" w:cs="宋体"/>
                <w:color w:val="000000"/>
                <w:kern w:val="0"/>
                <w:sz w:val="21"/>
                <w:szCs w:val="21"/>
                <w:highlight w:val="none"/>
              </w:rPr>
              <w:t>后，采购代理机构</w:t>
            </w:r>
            <w:r>
              <w:rPr>
                <w:rFonts w:hint="eastAsia" w:ascii="宋体" w:hAnsi="宋体" w:eastAsia="宋体" w:cs="宋体"/>
                <w:color w:val="000000"/>
                <w:kern w:val="0"/>
                <w:sz w:val="21"/>
                <w:szCs w:val="21"/>
                <w:highlight w:val="none"/>
                <w:lang w:val="en-US" w:eastAsia="zh-CN"/>
              </w:rPr>
              <w:t>及时</w:t>
            </w:r>
            <w:r>
              <w:rPr>
                <w:rFonts w:hint="eastAsia" w:ascii="宋体" w:hAnsi="宋体" w:eastAsia="宋体" w:cs="宋体"/>
                <w:color w:val="000000"/>
                <w:kern w:val="0"/>
                <w:sz w:val="21"/>
                <w:szCs w:val="21"/>
                <w:highlight w:val="none"/>
              </w:rPr>
              <w:t>在《河南省政府采购网》、《驻马店市公共资源交易平台》等相关媒体上发布成交公告，同时向</w:t>
            </w:r>
            <w:r>
              <w:rPr>
                <w:rFonts w:hint="eastAsia" w:ascii="宋体" w:hAnsi="宋体" w:eastAsia="宋体" w:cs="宋体"/>
                <w:color w:val="000000"/>
                <w:kern w:val="0"/>
                <w:sz w:val="21"/>
                <w:szCs w:val="21"/>
                <w:highlight w:val="none"/>
                <w:lang w:eastAsia="zh-CN"/>
              </w:rPr>
              <w:t>成交</w:t>
            </w:r>
            <w:r>
              <w:rPr>
                <w:rFonts w:hint="eastAsia" w:ascii="宋体" w:hAnsi="宋体" w:eastAsia="宋体" w:cs="宋体"/>
                <w:color w:val="000000"/>
                <w:kern w:val="0"/>
                <w:sz w:val="21"/>
                <w:szCs w:val="21"/>
                <w:highlight w:val="none"/>
                <w:lang w:val="en-US" w:eastAsia="zh-CN"/>
              </w:rPr>
              <w:t>供应商</w:t>
            </w:r>
            <w:r>
              <w:rPr>
                <w:rFonts w:hint="eastAsia" w:ascii="宋体" w:hAnsi="宋体" w:eastAsia="宋体" w:cs="宋体"/>
                <w:color w:val="000000"/>
                <w:kern w:val="0"/>
                <w:sz w:val="21"/>
                <w:szCs w:val="21"/>
                <w:highlight w:val="none"/>
              </w:rPr>
              <w:t>发出成交通知书。</w:t>
            </w:r>
          </w:p>
        </w:tc>
      </w:tr>
      <w:tr w14:paraId="6265A27B">
        <w:tblPrEx>
          <w:tblCellMar>
            <w:top w:w="0" w:type="dxa"/>
            <w:left w:w="0" w:type="dxa"/>
            <w:bottom w:w="0" w:type="dxa"/>
            <w:right w:w="0" w:type="dxa"/>
          </w:tblCellMar>
        </w:tblPrEx>
        <w:trPr>
          <w:trHeight w:val="610" w:hRule="atLeast"/>
        </w:trPr>
        <w:tc>
          <w:tcPr>
            <w:tcW w:w="869" w:type="dxa"/>
            <w:tcBorders>
              <w:top w:val="single" w:color="auto" w:sz="4" w:space="0"/>
              <w:left w:val="single" w:color="auto" w:sz="8" w:space="0"/>
              <w:bottom w:val="single" w:color="auto" w:sz="4" w:space="0"/>
              <w:right w:val="single" w:color="auto" w:sz="8" w:space="0"/>
            </w:tcBorders>
            <w:noWrap w:val="0"/>
            <w:tcMar>
              <w:left w:w="108" w:type="dxa"/>
              <w:right w:w="108" w:type="dxa"/>
            </w:tcMar>
            <w:vAlign w:val="center"/>
          </w:tcPr>
          <w:p w14:paraId="53384797">
            <w:pPr>
              <w:widowControl/>
              <w:shd w:val="clear" w:color="auto" w:fill="auto"/>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10</w:t>
            </w:r>
          </w:p>
        </w:tc>
        <w:tc>
          <w:tcPr>
            <w:tcW w:w="7777" w:type="dxa"/>
            <w:tcBorders>
              <w:top w:val="single" w:color="auto" w:sz="4" w:space="0"/>
              <w:left w:val="nil"/>
              <w:bottom w:val="single" w:color="auto" w:sz="4" w:space="0"/>
              <w:right w:val="single" w:color="auto" w:sz="8" w:space="0"/>
            </w:tcBorders>
            <w:noWrap w:val="0"/>
            <w:tcMar>
              <w:left w:w="108" w:type="dxa"/>
              <w:right w:w="108" w:type="dxa"/>
            </w:tcMar>
            <w:vAlign w:val="center"/>
          </w:tcPr>
          <w:p w14:paraId="47D375AD">
            <w:pPr>
              <w:widowControl/>
              <w:shd w:val="clear" w:color="auto" w:fill="auto"/>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磋商保证金交纳与退还：本项目不收取磋商保证金。</w:t>
            </w:r>
          </w:p>
        </w:tc>
      </w:tr>
      <w:tr w14:paraId="065314C9">
        <w:tblPrEx>
          <w:tblCellMar>
            <w:top w:w="0" w:type="dxa"/>
            <w:left w:w="0" w:type="dxa"/>
            <w:bottom w:w="0" w:type="dxa"/>
            <w:right w:w="0" w:type="dxa"/>
          </w:tblCellMar>
        </w:tblPrEx>
        <w:trPr>
          <w:trHeight w:val="575" w:hRule="atLeast"/>
        </w:trPr>
        <w:tc>
          <w:tcPr>
            <w:tcW w:w="869" w:type="dxa"/>
            <w:tcBorders>
              <w:top w:val="single" w:color="auto" w:sz="4" w:space="0"/>
              <w:left w:val="single" w:color="auto" w:sz="4" w:space="0"/>
              <w:bottom w:val="single" w:color="auto" w:sz="4" w:space="0"/>
              <w:right w:val="single" w:color="auto" w:sz="8" w:space="0"/>
            </w:tcBorders>
            <w:noWrap w:val="0"/>
            <w:tcMar>
              <w:left w:w="108" w:type="dxa"/>
              <w:right w:w="108" w:type="dxa"/>
            </w:tcMar>
            <w:vAlign w:val="center"/>
          </w:tcPr>
          <w:p w14:paraId="143293D4">
            <w:pPr>
              <w:widowControl/>
              <w:shd w:val="clear" w:color="auto" w:fill="auto"/>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7777" w:type="dxa"/>
            <w:tcBorders>
              <w:top w:val="single" w:color="auto" w:sz="4" w:space="0"/>
              <w:left w:val="nil"/>
              <w:bottom w:val="single" w:color="auto" w:sz="4" w:space="0"/>
              <w:right w:val="single" w:color="auto" w:sz="4" w:space="0"/>
            </w:tcBorders>
            <w:noWrap w:val="0"/>
            <w:tcMar>
              <w:left w:w="108" w:type="dxa"/>
              <w:right w:w="108" w:type="dxa"/>
            </w:tcMar>
            <w:vAlign w:val="center"/>
          </w:tcPr>
          <w:p w14:paraId="45ED81AF">
            <w:pPr>
              <w:widowControl/>
              <w:shd w:val="clear" w:color="auto" w:fill="auto"/>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签订合同：详见第二章采购需求，</w:t>
            </w:r>
            <w:r>
              <w:rPr>
                <w:rFonts w:hint="eastAsia" w:ascii="宋体" w:hAnsi="宋体" w:eastAsia="宋体" w:cs="宋体"/>
                <w:color w:val="000000"/>
                <w:kern w:val="0"/>
                <w:sz w:val="21"/>
                <w:szCs w:val="21"/>
                <w:highlight w:val="none"/>
                <w:lang w:val="en-US" w:eastAsia="zh-CN"/>
              </w:rPr>
              <w:t>三</w:t>
            </w:r>
            <w:r>
              <w:rPr>
                <w:rFonts w:hint="eastAsia" w:ascii="宋体" w:hAnsi="宋体" w:eastAsia="宋体" w:cs="宋体"/>
                <w:color w:val="000000"/>
                <w:kern w:val="0"/>
                <w:sz w:val="21"/>
                <w:szCs w:val="21"/>
                <w:highlight w:val="none"/>
              </w:rPr>
              <w:t>、商务要求。</w:t>
            </w:r>
          </w:p>
        </w:tc>
      </w:tr>
      <w:tr w14:paraId="637CEB6D">
        <w:tblPrEx>
          <w:tblCellMar>
            <w:top w:w="0" w:type="dxa"/>
            <w:left w:w="0" w:type="dxa"/>
            <w:bottom w:w="0" w:type="dxa"/>
            <w:right w:w="0" w:type="dxa"/>
          </w:tblCellMar>
        </w:tblPrEx>
        <w:trPr>
          <w:trHeight w:val="522"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E85675">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12</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495850">
            <w:pPr>
              <w:keepNext w:val="0"/>
              <w:keepLines w:val="0"/>
              <w:pageBreakBefore w:val="0"/>
              <w:widowControl/>
              <w:shd w:val="clear" w:color="auto" w:fill="auto"/>
              <w:kinsoku/>
              <w:wordWrap w:val="0"/>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履约保证金的收取及退还:本项目不收取履约保证金。</w:t>
            </w:r>
          </w:p>
        </w:tc>
      </w:tr>
      <w:tr w14:paraId="4578167B">
        <w:tblPrEx>
          <w:tblCellMar>
            <w:top w:w="0" w:type="dxa"/>
            <w:left w:w="0" w:type="dxa"/>
            <w:bottom w:w="0" w:type="dxa"/>
            <w:right w:w="0" w:type="dxa"/>
          </w:tblCellMar>
        </w:tblPrEx>
        <w:trPr>
          <w:trHeight w:val="522"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EF859">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CDB052">
            <w:pPr>
              <w:keepNext w:val="0"/>
              <w:keepLines w:val="0"/>
              <w:pageBreakBefore w:val="0"/>
              <w:widowControl/>
              <w:shd w:val="clear" w:color="auto" w:fill="auto"/>
              <w:kinsoku/>
              <w:wordWrap w:val="0"/>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采购资金来源：</w:t>
            </w:r>
            <w:r>
              <w:rPr>
                <w:rFonts w:hint="eastAsia" w:ascii="宋体" w:hAnsi="宋体" w:eastAsia="宋体" w:cs="宋体"/>
                <w:color w:val="000000"/>
                <w:kern w:val="0"/>
                <w:sz w:val="21"/>
                <w:szCs w:val="21"/>
                <w:highlight w:val="none"/>
                <w:lang w:val="en-US" w:eastAsia="zh-CN"/>
              </w:rPr>
              <w:t>财政资金+自筹资金。</w:t>
            </w:r>
          </w:p>
        </w:tc>
      </w:tr>
      <w:tr w14:paraId="769D4C51">
        <w:tblPrEx>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CB5FEA">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28B354E3">
            <w:pPr>
              <w:keepNext w:val="0"/>
              <w:keepLines w:val="0"/>
              <w:pageBreakBefore w:val="0"/>
              <w:widowControl/>
              <w:shd w:val="clear" w:color="auto" w:fill="auto"/>
              <w:kinsoku/>
              <w:wordWrap w:val="0"/>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付款方式</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 xml:space="preserve">详见第二章采购需求第三项商务要求。 </w:t>
            </w:r>
          </w:p>
        </w:tc>
      </w:tr>
      <w:tr w14:paraId="40F00E28">
        <w:tblPrEx>
          <w:tblCellMar>
            <w:top w:w="0" w:type="dxa"/>
            <w:left w:w="0" w:type="dxa"/>
            <w:bottom w:w="0" w:type="dxa"/>
            <w:right w:w="0" w:type="dxa"/>
          </w:tblCellMar>
        </w:tblPrEx>
        <w:trPr>
          <w:trHeight w:val="605"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559739">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1D6CCDCD">
            <w:pPr>
              <w:keepNext w:val="0"/>
              <w:keepLines w:val="0"/>
              <w:pageBreakBefore w:val="0"/>
              <w:widowControl/>
              <w:shd w:val="clear" w:color="auto" w:fill="auto"/>
              <w:kinsoku/>
              <w:wordWrap w:val="0"/>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成交供应商可以以政府采购合同为担保向金融机构进行贷款融资。 </w:t>
            </w:r>
          </w:p>
        </w:tc>
      </w:tr>
      <w:tr w14:paraId="2E000115">
        <w:tblPrEx>
          <w:tblCellMar>
            <w:top w:w="0" w:type="dxa"/>
            <w:left w:w="0" w:type="dxa"/>
            <w:bottom w:w="0" w:type="dxa"/>
            <w:right w:w="0" w:type="dxa"/>
          </w:tblCellMar>
        </w:tblPrEx>
        <w:trPr>
          <w:trHeight w:val="625" w:hRule="atLeast"/>
        </w:trPr>
        <w:tc>
          <w:tcPr>
            <w:tcW w:w="86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99768D">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w:t>
            </w:r>
          </w:p>
        </w:tc>
        <w:tc>
          <w:tcPr>
            <w:tcW w:w="7777" w:type="dxa"/>
            <w:tcBorders>
              <w:top w:val="nil"/>
              <w:left w:val="nil"/>
              <w:bottom w:val="single" w:color="auto" w:sz="8" w:space="0"/>
              <w:right w:val="single" w:color="auto" w:sz="8" w:space="0"/>
            </w:tcBorders>
            <w:noWrap w:val="0"/>
            <w:tcMar>
              <w:left w:w="108" w:type="dxa"/>
              <w:right w:w="108" w:type="dxa"/>
            </w:tcMar>
            <w:vAlign w:val="center"/>
          </w:tcPr>
          <w:p w14:paraId="52EA34A2">
            <w:pPr>
              <w:keepNext w:val="0"/>
              <w:keepLines w:val="0"/>
              <w:pageBreakBefore w:val="0"/>
              <w:widowControl/>
              <w:shd w:val="clear" w:color="auto" w:fill="auto"/>
              <w:kinsoku/>
              <w:wordWrap w:val="0"/>
              <w:overflowPunct/>
              <w:topLinePunct w:val="0"/>
              <w:autoSpaceDE/>
              <w:autoSpaceDN/>
              <w:bidi w:val="0"/>
              <w:adjustRightInd/>
              <w:snapToGrid/>
              <w:spacing w:line="460"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响应文件有效期：</w:t>
            </w:r>
            <w:r>
              <w:rPr>
                <w:rFonts w:hint="eastAsia" w:ascii="宋体" w:hAnsi="宋体" w:eastAsia="宋体" w:cs="宋体"/>
                <w:color w:val="000000" w:themeColor="text1"/>
                <w:kern w:val="0"/>
                <w:szCs w:val="21"/>
                <w:highlight w:val="none"/>
                <w14:textFill>
                  <w14:solidFill>
                    <w14:schemeClr w14:val="tx1"/>
                  </w14:solidFill>
                </w14:textFill>
              </w:rPr>
              <w:t>递交响应性文件截止期结束后60日</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成交供应商</w:t>
            </w:r>
            <w:r>
              <w:rPr>
                <w:rFonts w:hint="eastAsia" w:ascii="宋体" w:hAnsi="宋体" w:eastAsia="宋体" w:cs="宋体"/>
                <w:color w:val="000000"/>
                <w:kern w:val="0"/>
                <w:sz w:val="21"/>
                <w:szCs w:val="21"/>
                <w:highlight w:val="none"/>
              </w:rPr>
              <w:t>的响应性文件是合同的组成部分,有效期至合同完全履行止。</w:t>
            </w:r>
          </w:p>
        </w:tc>
      </w:tr>
      <w:tr w14:paraId="7F51E11B">
        <w:tblPrEx>
          <w:tblCellMar>
            <w:top w:w="0" w:type="dxa"/>
            <w:left w:w="0" w:type="dxa"/>
            <w:bottom w:w="0" w:type="dxa"/>
            <w:right w:w="0" w:type="dxa"/>
          </w:tblCellMar>
        </w:tblPrEx>
        <w:trPr>
          <w:trHeight w:val="1510" w:hRule="atLeast"/>
        </w:trPr>
        <w:tc>
          <w:tcPr>
            <w:tcW w:w="869" w:type="dxa"/>
            <w:tcBorders>
              <w:top w:val="nil"/>
              <w:left w:val="single" w:color="auto" w:sz="8" w:space="0"/>
              <w:bottom w:val="single" w:color="auto" w:sz="4" w:space="0"/>
              <w:right w:val="single" w:color="auto" w:sz="8" w:space="0"/>
            </w:tcBorders>
            <w:noWrap w:val="0"/>
            <w:tcMar>
              <w:left w:w="108" w:type="dxa"/>
              <w:right w:w="108" w:type="dxa"/>
            </w:tcMar>
            <w:vAlign w:val="center"/>
          </w:tcPr>
          <w:p w14:paraId="0E770A57">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17</w:t>
            </w:r>
          </w:p>
        </w:tc>
        <w:tc>
          <w:tcPr>
            <w:tcW w:w="7777" w:type="dxa"/>
            <w:tcBorders>
              <w:top w:val="nil"/>
              <w:left w:val="nil"/>
              <w:bottom w:val="single" w:color="auto" w:sz="4" w:space="0"/>
              <w:right w:val="single" w:color="auto" w:sz="8" w:space="0"/>
            </w:tcBorders>
            <w:noWrap w:val="0"/>
            <w:tcMar>
              <w:left w:w="108" w:type="dxa"/>
              <w:right w:w="108" w:type="dxa"/>
            </w:tcMar>
            <w:vAlign w:val="center"/>
          </w:tcPr>
          <w:p w14:paraId="29A9AD8E">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本项目使用远程不见面交易的模式。供应商应于磋商截止时间前将加密电子响应性文件(.zmdtf格式)在驻马店市公共资源交易中心电子交易平台加密上传，逾期上传磋商将被拒绝。</w:t>
            </w:r>
          </w:p>
        </w:tc>
      </w:tr>
      <w:tr w14:paraId="5BE88A9E">
        <w:tblPrEx>
          <w:tblCellMar>
            <w:top w:w="0" w:type="dxa"/>
            <w:left w:w="0" w:type="dxa"/>
            <w:bottom w:w="0" w:type="dxa"/>
            <w:right w:w="0" w:type="dxa"/>
          </w:tblCellMar>
        </w:tblPrEx>
        <w:trPr>
          <w:trHeight w:val="558"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D4CF65">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E8B8DA">
            <w:pPr>
              <w:keepNext w:val="0"/>
              <w:keepLines w:val="0"/>
              <w:pageBreakBefore w:val="0"/>
              <w:widowControl/>
              <w:shd w:val="clear" w:color="auto" w:fill="auto"/>
              <w:kinsoku/>
              <w:wordWrap w:val="0"/>
              <w:overflowPunct/>
              <w:topLinePunct w:val="0"/>
              <w:autoSpaceDE/>
              <w:autoSpaceDN/>
              <w:bidi w:val="0"/>
              <w:adjustRightInd/>
              <w:snapToGri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质疑和投诉：详见第三章供应商须知第</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条。</w:t>
            </w:r>
          </w:p>
        </w:tc>
      </w:tr>
      <w:tr w14:paraId="6F7279A4">
        <w:tblPrEx>
          <w:tblCellMar>
            <w:top w:w="0" w:type="dxa"/>
            <w:left w:w="0" w:type="dxa"/>
            <w:bottom w:w="0" w:type="dxa"/>
            <w:right w:w="0" w:type="dxa"/>
          </w:tblCellMar>
        </w:tblPrEx>
        <w:trPr>
          <w:trHeight w:val="2483"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15EC1F">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19</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248502">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供应商注册:供应商首先通过“驻马店市公共资源交易中心（https://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 </w:t>
            </w:r>
          </w:p>
        </w:tc>
      </w:tr>
      <w:tr w14:paraId="3C4A5051">
        <w:tblPrEx>
          <w:tblCellMar>
            <w:top w:w="0" w:type="dxa"/>
            <w:left w:w="0" w:type="dxa"/>
            <w:bottom w:w="0" w:type="dxa"/>
            <w:right w:w="0" w:type="dxa"/>
          </w:tblCellMar>
        </w:tblPrEx>
        <w:trPr>
          <w:trHeight w:val="1598"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2A7FD0">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69D1E3">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 xml:space="preserve">磋商文件下载: </w:t>
            </w:r>
          </w:p>
          <w:p w14:paraId="756F9876">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凡有意参加磋商者，登录“驻马店市公共资源交易中心（https://ggzy.zhumadian.gov.cn）”网站，凭领取的企业身份认证锁（CA密钥）登录系统进行网上免费下载磋商文件。供应商未按规定在网上下载磋商文件的，其磋商将被拒绝。 </w:t>
            </w:r>
          </w:p>
        </w:tc>
      </w:tr>
      <w:tr w14:paraId="208BE273">
        <w:tblPrEx>
          <w:tblCellMar>
            <w:top w:w="0" w:type="dxa"/>
            <w:left w:w="0" w:type="dxa"/>
            <w:bottom w:w="0" w:type="dxa"/>
            <w:right w:w="0" w:type="dxa"/>
          </w:tblCellMar>
        </w:tblPrEx>
        <w:trPr>
          <w:trHeight w:val="7453"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62926D">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21</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689F8D">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响应性文件制作:</w:t>
            </w:r>
          </w:p>
          <w:p w14:paraId="1434C184">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1、供应商通过“驻马店市公共资源交易中心（https://ggzy.zhumadian.gov.cn）”网站下载中心（政府采购类）：下载“新点响应性文件制作软件（驻马店）”；</w:t>
            </w:r>
          </w:p>
          <w:p w14:paraId="6761065E">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2、供应商凭 CA 密钥登陆交易系统下载磋商文件(.zmdzf格式)；</w:t>
            </w:r>
          </w:p>
          <w:p w14:paraId="4B534025">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3、供应商须在响应性文件递交截止时间前制作并提交：加密的电子响应性文件（.zmdtf格式）,应在响应性文件截止时间前通过“驻马店市公共资源交易中心（https://ggzy.zhumadian.gov.cn）”电子交易平台内上传；</w:t>
            </w:r>
          </w:p>
          <w:p w14:paraId="45332D04">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4、加密的电子响应性文件为“驻马店市公共资源交易中心（https://ggzy.zhumadian.gov.cn）”网站提供的“新点响应性文件制作软件（驻马店）”制作生成的加密版响应性文件；</w:t>
            </w:r>
          </w:p>
          <w:p w14:paraId="3E50F1EE">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5、供应商在编制电子响应性文件时，生成后的电子响应性文件须按磋商文件的格式要求完成电子签字或盖章。其他要求签字盖章的磋商文件格式内容，供应商须将盖章签字后的扫描图片替换到相应格式中；</w:t>
            </w:r>
          </w:p>
          <w:p w14:paraId="51A3C7AC">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6、磋商文件格式所要求包含的全部资料应全部制作在响应性文件内，严格按照本项目磋商文件所有格式如实填写（不涉及的内容除外），不应存在漏项或缺项，否则将存在响应性文件被拒绝的风险；</w:t>
            </w:r>
          </w:p>
          <w:p w14:paraId="1A3FEB80">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7、响应性文件以外的任何资料采购人和采购机构将拒收；</w:t>
            </w:r>
          </w:p>
          <w:p w14:paraId="1CC365B9">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8、供应商编辑电子响应性文件时，根据磋商文件要求用法人CA密钥和企业CA密钥进行签章制作；最后一步生成电子响应性文件（.zmdtf 格式和.nzmdtf格式）时，只能用本单位的企业CA密钥；</w:t>
            </w:r>
          </w:p>
          <w:p w14:paraId="39E36303">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 w:val="21"/>
                <w:szCs w:val="21"/>
                <w:highlight w:val="none"/>
                <w:lang w:val="en-US" w:eastAsia="zh-CN"/>
              </w:rPr>
              <w:t>9、电子响应性文件制作流程，可参考驻马店市公共资源交易中心官方网站的，下载中心板块的视频（https://ggzy.zhumadian.gov.cn）。</w:t>
            </w:r>
          </w:p>
        </w:tc>
      </w:tr>
      <w:tr w14:paraId="5F70017E">
        <w:tblPrEx>
          <w:tblCellMar>
            <w:top w:w="0" w:type="dxa"/>
            <w:left w:w="0" w:type="dxa"/>
            <w:bottom w:w="0" w:type="dxa"/>
            <w:right w:w="0" w:type="dxa"/>
          </w:tblCellMar>
        </w:tblPrEx>
        <w:trPr>
          <w:trHeight w:val="941"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AAEC7B">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22</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76126F">
            <w:pPr>
              <w:keepNext w:val="0"/>
              <w:keepLines w:val="0"/>
              <w:pageBreakBefore w:val="0"/>
              <w:widowControl/>
              <w:shd w:val="clear" w:color="auto" w:fill="auto"/>
              <w:kinsoku/>
              <w:wordWrap w:val="0"/>
              <w:overflowPunct/>
              <w:topLinePunct w:val="0"/>
              <w:autoSpaceDE/>
              <w:autoSpaceDN/>
              <w:bidi w:val="0"/>
              <w:adjustRightInd/>
              <w:snapToGrid/>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磋商文件的澄清与变更:</w:t>
            </w:r>
          </w:p>
          <w:p w14:paraId="5E409C8F">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采购人、采购机构对已发出的磋商文件进行的澄清、更正或更改，澄清、更正或更改的内容将作为磋商文件的组成部分。采购机构将通过网站“变更公告”和“答疑文件”告知供应商。各供应商须下载磋商文件和最新的答疑文件，以此编制响应性文件。</w:t>
            </w:r>
          </w:p>
          <w:p w14:paraId="3B90FE95">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 w:val="21"/>
                <w:szCs w:val="21"/>
                <w:highlight w:val="none"/>
                <w:lang w:val="en-US" w:eastAsia="zh-CN"/>
              </w:rPr>
              <w:t>2、因</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b w:val="0"/>
                <w:bCs w:val="0"/>
                <w:color w:val="000000"/>
                <w:sz w:val="21"/>
                <w:szCs w:val="21"/>
                <w:highlight w:val="none"/>
                <w:lang w:val="en-US" w:eastAsia="zh-CN"/>
              </w:rPr>
              <w:t>在开标前具有保密性，供应商在磋商文件递交截止时间前须自行查看项目进展、变更通知、澄清及回复，因供应商未及时查看而造成的后果自负。</w:t>
            </w:r>
          </w:p>
        </w:tc>
      </w:tr>
      <w:tr w14:paraId="656DF3FD">
        <w:tblPrEx>
          <w:tblCellMar>
            <w:top w:w="0" w:type="dxa"/>
            <w:left w:w="0" w:type="dxa"/>
            <w:bottom w:w="0" w:type="dxa"/>
            <w:right w:w="0" w:type="dxa"/>
          </w:tblCellMar>
        </w:tblPrEx>
        <w:trPr>
          <w:trHeight w:val="2012"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FC4906">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23</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3DC593">
            <w:pPr>
              <w:keepNext w:val="0"/>
              <w:keepLines w:val="0"/>
              <w:pageBreakBefore w:val="0"/>
              <w:widowControl/>
              <w:shd w:val="clear" w:color="auto" w:fill="auto"/>
              <w:kinsoku/>
              <w:wordWrap w:val="0"/>
              <w:overflowPunct/>
              <w:topLinePunct w:val="0"/>
              <w:autoSpaceDE/>
              <w:autoSpaceDN/>
              <w:bidi w:val="0"/>
              <w:adjustRightInd/>
              <w:snapToGrid/>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签字或盖章要求：</w:t>
            </w:r>
          </w:p>
          <w:p w14:paraId="024DB5F2">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1、电子响应文件</w:t>
            </w:r>
          </w:p>
          <w:p w14:paraId="7553D6D9">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（1）经过加密的电子响应文件上传件为正本。</w:t>
            </w:r>
          </w:p>
          <w:p w14:paraId="6A21BD01">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（2）所有要求供应商加盖公章的地方都须加盖供应商单位的CA印章。</w:t>
            </w:r>
          </w:p>
          <w:p w14:paraId="5C7D822A">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b w:val="0"/>
                <w:bCs w:val="0"/>
                <w:color w:val="000000"/>
                <w:sz w:val="21"/>
                <w:szCs w:val="21"/>
                <w:highlight w:val="none"/>
                <w:lang w:val="en-US" w:eastAsia="zh-CN"/>
              </w:rPr>
              <w:t>（3）所有要求法定代表人签字的地方都须加盖法定代表人CA印章, 需要委托代理人签字的地方，可将委托代理人的签字以图片形式扫描上传。</w:t>
            </w:r>
          </w:p>
        </w:tc>
      </w:tr>
      <w:tr w14:paraId="2A2AD733">
        <w:tblPrEx>
          <w:tblCellMar>
            <w:top w:w="0" w:type="dxa"/>
            <w:left w:w="0" w:type="dxa"/>
            <w:bottom w:w="0" w:type="dxa"/>
            <w:right w:w="0"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17C538">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24</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C5D64B">
            <w:pPr>
              <w:keepNext w:val="0"/>
              <w:keepLines w:val="0"/>
              <w:pageBreakBefore w:val="0"/>
              <w:widowControl/>
              <w:shd w:val="clear" w:color="auto" w:fill="auto"/>
              <w:kinsoku/>
              <w:wordWrap w:val="0"/>
              <w:overflowPunct/>
              <w:topLinePunct w:val="0"/>
              <w:autoSpaceDE/>
              <w:autoSpaceDN/>
              <w:bidi w:val="0"/>
              <w:adjustRightInd/>
              <w:snapToGrid/>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响应文件开启</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解密</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w:t>
            </w:r>
          </w:p>
          <w:p w14:paraId="3C2AA317">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1、开标当日，供应商无需到达开标现场，仅需在任意地点使用企业CA密钥登入</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b w:val="0"/>
                <w:bCs w:val="0"/>
                <w:color w:val="000000"/>
                <w:sz w:val="21"/>
                <w:szCs w:val="21"/>
                <w:highlight w:val="none"/>
                <w:lang w:val="en-US" w:eastAsia="zh-CN"/>
              </w:rPr>
              <w:t>中心不见面开标大厅（https://ggzy.zhumadian.gov.cn）及相应的配套硬件设备（摄像头、话筒、麦克风等）参加开标会议。</w:t>
            </w:r>
          </w:p>
          <w:p w14:paraId="5CF1E2AB">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开标时，供应商必须使用能正确解密响应性文件的CA密钥在规定的时间内完成远程解密，因供应商原因未能解密、解密失败或解密超时，视为供应商撤销其响应性文件，系统内响应性文件将被退回；因采购人原因或网上磋商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7BDF7CB9">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3、远程开标前，供应商务必在</w:t>
            </w:r>
            <w:r>
              <w:rPr>
                <w:rFonts w:hint="eastAsia" w:ascii="宋体" w:hAnsi="宋体" w:eastAsia="宋体" w:cs="宋体"/>
                <w:color w:val="000000" w:themeColor="text1"/>
                <w:kern w:val="0"/>
                <w:szCs w:val="21"/>
                <w:highlight w:val="none"/>
                <w14:textFill>
                  <w14:solidFill>
                    <w14:schemeClr w14:val="tx1"/>
                  </w14:solidFill>
                </w14:textFill>
              </w:rPr>
              <w:t>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b w:val="0"/>
                <w:bCs w:val="0"/>
                <w:color w:val="000000"/>
                <w:sz w:val="21"/>
                <w:szCs w:val="21"/>
                <w:highlight w:val="none"/>
                <w:lang w:val="en-US" w:eastAsia="zh-CN"/>
              </w:rPr>
              <w:t>（https://ggzy.zhumadian.gov.cn）响应性文件上传模块中使用“模拟解密”功能，验证本机远程自助解密环境。</w:t>
            </w:r>
          </w:p>
          <w:p w14:paraId="0CA8F64B">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4、特别提醒：</w:t>
            </w:r>
          </w:p>
          <w:p w14:paraId="2256EDD5">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因驻马店市公共资源不见面交易系统具备视频直播、语音通话等，对网络带宽及硬件要求相对较高的功能，故供应商在参与使用不见面交易系统开标的项目时，需确认是否满足如下要求：</w:t>
            </w:r>
          </w:p>
          <w:p w14:paraId="177EE49C">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（1）网络要求：网络带宽4M以上。</w:t>
            </w:r>
          </w:p>
          <w:p w14:paraId="3FF133A0">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（2）硬件要求：电脑要求内存4G及以上，且需配套网络摄像头、麦克风、音箱等，并确保其均能正常运转。操作系统要求Windows7及以上，IE浏览器IE11及以上。</w:t>
            </w:r>
          </w:p>
          <w:p w14:paraId="7AE81E82">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（3）人员要求：对于参与驻马店不见面交易系统开标的供应商，要求能熟练掌握电脑基础操作。不见面开标操作手册下载地址：（https://ggzy.zhumadian.gov.cn）。</w:t>
            </w:r>
          </w:p>
          <w:p w14:paraId="182E8E69">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b w:val="0"/>
                <w:bCs w:val="0"/>
                <w:color w:val="000000"/>
                <w:sz w:val="21"/>
                <w:szCs w:val="21"/>
                <w:highlight w:val="none"/>
                <w:lang w:val="en-US" w:eastAsia="zh-CN"/>
              </w:rPr>
              <w:t>5、在开标过程中，磋商截止时间前各供应商必须在网上不见面开标大厅中的开标系统内完成签到，供应商未完成签到的不予受理，其磋商按无效标处理，系统内响应文件将被退回。</w:t>
            </w:r>
          </w:p>
        </w:tc>
      </w:tr>
      <w:tr w14:paraId="79006E17">
        <w:tblPrEx>
          <w:tblCellMar>
            <w:top w:w="0" w:type="dxa"/>
            <w:left w:w="0" w:type="dxa"/>
            <w:bottom w:w="0" w:type="dxa"/>
            <w:right w:w="0" w:type="dxa"/>
          </w:tblCellMar>
        </w:tblPrEx>
        <w:trPr>
          <w:trHeight w:val="2610" w:hRule="atLeast"/>
        </w:trPr>
        <w:tc>
          <w:tcPr>
            <w:tcW w:w="86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681D3D">
            <w:pPr>
              <w:keepNext w:val="0"/>
              <w:keepLines w:val="0"/>
              <w:pageBreakBefore w:val="0"/>
              <w:widowControl/>
              <w:shd w:val="clear" w:color="auto" w:fill="auto"/>
              <w:kinsoku/>
              <w:wordWrap w:val="0"/>
              <w:overflowPunct/>
              <w:topLinePunct w:val="0"/>
              <w:autoSpaceDE/>
              <w:autoSpaceDN/>
              <w:bidi w:val="0"/>
              <w:adjustRightInd/>
              <w:snapToGrid/>
              <w:spacing w:line="360" w:lineRule="exac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25</w:t>
            </w:r>
          </w:p>
        </w:tc>
        <w:tc>
          <w:tcPr>
            <w:tcW w:w="77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5E3894">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解释：构成本竞争性磋商文件的各个组成文件应互为解释，互为说明；如有不明确或不一致，构成合同文件组成内容的，以合同文件约定内容为准；除竞争性磋商文件中有特殊规定外，仅适用于磋商阶段的规定，按竞争性磋商公告、供应商须知、响应性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0F88CEF0">
            <w:pPr>
              <w:keepNext w:val="0"/>
              <w:keepLines w:val="0"/>
              <w:pageBreakBefore w:val="0"/>
              <w:widowControl/>
              <w:shd w:val="clear" w:color="auto" w:fill="auto"/>
              <w:kinsoku/>
              <w:wordWrap w:val="0"/>
              <w:overflowPunct/>
              <w:topLinePunct w:val="0"/>
              <w:autoSpaceDE/>
              <w:autoSpaceDN/>
              <w:bidi w:val="0"/>
              <w:adjustRightInd/>
              <w:snapToGrid/>
              <w:spacing w:line="460" w:lineRule="exact"/>
              <w:textAlignment w:val="auto"/>
              <w:rPr>
                <w:rFonts w:hint="eastAsia" w:ascii="宋体" w:hAnsi="宋体" w:eastAsia="宋体" w:cs="宋体"/>
                <w:color w:val="000000"/>
                <w:sz w:val="21"/>
                <w:szCs w:val="21"/>
                <w:highlight w:val="none"/>
              </w:rPr>
            </w:pPr>
            <w:r>
              <w:rPr>
                <w:rFonts w:hint="eastAsia" w:ascii="宋体" w:hAnsi="宋体" w:eastAsia="宋体" w:cs="宋体"/>
                <w:b w:val="0"/>
                <w:bCs w:val="0"/>
                <w:color w:val="000000"/>
                <w:sz w:val="21"/>
                <w:szCs w:val="21"/>
                <w:highlight w:val="none"/>
                <w:lang w:val="en-US" w:eastAsia="zh-CN"/>
              </w:rPr>
              <w:t>按本款前述规定仍不能形成结论的，由采购人（或采购代理机构）负责解释。</w:t>
            </w:r>
          </w:p>
        </w:tc>
      </w:tr>
    </w:tbl>
    <w:p w14:paraId="3B6A106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sectPr>
          <w:pgSz w:w="11900" w:h="16838"/>
          <w:pgMar w:top="1440" w:right="1800" w:bottom="1440" w:left="1800" w:header="850" w:footer="992" w:gutter="0"/>
          <w:cols w:space="720" w:num="1"/>
          <w:docGrid w:type="lines" w:linePitch="317" w:charSpace="0"/>
        </w:sectPr>
      </w:pPr>
    </w:p>
    <w:p w14:paraId="240D3EF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  说    明</w:t>
      </w:r>
    </w:p>
    <w:p w14:paraId="2131F323">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13006F83">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本竞争性磋商文件仅适用于竞争性磋商公告中所叙述项目的相关货物采购。</w:t>
      </w:r>
    </w:p>
    <w:p w14:paraId="0EAF878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016965DD">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“采购人”系指本次采购项目的</w:t>
      </w:r>
      <w:r>
        <w:rPr>
          <w:rFonts w:hint="eastAsia" w:ascii="宋体" w:hAnsi="宋体" w:eastAsia="宋体" w:cs="宋体"/>
          <w:color w:val="000000" w:themeColor="text1"/>
          <w:kern w:val="0"/>
          <w:szCs w:val="21"/>
          <w:highlight w:val="none"/>
          <w:lang w:eastAsia="zh-CN"/>
          <w14:textFill>
            <w14:solidFill>
              <w14:schemeClr w14:val="tx1"/>
            </w14:solidFill>
          </w14:textFill>
        </w:rPr>
        <w:t>驻马店市中心医院</w:t>
      </w:r>
      <w:r>
        <w:rPr>
          <w:rFonts w:hint="eastAsia" w:ascii="宋体" w:hAnsi="宋体" w:eastAsia="宋体" w:cs="宋体"/>
          <w:color w:val="000000" w:themeColor="text1"/>
          <w:kern w:val="0"/>
          <w:szCs w:val="21"/>
          <w:highlight w:val="none"/>
          <w14:textFill>
            <w14:solidFill>
              <w14:schemeClr w14:val="tx1"/>
            </w14:solidFill>
          </w14:textFill>
        </w:rPr>
        <w:t>。</w:t>
      </w:r>
    </w:p>
    <w:p w14:paraId="3DF5CE3E">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“采购代理机构”系指本次采购项目活动组织方</w:t>
      </w:r>
      <w:r>
        <w:rPr>
          <w:rFonts w:hint="eastAsia" w:ascii="宋体" w:hAnsi="宋体" w:eastAsia="宋体" w:cs="宋体"/>
          <w:color w:val="000000" w:themeColor="text1"/>
          <w:kern w:val="0"/>
          <w:szCs w:val="21"/>
          <w:highlight w:val="none"/>
          <w:lang w:eastAsia="zh-CN"/>
          <w14:textFill>
            <w14:solidFill>
              <w14:schemeClr w14:val="tx1"/>
            </w14:solidFill>
          </w14:textFill>
        </w:rPr>
        <w:t>中泰工程管理有限公司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FA273DA">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“供应商”系指下载了本竞争性磋商文件，且已经提交本次响应文件的参加磋商主体。</w:t>
      </w:r>
    </w:p>
    <w:p w14:paraId="0EDDDF82">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 “供应商代表”系指代表供应商参加本次磋商活动的供应商的法定代表人或其委托代理人。</w:t>
      </w:r>
    </w:p>
    <w:p w14:paraId="6E22AF9A">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 “货物”系指供应商按磋商文件规定向采购人提供的一切设备、机械、仪器仪表、备品备件、工具、手册及其它有关技术资料和材料。</w:t>
      </w:r>
    </w:p>
    <w:p w14:paraId="7EC1B125">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响应文件有效期</w:t>
      </w:r>
      <w:r>
        <w:rPr>
          <w:rFonts w:hint="eastAsia" w:ascii="宋体" w:hAnsi="宋体" w:eastAsia="宋体" w:cs="宋体"/>
          <w:color w:val="000000" w:themeColor="text1"/>
          <w:kern w:val="0"/>
          <w:szCs w:val="21"/>
          <w:highlight w:val="none"/>
          <w14:textFill>
            <w14:solidFill>
              <w14:schemeClr w14:val="tx1"/>
            </w14:solidFill>
          </w14:textFill>
        </w:rPr>
        <w:t>”系指递交响应性文件截止期结束后60日。</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的响应性文件是合同的组成部分,有效期至合同完全履行止。</w:t>
      </w:r>
    </w:p>
    <w:p w14:paraId="27EADB44">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3.采购预算</w:t>
      </w:r>
    </w:p>
    <w:p w14:paraId="09553F50">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预算金额：</w:t>
      </w:r>
      <w:r>
        <w:rPr>
          <w:rFonts w:hint="eastAsia" w:ascii="宋体" w:hAnsi="宋体" w:eastAsia="宋体" w:cs="宋体"/>
          <w:color w:val="000000" w:themeColor="text1"/>
          <w:szCs w:val="21"/>
          <w:highlight w:val="none"/>
          <w:lang w:val="en-US" w:eastAsia="zh-CN"/>
          <w14:textFill>
            <w14:solidFill>
              <w14:schemeClr w14:val="tx1"/>
            </w14:solidFill>
          </w14:textFill>
        </w:rPr>
        <w:t>1400000.00</w:t>
      </w:r>
      <w:r>
        <w:rPr>
          <w:rFonts w:hint="eastAsia" w:ascii="宋体" w:hAnsi="宋体" w:eastAsia="宋体" w:cs="宋体"/>
          <w:color w:val="000000" w:themeColor="text1"/>
          <w:kern w:val="0"/>
          <w:szCs w:val="21"/>
          <w:highlight w:val="none"/>
          <w14:textFill>
            <w14:solidFill>
              <w14:schemeClr w14:val="tx1"/>
            </w14:solidFill>
          </w14:textFill>
        </w:rPr>
        <w:t>元；最高限价：</w:t>
      </w:r>
      <w:r>
        <w:rPr>
          <w:rFonts w:hint="eastAsia" w:ascii="宋体" w:hAnsi="宋体" w:eastAsia="宋体" w:cs="宋体"/>
          <w:color w:val="000000" w:themeColor="text1"/>
          <w:szCs w:val="21"/>
          <w:highlight w:val="none"/>
          <w:lang w:val="en-US" w:eastAsia="zh-CN"/>
          <w14:textFill>
            <w14:solidFill>
              <w14:schemeClr w14:val="tx1"/>
            </w14:solidFill>
          </w14:textFill>
        </w:rPr>
        <w:t>1400000.00</w:t>
      </w:r>
      <w:r>
        <w:rPr>
          <w:rFonts w:hint="eastAsia" w:ascii="宋体" w:hAnsi="宋体" w:eastAsia="宋体" w:cs="宋体"/>
          <w:color w:val="000000" w:themeColor="text1"/>
          <w:kern w:val="0"/>
          <w:szCs w:val="21"/>
          <w:highlight w:val="none"/>
          <w14:textFill>
            <w14:solidFill>
              <w14:schemeClr w14:val="tx1"/>
            </w14:solidFill>
          </w14:textFill>
        </w:rPr>
        <w:t>元。</w:t>
      </w:r>
    </w:p>
    <w:p w14:paraId="5C582F2E">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4.供应商应提交的证明文件</w:t>
      </w:r>
    </w:p>
    <w:p w14:paraId="7215E879">
      <w:pPr>
        <w:keepNext w:val="0"/>
        <w:keepLines w:val="0"/>
        <w:pageBreakBefore w:val="0"/>
        <w:widowControl w:val="0"/>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4.1</w:t>
      </w:r>
      <w:r>
        <w:rPr>
          <w:rFonts w:hint="eastAsia" w:ascii="宋体" w:hAnsi="宋体" w:eastAsia="宋体" w:cs="宋体"/>
          <w:kern w:val="0"/>
          <w:sz w:val="21"/>
          <w:szCs w:val="21"/>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p>
    <w:p w14:paraId="2E7ACCAF">
      <w:pPr>
        <w:keepNext w:val="0"/>
        <w:keepLines w:val="0"/>
        <w:pageBreakBefore w:val="0"/>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4.2符合《中华人民共和国政府采购法》第二十二条规定的承诺函；（格式见第五章附件9.1驻马店市政府采购供应商信用承诺函）；</w:t>
      </w:r>
    </w:p>
    <w:p w14:paraId="60096FB8">
      <w:pPr>
        <w:keepNext w:val="0"/>
        <w:keepLines w:val="0"/>
        <w:pageBreakBefore w:val="0"/>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14:paraId="46E21AEE">
      <w:pPr>
        <w:keepNext w:val="0"/>
        <w:keepLines w:val="0"/>
        <w:pageBreakBefore w:val="0"/>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4.3法定代表人本人参加磋商的，提供法人身份证明(格式见第五章附件7法定代表人身份证明)；法定代表人委托代理人参加磋商的，提供法人授权委托书、委托代理人的身份证(格式见第五章附件8法定代表人授权书)；</w:t>
      </w:r>
    </w:p>
    <w:p w14:paraId="58592D5C">
      <w:pPr>
        <w:keepNext w:val="0"/>
        <w:keepLines w:val="0"/>
        <w:pageBreakBefore w:val="0"/>
        <w:topLinePunct w:val="0"/>
        <w:bidi w:val="0"/>
        <w:snapToGrid w:val="0"/>
        <w:spacing w:line="460" w:lineRule="exact"/>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4.4单位负责人为同一人或者存在直接控股、管理关系的不同投标公司，不得参加同一合同项下的政府采购活动。提供在“国家企业信用信息公示系统”中查询的相关材料并加盖公章（需包含公司基本信息、股东信息及股权变更信息）或提供承诺书。</w:t>
      </w:r>
    </w:p>
    <w:p w14:paraId="4FB3A9C7">
      <w:pPr>
        <w:keepNext w:val="0"/>
        <w:keepLines w:val="0"/>
        <w:pageBreakBefore w:val="0"/>
        <w:widowControl/>
        <w:topLinePunct w:val="0"/>
        <w:bidi w:val="0"/>
        <w:spacing w:line="460" w:lineRule="exact"/>
        <w:ind w:firstLine="482"/>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注∶以上为必须提供的材料。本项目采用不见面开评标，供应商在响应文件截止时间前应及时完善主体诚信库中企业信息及扫描件（4.1</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-4.4</w:t>
      </w:r>
      <w:r>
        <w:rPr>
          <w:rFonts w:hint="eastAsia" w:ascii="宋体" w:hAnsi="宋体" w:eastAsia="宋体" w:cs="宋体"/>
          <w:b/>
          <w:bCs/>
          <w:color w:val="000000" w:themeColor="text1"/>
          <w:kern w:val="0"/>
          <w:szCs w:val="21"/>
          <w:highlight w:val="none"/>
          <w14:textFill>
            <w14:solidFill>
              <w14:schemeClr w14:val="tx1"/>
            </w14:solidFill>
          </w14:textFill>
        </w:rPr>
        <w:t>项所需材料），提交并自行核验通过。同时在"资格审查及评审材料"菜单下按分包挑选该包投标所用资格审查材料（4.1</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-4.4</w:t>
      </w:r>
      <w:r>
        <w:rPr>
          <w:rFonts w:hint="eastAsia" w:ascii="宋体" w:hAnsi="宋体" w:eastAsia="宋体" w:cs="宋体"/>
          <w:b/>
          <w:bCs/>
          <w:color w:val="000000" w:themeColor="text1"/>
          <w:kern w:val="0"/>
          <w:szCs w:val="21"/>
          <w:highlight w:val="none"/>
          <w14:textFill>
            <w14:solidFill>
              <w14:schemeClr w14:val="tx1"/>
            </w14:solidFill>
          </w14:textFill>
        </w:rPr>
        <w:t>项所需材料），以供评标过程中采购人</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或磋商小组</w:t>
      </w:r>
      <w:r>
        <w:rPr>
          <w:rFonts w:hint="eastAsia" w:ascii="宋体" w:hAnsi="宋体" w:eastAsia="宋体" w:cs="宋体"/>
          <w:b/>
          <w:bCs/>
          <w:color w:val="000000" w:themeColor="text1"/>
          <w:kern w:val="0"/>
          <w:szCs w:val="21"/>
          <w:highlight w:val="none"/>
          <w14:textFill>
            <w14:solidFill>
              <w14:schemeClr w14:val="tx1"/>
            </w14:solidFill>
          </w14:textFill>
        </w:rPr>
        <w:t>查阅。供应商应确保主体诚信库信息与电子响应文件信息一致，上传的资料要真实并清晰可辨。评标时以电子响应文件及"资格审查及评审材料"菜单中选取的企业信息为准。</w:t>
      </w:r>
    </w:p>
    <w:p w14:paraId="710CB29A">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5.磋商费用</w:t>
      </w:r>
    </w:p>
    <w:p w14:paraId="72CECC08">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不论磋商结果如何，供应商均应自行承担所有与磋商有关的全部费用。</w:t>
      </w:r>
    </w:p>
    <w:p w14:paraId="39F32EB8">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6.不接受联合体参加磋商</w:t>
      </w:r>
    </w:p>
    <w:p w14:paraId="0FEB3ADE">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7.转包与分包</w:t>
      </w:r>
    </w:p>
    <w:p w14:paraId="074D3047">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 本项目不允许采取转包方式履行合同。</w:t>
      </w:r>
    </w:p>
    <w:p w14:paraId="102872B9">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7.2本项目不允许采取分包方式履行合同。</w:t>
      </w:r>
    </w:p>
    <w:p w14:paraId="5CA827F0">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8.特别说明：</w:t>
      </w:r>
    </w:p>
    <w:p w14:paraId="7E5AF458">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8.1供应商参加磋商所使用的资格、信誉、荣誉、业绩与企业认证必须为本法人所拥有。</w:t>
      </w:r>
    </w:p>
    <w:p w14:paraId="3A319588">
      <w:pPr>
        <w:keepNext w:val="0"/>
        <w:keepLines w:val="0"/>
        <w:pageBreakBefore w:val="0"/>
        <w:widowControl/>
        <w:topLinePunct w:val="0"/>
        <w:bidi w:val="0"/>
        <w:spacing w:line="460" w:lineRule="exact"/>
        <w:ind w:left="0" w:leftChars="0" w:firstLine="480" w:firstLineChars="22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8.2供应商代表只能接受一个供应商的委托参加磋商。</w:t>
      </w:r>
    </w:p>
    <w:p w14:paraId="5A44E4F2">
      <w:pPr>
        <w:pStyle w:val="101"/>
        <w:keepNext w:val="0"/>
        <w:keepLines w:val="0"/>
        <w:pageBreakBefore w:val="0"/>
        <w:topLinePunct w:val="0"/>
        <w:bidi w:val="0"/>
        <w:spacing w:line="460" w:lineRule="exact"/>
        <w:ind w:left="0" w:leftChars="0" w:firstLine="480" w:firstLineChars="22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8.3《政府采购法》第二十二条第五款“参加政府采购活动前三年内，在经营活动中没有重大违法记录”，“重大违法记录”是指</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供应商因违法经营受到刑事处罚或者责令停产停业、吊销许可证或者执照、较大数额罚款等行政处罚。</w:t>
      </w:r>
    </w:p>
    <w:p w14:paraId="23D7A2BA">
      <w:pPr>
        <w:keepNext w:val="0"/>
        <w:keepLines w:val="0"/>
        <w:pageBreakBefore w:val="0"/>
        <w:widowControl/>
        <w:topLinePunct w:val="0"/>
        <w:bidi w:val="0"/>
        <w:spacing w:line="460" w:lineRule="exact"/>
        <w:ind w:left="0" w:leftChars="0" w:firstLine="481" w:firstLineChars="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8.4供应商在磋商活动中提供虚假材料或从事其他违法活动的,其响应无效，由相关部门查处。</w:t>
      </w:r>
    </w:p>
    <w:p w14:paraId="4DEEDBDE">
      <w:pPr>
        <w:keepNext w:val="0"/>
        <w:keepLines w:val="0"/>
        <w:pageBreakBefore w:val="0"/>
        <w:widowControl/>
        <w:topLinePunct w:val="0"/>
        <w:bidi w:val="0"/>
        <w:snapToGrid w:val="0"/>
        <w:spacing w:line="460" w:lineRule="exact"/>
        <w:ind w:left="0" w:leftChars="0" w:firstLine="480" w:firstLineChars="22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8.5关联企业参加磋商</w:t>
      </w:r>
    </w:p>
    <w:p w14:paraId="6B2F0027">
      <w:pPr>
        <w:keepNext w:val="0"/>
        <w:keepLines w:val="0"/>
        <w:pageBreakBefore w:val="0"/>
        <w:widowControl/>
        <w:topLinePunct w:val="0"/>
        <w:bidi w:val="0"/>
        <w:snapToGrid w:val="0"/>
        <w:spacing w:line="460" w:lineRule="exact"/>
        <w:ind w:left="0" w:leftChars="0" w:firstLine="480" w:firstLineChars="22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8.5.1 本磋商文件所称关联企业,是指存在关联关系的企业。“关联关系”的界定适用《中华人民共和国公司法》第二百一十七条、《中华人民共和国政府采购法实施条例》第十八条之规定。</w:t>
      </w:r>
    </w:p>
    <w:p w14:paraId="4C3FDBEE">
      <w:pPr>
        <w:pStyle w:val="101"/>
        <w:keepNext w:val="0"/>
        <w:keepLines w:val="0"/>
        <w:pageBreakBefore w:val="0"/>
        <w:topLinePunct w:val="0"/>
        <w:bidi w:val="0"/>
        <w:spacing w:line="460" w:lineRule="exact"/>
        <w:ind w:left="0" w:leftChars="0" w:firstLine="480" w:firstLineChars="22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8.5.2 关联企业中, 同一个法定代表人的两个及两个以上法人，母公司、全资子公司及其控股公司，都不得同时磋商活动。单位负责人为同一人或者存在直接控股、管理关系的不同供应商，不得参加同一合同项下的磋商活动。一经发现，将导致磋商同时被拒绝。</w:t>
      </w:r>
    </w:p>
    <w:p w14:paraId="06EDFA77">
      <w:pPr>
        <w:pStyle w:val="101"/>
        <w:keepNext w:val="0"/>
        <w:keepLines w:val="0"/>
        <w:pageBreakBefore w:val="0"/>
        <w:topLinePunct w:val="0"/>
        <w:bidi w:val="0"/>
        <w:spacing w:line="460" w:lineRule="exact"/>
        <w:ind w:left="0" w:leftChars="0" w:firstLine="480" w:firstLineChars="22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8.6 </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供应商在磋商期间不得有任何影响或干预评审的行为，否则将导致其丧失参加磋商的资格，并承担相应的法律责任。</w:t>
      </w:r>
    </w:p>
    <w:p w14:paraId="0E54B24A">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9.质疑和投诉</w:t>
      </w:r>
    </w:p>
    <w:p w14:paraId="15CB853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9.1供应商认为竞争性磋商文件使自己的合法权益受到损害的，应在递交响应文件截止时间2日之前提出质疑；供应商对磋商过程和成交结果使自己的合法权益受到损害的，应当在知道或者应知其权益受到损害之日起7个工作日内提出质疑，</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Cs w:val="21"/>
          <w:highlight w:val="none"/>
          <w14:textFill>
            <w14:solidFill>
              <w14:schemeClr w14:val="tx1"/>
            </w14:solidFill>
          </w14:textFill>
        </w:rPr>
        <w:t>供应商对采购人或采购代理机构的质疑答复不满意或采购人或采购代理机构未在规定时间内作出答复的，可以在答复期满后15个工作日内向同级财政部门投诉。</w:t>
      </w:r>
    </w:p>
    <w:p w14:paraId="20ECCF6A">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5645A9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10.供应商的风险</w:t>
      </w:r>
    </w:p>
    <w:p w14:paraId="12ECB398">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供应商没有按照竞争性磋商文件要求提供全部资料，或者供应商没有对磋商文件在各方面都作出实质性响应是供应商的风险，并可能导致其响应被拒绝。</w:t>
      </w:r>
    </w:p>
    <w:p w14:paraId="466420F6">
      <w:pPr>
        <w:keepNext w:val="0"/>
        <w:keepLines w:val="0"/>
        <w:pageBreakBefore w:val="0"/>
        <w:widowControl/>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   竞争性磋商文件</w:t>
      </w:r>
    </w:p>
    <w:p w14:paraId="2DD746ED">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11.竞争性磋商文件的构成。本竞争性磋商文件由以下部分组成：</w:t>
      </w:r>
    </w:p>
    <w:p w14:paraId="30BFA528">
      <w:pPr>
        <w:keepNext w:val="0"/>
        <w:keepLines w:val="0"/>
        <w:pageBreakBefore w:val="0"/>
        <w:widowControl/>
        <w:topLinePunct w:val="0"/>
        <w:bidi w:val="0"/>
        <w:spacing w:line="460" w:lineRule="exact"/>
        <w:ind w:left="0" w:leftChars="0" w:firstLine="482"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11.1 竞争性磋商公告</w:t>
      </w:r>
    </w:p>
    <w:p w14:paraId="24C63E29">
      <w:pPr>
        <w:keepNext w:val="0"/>
        <w:keepLines w:val="0"/>
        <w:pageBreakBefore w:val="0"/>
        <w:widowControl/>
        <w:topLinePunct w:val="0"/>
        <w:bidi w:val="0"/>
        <w:spacing w:line="460" w:lineRule="exact"/>
        <w:ind w:left="0" w:leftChars="0" w:firstLine="482"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11.2 采购需求</w:t>
      </w:r>
    </w:p>
    <w:p w14:paraId="3762D62A">
      <w:pPr>
        <w:keepNext w:val="0"/>
        <w:keepLines w:val="0"/>
        <w:pageBreakBefore w:val="0"/>
        <w:widowControl/>
        <w:topLinePunct w:val="0"/>
        <w:bidi w:val="0"/>
        <w:spacing w:line="460" w:lineRule="exact"/>
        <w:ind w:left="0" w:leftChars="0" w:firstLine="482"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 供应商须知</w:t>
      </w:r>
    </w:p>
    <w:p w14:paraId="09878DBB">
      <w:pPr>
        <w:keepNext w:val="0"/>
        <w:keepLines w:val="0"/>
        <w:pageBreakBefore w:val="0"/>
        <w:widowControl/>
        <w:topLinePunct w:val="0"/>
        <w:bidi w:val="0"/>
        <w:spacing w:line="460" w:lineRule="exact"/>
        <w:ind w:left="0" w:leftChars="0" w:firstLine="482"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合同主要条款</w:t>
      </w:r>
    </w:p>
    <w:p w14:paraId="68E39C24">
      <w:pPr>
        <w:keepNext w:val="0"/>
        <w:keepLines w:val="0"/>
        <w:pageBreakBefore w:val="0"/>
        <w:widowControl/>
        <w:topLinePunct w:val="0"/>
        <w:bidi w:val="0"/>
        <w:spacing w:line="460" w:lineRule="exact"/>
        <w:ind w:left="0" w:leftChars="0" w:firstLine="482"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11.5 响应文件格式</w:t>
      </w:r>
    </w:p>
    <w:p w14:paraId="6FAD3AD5">
      <w:pPr>
        <w:keepNext w:val="0"/>
        <w:keepLines w:val="0"/>
        <w:pageBreakBefore w:val="0"/>
        <w:widowControl/>
        <w:topLinePunct w:val="0"/>
        <w:bidi w:val="0"/>
        <w:spacing w:line="460" w:lineRule="exact"/>
        <w:ind w:left="0" w:leftChars="0" w:firstLine="485" w:firstLineChars="23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12.竞争性磋商文件的澄清与修改</w:t>
      </w:r>
    </w:p>
    <w:p w14:paraId="2D32ADD9">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 采购代理机构对已发出的竞争性磋商文件进行必要澄清、修改或补充的，应当在竞争性磋商文件要求提交响应文件截止时间5日前（如至原定截止时间不足5日的，则需延长磋商截止时间，磋商文件领取时间等可以相应延长），在河南省政府采购网、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"http://zhumadian.hngp.gov.cn/prx/000/http/www.sxztb.gov.cn/"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r>
        <w:rPr>
          <w:rFonts w:hint="eastAsia" w:ascii="宋体" w:hAnsi="宋体" w:eastAsia="宋体" w:cs="宋体"/>
          <w:color w:val="000000" w:themeColor="text1"/>
          <w:kern w:val="0"/>
          <w:szCs w:val="21"/>
          <w:highlight w:val="none"/>
          <w14:textFill>
            <w14:solidFill>
              <w14:schemeClr w14:val="tx1"/>
            </w14:solidFill>
          </w14:textFill>
        </w:rPr>
        <w:t>等相关媒体上发布更正公告或变更公告。竞争性磋商文件公示期间对竞争性磋商文件进行的澄清、修改或补充不受上述限制。</w:t>
      </w:r>
    </w:p>
    <w:p w14:paraId="63EE2A4B">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 竞争性磋商文件澄清、修改或补充的内容为竞争性磋商文件的组成部分。</w:t>
      </w:r>
    </w:p>
    <w:p w14:paraId="742B877A">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 竞争性磋商文件的澄清、修改或补充都应通过本代理机构以法定形式发布。采购人未通过本代理机构对竞争性磋商文件进行的澄清、修改或补充无效，磋商时不予认可。</w:t>
      </w:r>
    </w:p>
    <w:p w14:paraId="30E2B153">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采购代理机构可以视采购具体情况延长递交响应文件截止时间和开始磋商时间，但至少应当在竞争性磋商文件要求提交响应文件的截止时间3个工作日前，将变更时间在河南省政府采购网、驻马店市公共资源交易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"http://zhumadian.hngp.gov.cn/prx/000/http/www.sxztb.gov.cn/"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r>
        <w:rPr>
          <w:rFonts w:hint="eastAsia" w:ascii="宋体" w:hAnsi="宋体" w:eastAsia="宋体" w:cs="宋体"/>
          <w:color w:val="000000" w:themeColor="text1"/>
          <w:kern w:val="0"/>
          <w:szCs w:val="21"/>
          <w:highlight w:val="none"/>
          <w14:textFill>
            <w14:solidFill>
              <w14:schemeClr w14:val="tx1"/>
            </w14:solidFill>
          </w14:textFill>
        </w:rPr>
        <w:t>等相关媒体上发布更正公告或变更公告。</w:t>
      </w:r>
    </w:p>
    <w:p w14:paraId="6FF6DF08">
      <w:pPr>
        <w:keepNext w:val="0"/>
        <w:keepLines w:val="0"/>
        <w:pageBreakBefore w:val="0"/>
        <w:widowControl/>
        <w:topLinePunct w:val="0"/>
        <w:bidi w:val="0"/>
        <w:spacing w:line="460" w:lineRule="exact"/>
        <w:ind w:firstLine="20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三   响应文件的编制</w:t>
      </w:r>
    </w:p>
    <w:p w14:paraId="78EEF215">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13.要求</w:t>
      </w:r>
    </w:p>
    <w:p w14:paraId="26FB45D2">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性文件应对竞争性磋商文件的要求作出实质性响应（包括供应商资格要求、技术要求、商务要求、采购人对项目的特殊要求及说明及磋商文件中对响应的要求），供应商对所提供的全部资料的合法性、真实性负责。</w:t>
      </w:r>
    </w:p>
    <w:p w14:paraId="66D24DD9">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供应商应完整签署响应文件格式附件中《抵制商业贿赂承诺》，不得随意增减或修改内容。否则视为对竞争性磋商文件未作出实质性响应。</w:t>
      </w:r>
    </w:p>
    <w:p w14:paraId="39B5AE5C">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14.响应文件的语言和计量单位</w:t>
      </w:r>
    </w:p>
    <w:p w14:paraId="2EB54EE2">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14.1响应文件以及供应商与采购人、代理机构就有关磋商事宜的所有来往函电均应使用简体中文书写。</w:t>
      </w:r>
    </w:p>
    <w:p w14:paraId="2020B3F0">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14.2 关于计量单位，竞争性磋商文件已有明确规定的，使用竞争性磋商文件规定的计量单位；竞争性磋商文件没有规定的，应采用中华人民共和国法定计量单位。否则视为对竞争性磋商文件未作出实质性响应。</w:t>
      </w:r>
    </w:p>
    <w:p w14:paraId="2065FA47">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14.3 </w:t>
      </w:r>
      <w:r>
        <w:rPr>
          <w:rFonts w:hint="eastAsia" w:ascii="宋体" w:hAnsi="宋体" w:eastAsia="宋体" w:cs="宋体"/>
          <w:color w:val="000000" w:themeColor="text1"/>
          <w:spacing w:val="10"/>
          <w:kern w:val="0"/>
          <w:szCs w:val="21"/>
          <w:highlight w:val="none"/>
          <w14:textFill>
            <w14:solidFill>
              <w14:schemeClr w14:val="tx1"/>
            </w14:solidFill>
          </w14:textFill>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5585427">
      <w:pPr>
        <w:keepNext w:val="0"/>
        <w:keepLines w:val="0"/>
        <w:pageBreakBefore w:val="0"/>
        <w:widowControl/>
        <w:topLinePunct w:val="0"/>
        <w:bidi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15.响应文件的组成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14:textFill>
            <w14:solidFill>
              <w14:schemeClr w14:val="tx1"/>
            </w14:solidFill>
          </w14:textFill>
        </w:rPr>
        <w:t>响应文件应包括下列部分：</w:t>
      </w:r>
    </w:p>
    <w:p w14:paraId="0ADB2619">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竞争性磋商响应书</w:t>
      </w:r>
    </w:p>
    <w:p w14:paraId="52DD6ED7">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 初次报价一览表</w:t>
      </w:r>
    </w:p>
    <w:p w14:paraId="04D70D10">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15.3 报价明细表</w:t>
      </w:r>
    </w:p>
    <w:p w14:paraId="48BC1C91">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15.4</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技术响应表</w:t>
      </w:r>
    </w:p>
    <w:p w14:paraId="3A06D88B">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15.5 商务响应表</w:t>
      </w:r>
    </w:p>
    <w:p w14:paraId="6A316F57">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15.6 法定代表人身份证明</w:t>
      </w:r>
    </w:p>
    <w:p w14:paraId="1AD4BBDB">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15.7 法定代表人授权书</w:t>
      </w:r>
    </w:p>
    <w:p w14:paraId="7389B7A6">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15.8 证明文件</w:t>
      </w:r>
    </w:p>
    <w:p w14:paraId="7E4F4352">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15.9 抵制商业贿赂承诺书</w:t>
      </w:r>
    </w:p>
    <w:p w14:paraId="15DF0FA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15.10供应商认为有必要提供的其他资料</w:t>
      </w:r>
    </w:p>
    <w:p w14:paraId="00CF4EC7">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16.响应文件有效期</w:t>
      </w:r>
    </w:p>
    <w:p w14:paraId="715FA28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16.1 响应文件从竞争性磋商公告所规定的递交响应性文件截止期之后开始生效，在供应商须知前附表第16项所规定的期限内保持有效。有效期不足将导致其响应文件被拒绝。</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的响应文件有效期至合同完全履行止。</w:t>
      </w:r>
    </w:p>
    <w:p w14:paraId="0A388BE3">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16.2特殊情况下采购代理机构可于响应文件有效期满之前书面要求供应商同意延长有效期，供应商应在采购代理机构规定的期限内以书面形式予以答复。供应商答复不明确或者逾期未答复的，均视为拒绝上述要求。</w:t>
      </w:r>
    </w:p>
    <w:p w14:paraId="67CD533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17.磋商报价</w:t>
      </w:r>
    </w:p>
    <w:p w14:paraId="241D4646">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17.1所有磋商报价均以人民币为计算单位。</w:t>
      </w: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磋商报价，包括相关设备费、管线材料费、运杂费、保险费、税费、安装费、特种工具费、调试费、保管费、技术服务费(含售后服务费）、培训费、相关部门验收费、计量检定费等正式交付使用前所发生的一切费用。</w:t>
      </w:r>
    </w:p>
    <w:p w14:paraId="163F1D7B">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17.2供应商要按初次报价一览表的内容填写。</w:t>
      </w:r>
    </w:p>
    <w:p w14:paraId="01BF4BD6">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17.3对于有配件、耗材、选件和特殊工具的产品，还应填报投标产品配件、耗材、选件表和备件及特殊工具清单，注明品牌、型号、产地、功能、单价、批量折扣等内容，该表格式由</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自行设计。为便于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评审</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应按照上述要求分类报价，采购人有权按照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的配件、耗材、选件表和备件及特殊工具清单报价签订采购政府采购合同的权利。</w:t>
      </w:r>
    </w:p>
    <w:p w14:paraId="342EDCC6">
      <w:pPr>
        <w:keepNext w:val="0"/>
        <w:keepLines w:val="0"/>
        <w:pageBreakBefore w:val="0"/>
        <w:widowControl/>
        <w:topLinePunct w:val="0"/>
        <w:bidi w:val="0"/>
        <w:spacing w:line="460" w:lineRule="exact"/>
        <w:ind w:firstLine="482"/>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18.磋商保证金（不收取）</w:t>
      </w:r>
    </w:p>
    <w:p w14:paraId="3D173464">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19.响应文件的签署</w:t>
      </w:r>
    </w:p>
    <w:p w14:paraId="264947D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19.1供应商应按本竞争性磋商文件规定的格式、要求和顺序编制、上传响应性文件。除了响应性文件封面以外，每个页面都要在明显位置编制页码，按流水顺序填写，字迹必须清晰可认。响应性文件内容不完整、编排混乱导致被误读、漏读或者查找不到相关内容的，由供应商负责。</w:t>
      </w:r>
    </w:p>
    <w:p w14:paraId="56151A1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19.2加密的电子响应文件（.zmdtf格式）是根据“驻马店市公共资源交易中心电子交易平台”下载的电子采购文件，制作生成的加密版响应文件。</w:t>
      </w:r>
    </w:p>
    <w:p w14:paraId="738BD11B">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19.3 未按本文件规定的格式填写响应性文件或响应性文件字迹模糊不清，导致磋商小组无法认定是否实质性响应竞争性磋商文件的,其响应性文件将被作为无效响应性文件。</w:t>
      </w:r>
    </w:p>
    <w:p w14:paraId="713DF9C0">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19.4 供应商在编制电子响应文件时，根据磋商文件的要求用法人CA密钥和企业CA密钥进行签章制作。生成电子响应文件时，只能用本单位的企业CA密钥。生成后的电子响应文件须按磋商文件的格式要求完成电子签字或盖章。</w:t>
      </w:r>
    </w:p>
    <w:p w14:paraId="2A125D9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19.5 不接受电报、电传和传真的响应文件。</w:t>
      </w:r>
    </w:p>
    <w:p w14:paraId="7B43C8E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19.6</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磋商小组无法认定是否实质性响应磋商文件的,其响应文件将被作为无效响应文件。</w:t>
      </w:r>
    </w:p>
    <w:p w14:paraId="36809987">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19.7 电子响应文件制作流程。可参考驻马店市公共资源交易中心官方网站的下载中心板块的视频。</w:t>
      </w:r>
    </w:p>
    <w:p w14:paraId="24C92FCA">
      <w:pPr>
        <w:keepNext w:val="0"/>
        <w:keepLines w:val="0"/>
        <w:pageBreakBefore w:val="0"/>
        <w:widowControl/>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四  响应文件的</w:t>
      </w:r>
      <w:r>
        <w:rPr>
          <w:rFonts w:hint="eastAsia" w:ascii="宋体" w:hAnsi="宋体" w:eastAsia="宋体" w:cs="宋体"/>
          <w:b/>
          <w:color w:val="000000" w:themeColor="text1"/>
          <w:kern w:val="0"/>
          <w:szCs w:val="21"/>
          <w:highlight w:val="none"/>
          <w14:textFill>
            <w14:solidFill>
              <w14:schemeClr w14:val="tx1"/>
            </w14:solidFill>
          </w14:textFill>
        </w:rPr>
        <w:t>上传、递交</w:t>
      </w:r>
    </w:p>
    <w:p w14:paraId="10DF2E0A">
      <w:pPr>
        <w:keepNext w:val="0"/>
        <w:keepLines w:val="0"/>
        <w:pageBreakBefore w:val="0"/>
        <w:widowControl/>
        <w:topLinePunct w:val="0"/>
        <w:bidi w:val="0"/>
        <w:spacing w:line="460" w:lineRule="exact"/>
        <w:ind w:firstLine="482"/>
        <w:jc w:val="left"/>
        <w:rPr>
          <w:rFonts w:hint="eastAsia" w:ascii="宋体" w:hAnsi="宋体" w:eastAsia="宋体" w:cs="宋体"/>
          <w:b/>
          <w:color w:val="000000" w:themeColor="text1"/>
          <w:kern w:val="0"/>
          <w:szCs w:val="21"/>
          <w:highlight w:val="none"/>
          <w14:textFill>
            <w14:solidFill>
              <w14:schemeClr w14:val="tx1"/>
            </w14:solidFill>
          </w14:textFill>
        </w:rPr>
      </w:pPr>
      <w:bookmarkStart w:id="23" w:name="_Hlk53733935"/>
      <w:r>
        <w:rPr>
          <w:rFonts w:hint="eastAsia" w:ascii="宋体" w:hAnsi="宋体" w:eastAsia="宋体" w:cs="宋体"/>
          <w:b/>
          <w:bCs/>
          <w:color w:val="000000" w:themeColor="text1"/>
          <w:kern w:val="0"/>
          <w:szCs w:val="21"/>
          <w:highlight w:val="none"/>
          <w14:textFill>
            <w14:solidFill>
              <w14:schemeClr w14:val="tx1"/>
            </w14:solidFill>
          </w14:textFill>
        </w:rPr>
        <w:t>20.响应文件的</w:t>
      </w:r>
      <w:r>
        <w:rPr>
          <w:rFonts w:hint="eastAsia" w:ascii="宋体" w:hAnsi="宋体" w:eastAsia="宋体" w:cs="宋体"/>
          <w:b/>
          <w:color w:val="000000" w:themeColor="text1"/>
          <w:kern w:val="0"/>
          <w:szCs w:val="21"/>
          <w:highlight w:val="none"/>
          <w14:textFill>
            <w14:solidFill>
              <w14:schemeClr w14:val="tx1"/>
            </w14:solidFill>
          </w14:textFill>
        </w:rPr>
        <w:t>加密、密封、标记</w:t>
      </w:r>
    </w:p>
    <w:bookmarkEnd w:id="23"/>
    <w:p w14:paraId="6814D4CE">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网上上传的电子响应性文件应使用数字证书认证并加密；如网上上传的响应文件未按要求加密和数字证书认证的，采购人将不予受理。</w:t>
      </w:r>
    </w:p>
    <w:p w14:paraId="0C04C61A">
      <w:pPr>
        <w:keepNext w:val="0"/>
        <w:keepLines w:val="0"/>
        <w:pageBreakBefore w:val="0"/>
        <w:widowControl/>
        <w:wordWrap w:val="0"/>
        <w:topLinePunct w:val="0"/>
        <w:bidi w:val="0"/>
        <w:spacing w:line="460" w:lineRule="exact"/>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21.磋商响应文件的上传、递交</w:t>
      </w:r>
    </w:p>
    <w:p w14:paraId="09369059">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供应商应在竞争性磋商公告中规定的响应文件提交截止时间前将制作好的电子响应文件加密上传至驻马店市公共资源交易中心电子交易平台，逾期上传其响应将被拒绝。</w:t>
      </w:r>
    </w:p>
    <w:p w14:paraId="06873F08">
      <w:pPr>
        <w:keepNext w:val="0"/>
        <w:keepLines w:val="0"/>
        <w:pageBreakBefore w:val="0"/>
        <w:kinsoku w:val="0"/>
        <w:overflowPunct w:val="0"/>
        <w:topLinePunct w:val="0"/>
        <w:autoSpaceDE w:val="0"/>
        <w:autoSpaceDN w:val="0"/>
        <w:bidi w:val="0"/>
        <w:spacing w:line="46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22.磋商响应文件的修改和撤回</w:t>
      </w:r>
    </w:p>
    <w:p w14:paraId="3854F99F">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6FB89334">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22.2供应商在响应文件提交截止期后不得修改、撤回响应文件。供应商在响应文件提交截止时间后修改响应文件的，将被拒绝接受。</w:t>
      </w:r>
    </w:p>
    <w:p w14:paraId="0E759919">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 供应商有下列情形之一的，采购代理机构将拒绝接受其响应性文件：</w:t>
      </w:r>
    </w:p>
    <w:p w14:paraId="5BC1FDB6">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22.3.1 在竞争性磋商文件规定的递交响应性文件截止时间之后上传响应性文件的。</w:t>
      </w:r>
    </w:p>
    <w:p w14:paraId="7DD90BBC">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22.3.2 一个供应商不只上传一套响应性文件的。</w:t>
      </w:r>
    </w:p>
    <w:p w14:paraId="651D1363">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22.3.3</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未进行网上下载磋商文件参加磋商的。</w:t>
      </w:r>
    </w:p>
    <w:p w14:paraId="619309C4">
      <w:pPr>
        <w:keepNext w:val="0"/>
        <w:keepLines w:val="0"/>
        <w:pageBreakBefore w:val="0"/>
        <w:kinsoku w:val="0"/>
        <w:overflowPunct w:val="0"/>
        <w:topLinePunct w:val="0"/>
        <w:autoSpaceDE w:val="0"/>
        <w:autoSpaceDN w:val="0"/>
        <w:bidi w:val="0"/>
        <w:spacing w:line="46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22.3.4  未在规定时间内签到的。</w:t>
      </w:r>
    </w:p>
    <w:p w14:paraId="03ABBD04">
      <w:pPr>
        <w:keepNext w:val="0"/>
        <w:keepLines w:val="0"/>
        <w:pageBreakBefore w:val="0"/>
        <w:widowControl/>
        <w:topLinePunct w:val="0"/>
        <w:bidi w:val="0"/>
        <w:spacing w:line="46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五   磋商</w:t>
      </w:r>
    </w:p>
    <w:p w14:paraId="1B4F1F14">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23.组建磋商小组及不见面开标程序</w:t>
      </w:r>
    </w:p>
    <w:p w14:paraId="289D44CA">
      <w:pPr>
        <w:keepNext w:val="0"/>
        <w:keepLines w:val="0"/>
        <w:pageBreakBefore w:val="0"/>
        <w:widowControl/>
        <w:topLinePunct w:val="0"/>
        <w:bidi w:val="0"/>
        <w:spacing w:line="460" w:lineRule="exact"/>
        <w:ind w:firstLine="48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23.1磋商小组组建</w:t>
      </w:r>
    </w:p>
    <w:p w14:paraId="65CBF76B">
      <w:pPr>
        <w:keepNext w:val="0"/>
        <w:keepLines w:val="0"/>
        <w:pageBreakBefore w:val="0"/>
        <w:widowControl/>
        <w:topLinePunct w:val="0"/>
        <w:bidi w:val="0"/>
        <w:spacing w:line="460" w:lineRule="exact"/>
        <w:ind w:firstLine="688" w:firstLineChars="32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采购代理机构根据采购项目的特点依法组建磋商小组。磋商小组由评审专家、采购人组成，成员为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3 </w:t>
      </w:r>
      <w:r>
        <w:rPr>
          <w:rFonts w:hint="eastAsia" w:ascii="宋体" w:hAnsi="宋体" w:eastAsia="宋体" w:cs="宋体"/>
          <w:color w:val="000000" w:themeColor="text1"/>
          <w:kern w:val="0"/>
          <w:szCs w:val="21"/>
          <w:highlight w:val="none"/>
          <w14:textFill>
            <w14:solidFill>
              <w14:schemeClr w14:val="tx1"/>
            </w14:solidFill>
          </w14:textFill>
        </w:rPr>
        <w:t>人(采购人代表1名，评审专家2名。采购人代表不得担任磋商小组组长)。</w:t>
      </w:r>
    </w:p>
    <w:p w14:paraId="09B18180">
      <w:pPr>
        <w:keepNext w:val="0"/>
        <w:keepLines w:val="0"/>
        <w:pageBreakBefore w:val="0"/>
        <w:widowControl/>
        <w:wordWrap w:val="0"/>
        <w:topLinePunct w:val="0"/>
        <w:bidi w:val="0"/>
        <w:snapToGrid w:val="0"/>
        <w:spacing w:line="460" w:lineRule="exact"/>
        <w:ind w:firstLine="413" w:firstLineChars="196"/>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23.2</w:t>
      </w:r>
      <w:r>
        <w:rPr>
          <w:rStyle w:val="40"/>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b/>
          <w:color w:val="000000" w:themeColor="text1"/>
          <w:kern w:val="0"/>
          <w:szCs w:val="21"/>
          <w:highlight w:val="none"/>
          <w14:textFill>
            <w14:solidFill>
              <w14:schemeClr w14:val="tx1"/>
            </w14:solidFill>
          </w14:textFill>
        </w:rPr>
        <w:t>响应文件开启</w:t>
      </w:r>
    </w:p>
    <w:p w14:paraId="523CEBDE">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23.2.1采购人在规定的响应性文件截止时间（开标时间）和供应商须知前附表规定的地点开标。供应商的法定代表人或其委托代理人无需到达开标现场，仅需在任意地点通过驻马店不见面开标系统（https://ggzy.zhumadian.gov.cn）及相应的配套硬件设备（摄像头、话筒、麦克风等），使用CA密钥完成远程解密、文件传输、提疑澄清、结果公布等交互环节。供应商必须使用能正确解密响应性文件的“CA锁”在规定的时间内完成远程解密，因供应商人原因未能解密、解密失败或解密超时，视为供应商撤销其响应性文件，系统内响应性文件将被退回；因采购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2A2E42E4">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工程采用远程不见面电子开标。响应性文件递交截止时间到达后，各供应商按时对电子响应性文件进行解密。解密完成后各供应商的电子响应性文件的实质性内容将自动显示在网页中。供应商在投标截止时间前未上传电子响应性文件的将被视为放弃。</w:t>
      </w:r>
    </w:p>
    <w:p w14:paraId="41B599E2">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（2）远程开标前，各供应商务必在驻马店市公共资源交易电子交易平台响应性文件上传模块中使用“模拟解密功能”，验证本机远程自助解密环境。</w:t>
      </w:r>
    </w:p>
    <w:p w14:paraId="47B93F22">
      <w:pPr>
        <w:keepNext w:val="0"/>
        <w:keepLines w:val="0"/>
        <w:pageBreakBefore w:val="0"/>
        <w:topLinePunct w:val="0"/>
        <w:bidi w:val="0"/>
        <w:spacing w:line="460" w:lineRule="exact"/>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23.3开标时出现下列情况的，采购人将拒绝其响应性文件。</w:t>
      </w:r>
    </w:p>
    <w:p w14:paraId="25F3B46F">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（1）经检查数字证书无效的响应性文件；</w:t>
      </w:r>
    </w:p>
    <w:p w14:paraId="414B5D33">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（2）供应商未按供应商须知表规定的时间内因供应商自身原因，导致电子响应性文件上传件出现问题的；</w:t>
      </w:r>
    </w:p>
    <w:p w14:paraId="0CED75CE">
      <w:pPr>
        <w:keepNext w:val="0"/>
        <w:keepLines w:val="0"/>
        <w:pageBreakBefore w:val="0"/>
        <w:topLinePunct w:val="0"/>
        <w:bidi w:val="0"/>
        <w:spacing w:line="460" w:lineRule="exact"/>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23.4电子开标过程中当出现以下情况时，导致系统无法正常运行，根据实际情况延迟评标或调整磋商时间：</w:t>
      </w:r>
    </w:p>
    <w:p w14:paraId="5D74E01B">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（1）系统服务器发生故障，无法访问或无法使用系统；</w:t>
      </w:r>
    </w:p>
    <w:p w14:paraId="5ADF8E4C">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（2）系统的软件或数据库出现错误，不能进行正常操作；</w:t>
      </w:r>
    </w:p>
    <w:p w14:paraId="3ABCFA7C">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（3）系统发现有安全漏洞，有潜在的泄密危险；</w:t>
      </w:r>
    </w:p>
    <w:p w14:paraId="3566AE47">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（4）出现断电事故；</w:t>
      </w:r>
    </w:p>
    <w:p w14:paraId="25F7C9C8">
      <w:pPr>
        <w:keepNext w:val="0"/>
        <w:keepLines w:val="0"/>
        <w:pageBreakBefore w:val="0"/>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（5）其他无法保证采购过程正常进行的情形。</w:t>
      </w:r>
    </w:p>
    <w:p w14:paraId="25645BC7">
      <w:pPr>
        <w:keepNext w:val="0"/>
        <w:keepLines w:val="0"/>
        <w:pageBreakBefore w:val="0"/>
        <w:topLinePunct w:val="0"/>
        <w:autoSpaceDE w:val="0"/>
        <w:autoSpaceDN w:val="0"/>
        <w:bidi w:val="0"/>
        <w:adjustRightInd w:val="0"/>
        <w:spacing w:line="460" w:lineRule="exact"/>
        <w:ind w:firstLine="316" w:firstLineChars="150"/>
        <w:jc w:val="left"/>
        <w:rPr>
          <w:rFonts w:hint="eastAsia" w:ascii="宋体" w:hAnsi="宋体" w:eastAsia="宋体" w:cs="宋体"/>
          <w:b/>
          <w:color w:val="000000" w:themeColor="text1"/>
          <w:kern w:val="0"/>
          <w:szCs w:val="21"/>
          <w:highlight w:val="none"/>
          <w14:textFill>
            <w14:solidFill>
              <w14:schemeClr w14:val="tx1"/>
            </w14:solidFill>
          </w14:textFill>
        </w:rPr>
      </w:pPr>
      <w:bookmarkStart w:id="24" w:name="_Toc47455062"/>
      <w:bookmarkStart w:id="25" w:name="_Toc17123"/>
      <w:r>
        <w:rPr>
          <w:rFonts w:hint="eastAsia" w:ascii="宋体" w:hAnsi="宋体" w:eastAsia="宋体" w:cs="宋体"/>
          <w:b/>
          <w:color w:val="000000" w:themeColor="text1"/>
          <w:kern w:val="0"/>
          <w:szCs w:val="21"/>
          <w:highlight w:val="none"/>
          <w14:textFill>
            <w14:solidFill>
              <w14:schemeClr w14:val="tx1"/>
            </w14:solidFill>
          </w14:textFill>
        </w:rPr>
        <w:t>23.5 开标异议</w:t>
      </w:r>
      <w:bookmarkEnd w:id="24"/>
      <w:bookmarkEnd w:id="25"/>
    </w:p>
    <w:p w14:paraId="40D5F9A1">
      <w:pPr>
        <w:keepNext w:val="0"/>
        <w:keepLines w:val="0"/>
        <w:pageBreakBefore w:val="0"/>
        <w:topLinePunct w:val="0"/>
        <w:autoSpaceDE w:val="0"/>
        <w:autoSpaceDN w:val="0"/>
        <w:bidi w:val="0"/>
        <w:adjustRightInd w:val="0"/>
        <w:spacing w:line="460" w:lineRule="exact"/>
        <w:ind w:firstLine="315" w:firstLineChars="150"/>
        <w:jc w:val="left"/>
        <w:rPr>
          <w:rFonts w:hint="eastAsia" w:ascii="宋体" w:hAnsi="宋体" w:eastAsia="宋体" w:cs="宋体"/>
          <w:b/>
          <w:bCs/>
          <w:color w:val="000000" w:themeColor="text1"/>
          <w:kern w:val="0"/>
          <w:szCs w:val="21"/>
          <w:highlight w:val="none"/>
          <w14:textFill>
            <w14:solidFill>
              <w14:schemeClr w14:val="tx1"/>
            </w14:solidFill>
          </w14:textFill>
        </w:rPr>
      </w:pPr>
      <w:bookmarkStart w:id="26" w:name="_Toc557"/>
      <w:bookmarkStart w:id="27" w:name="_Toc47455063"/>
      <w:r>
        <w:rPr>
          <w:rFonts w:hint="eastAsia" w:ascii="宋体" w:hAnsi="宋体" w:eastAsia="宋体" w:cs="宋体"/>
          <w:color w:val="000000" w:themeColor="text1"/>
          <w:szCs w:val="21"/>
          <w:highlight w:val="none"/>
          <w14:textFill>
            <w14:solidFill>
              <w14:schemeClr w14:val="tx1"/>
            </w14:solidFill>
          </w14:textFill>
        </w:rPr>
        <w:t>供应商对开标有异议的，应当通过驻马店市公共资源电子平台不见面系统提出，采购人当场做出答复，并制作记录。</w:t>
      </w:r>
      <w:bookmarkEnd w:id="26"/>
      <w:bookmarkEnd w:id="27"/>
    </w:p>
    <w:p w14:paraId="03559CF7">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24.响应文件的初审</w:t>
      </w:r>
    </w:p>
    <w:p w14:paraId="636ED092">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24.1磋商小组会将对响应文件进行检查，以确定响应文件是否完整、有无计算上的错误、是否已正确签署等。响应文件如果出现计算或表达上的错误，修正错误的原则如下：</w:t>
      </w:r>
    </w:p>
    <w:p w14:paraId="60D15BD1">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报价一览表的内容与报价明细表的内容不一致的，以报价一览表为准；大写金额与小写金额不一致的，以大写金额为准；总价金额与按单价汇总金额不一致的，以单价金额计算结果为准，除非磋商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供应商的磋商文件应保证</w:t>
      </w:r>
      <w:r>
        <w:rPr>
          <w:rFonts w:hint="eastAsia" w:ascii="宋体" w:hAnsi="宋体" w:eastAsia="宋体" w:cs="宋体"/>
          <w:bCs/>
          <w:color w:val="000000" w:themeColor="text1"/>
          <w:szCs w:val="21"/>
          <w:highlight w:val="none"/>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后，不以任何理由改变产品参数和服务标准提高单价。</w:t>
      </w:r>
    </w:p>
    <w:p w14:paraId="0B629A78">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24.2 资格性检查和符合性检查。</w:t>
      </w:r>
    </w:p>
    <w:p w14:paraId="21EEE703">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24.2.1资格性检查。磋商小组将依据响应性文件按竞争性磋商公告第二项所述的资格标准和竞争性磋商文件第三章4.供应商应提交的证明文件对供应商进行资格审查,以确定其是否具备磋商资格。如果供应商不具备资格、不满足竞争性磋商文件所规定的资格标准或提供资格证明文件不全,将被视为未实质性响应竞争性磋商文件。在磋商过程中，磋商小组会有权要求供应商按竞争性磋商文件的规定提供相关资格证明材料的原件以供审查。供应商应在磋商小组规定的时限内提供。供应商拒不提供的，或者不能在规定时限内提供的，视为其不具备该资格条件。</w:t>
      </w:r>
    </w:p>
    <w:p w14:paraId="5D53F247">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24.2.2 符合性检查。磋商小组将从响应文件的有效性、完整性和对竞争性磋商文件的响应程度进行审查，以确定是否符合对竞争性磋商文件的实质性要求作出响应（采购人可根据具体项目的情况对实质性要求作特别的具体规定）。实质性偏离是指：（1）实质性影响合同的范围、质量和履行。（2）实质性违背竞争性磋商文件，限制了采购人的权利。（3）不公正地影响了其它作出实质性响应的供应商的竞争地位。对没有实质性响应竞争性磋商文件的供应商，将不进入下一阶段磋商。凡有下列情况之一者，其响应文件也将被视为未实质性响应竞争性磋商文件：</w:t>
      </w:r>
    </w:p>
    <w:p w14:paraId="5731E60B">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文件未按规定签字、盖章的。</w:t>
      </w:r>
    </w:p>
    <w:p w14:paraId="63B41A51">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文件有效期、质量、</w:t>
      </w:r>
      <w:r>
        <w:rPr>
          <w:rFonts w:hint="eastAsia" w:ascii="宋体" w:hAnsi="宋体" w:eastAsia="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、交货地点、质保期等不满足</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文件要求的。</w:t>
      </w:r>
    </w:p>
    <w:p w14:paraId="57999F31">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）未按</w:t>
      </w:r>
      <w:r>
        <w:rPr>
          <w:rFonts w:hint="eastAsia" w:ascii="宋体" w:hAnsi="宋体" w:eastAsia="宋体" w:cs="宋体"/>
          <w:color w:val="000000"/>
          <w:sz w:val="21"/>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文件规定报价，报价均超过采购预算或最高限价的。</w:t>
      </w:r>
    </w:p>
    <w:p w14:paraId="569D61E6">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）未按</w:t>
      </w:r>
      <w:r>
        <w:rPr>
          <w:rFonts w:hint="eastAsia" w:ascii="宋体" w:hAnsi="宋体" w:eastAsia="宋体" w:cs="宋体"/>
          <w:color w:val="000000"/>
          <w:sz w:val="21"/>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文件提供的格式填列、项目不齐全或内容虚假的。</w:t>
      </w:r>
    </w:p>
    <w:p w14:paraId="219C22C0">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文件的实质性内容未使用中文表述，或意思表述不明确，前后矛盾，或使用计量单位不符合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文件要求的（经</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认定允许其当场更正的笔误除外）。</w:t>
      </w:r>
    </w:p>
    <w:p w14:paraId="210AA90F">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文件的关键内容字迹模糊、无法辨认,或</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w:t>
      </w:r>
      <w:r>
        <w:rPr>
          <w:rFonts w:hint="eastAsia" w:ascii="宋体" w:hAnsi="宋体" w:eastAsia="宋体" w:cs="宋体"/>
          <w:color w:val="000000" w:themeColor="text1"/>
          <w:kern w:val="0"/>
          <w:szCs w:val="21"/>
          <w:highlight w:val="none"/>
          <w14:textFill>
            <w14:solidFill>
              <w14:schemeClr w14:val="tx1"/>
            </w14:solidFill>
          </w14:textFill>
        </w:rPr>
        <w:t>文件中经修正的内容字迹模糊无法辩认，或修改处未按规定签名盖章的。</w:t>
      </w:r>
    </w:p>
    <w:p w14:paraId="0F2722A1">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）不符合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文件中规定的其它实质性条款。</w:t>
      </w:r>
    </w:p>
    <w:p w14:paraId="4BEA029D">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磋商小组将拒绝被确定为没有实质性响应竞争性磋商文件的响应文件。磋商小组决定供应商是否实质性响应竞争性磋商文件只根据响应文件本身的内容，而不寻求其他的外部证据。</w:t>
      </w:r>
    </w:p>
    <w:p w14:paraId="6B3B9BDA">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 在评审过程中，磋商小组发现供应商有下列情形之一的，视为供应商相互串通。具体表现形式如下：</w:t>
      </w:r>
    </w:p>
    <w:p w14:paraId="285F052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24.3.1不同供应商的响应文件异常一致的。</w:t>
      </w:r>
    </w:p>
    <w:p w14:paraId="7302562F">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24.3.2不同供应商的响应文件由同一单位或个人编制的。</w:t>
      </w:r>
    </w:p>
    <w:p w14:paraId="6B359581">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24.3.3不同供应商的响应文件载明的项目管理成员为同一人的。</w:t>
      </w:r>
    </w:p>
    <w:p w14:paraId="3B4801E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24.3.4不同供应商的响应文件相互混装的。</w:t>
      </w:r>
    </w:p>
    <w:p w14:paraId="21AA04FD">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24.3.5不同供应商授权同一人作为供应商代表的。</w:t>
      </w:r>
    </w:p>
    <w:p w14:paraId="4C037867">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24.3.6有证据证明供应商与采购人、采购代理机构或其他供应商串通的其他情形的。</w:t>
      </w:r>
    </w:p>
    <w:p w14:paraId="5D3DD7DF">
      <w:pPr>
        <w:keepNext w:val="0"/>
        <w:keepLines w:val="0"/>
        <w:pageBreakBefore w:val="0"/>
        <w:widowControl/>
        <w:topLinePunct w:val="0"/>
        <w:bidi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24.3.7 磋商小组认定的其他串通情形。</w:t>
      </w:r>
    </w:p>
    <w:p w14:paraId="6F78AC39">
      <w:pPr>
        <w:keepNext w:val="0"/>
        <w:keepLines w:val="0"/>
        <w:pageBreakBefore w:val="0"/>
        <w:widowControl/>
        <w:topLinePunct w:val="0"/>
        <w:bidi w:val="0"/>
        <w:spacing w:line="460" w:lineRule="exact"/>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25.响应文件的澄清</w:t>
      </w:r>
    </w:p>
    <w:p w14:paraId="77619960">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磋商小组可以要求供应商对响应文件中含义不明确、同类问题表述不一致或者有明显文字和计算错误的内容等作出必要的澄清、说明或者更正。供应商的澄清说明或者更正应当在磋商小组规定的时间内以书面形式</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通过驻马店市公共资源电子平台不见面系统网上</w:t>
      </w:r>
      <w:r>
        <w:rPr>
          <w:rFonts w:hint="eastAsia" w:ascii="宋体" w:hAnsi="宋体" w:eastAsia="宋体" w:cs="宋体"/>
          <w:color w:val="000000" w:themeColor="text1"/>
          <w:kern w:val="0"/>
          <w:szCs w:val="21"/>
          <w:highlight w:val="none"/>
          <w14:textFill>
            <w14:solidFill>
              <w14:schemeClr w14:val="tx1"/>
            </w14:solidFill>
          </w14:textFill>
        </w:rPr>
        <w:t>作出必要的澄清、说明或者纠正。供应商的澄清、说明或者纠正应当在磋商小组规定的时间内</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通过驻马店市公共资源电子平台不见面系统网上以书面形式做出</w:t>
      </w:r>
      <w:r>
        <w:rPr>
          <w:rFonts w:hint="eastAsia" w:ascii="宋体" w:hAnsi="宋体" w:eastAsia="宋体" w:cs="宋体"/>
          <w:color w:val="000000" w:themeColor="text1"/>
          <w:kern w:val="0"/>
          <w:szCs w:val="21"/>
          <w:highlight w:val="none"/>
          <w14:textFill>
            <w14:solidFill>
              <w14:schemeClr w14:val="tx1"/>
            </w14:solidFill>
          </w14:textFill>
        </w:rPr>
        <w:t>，由供应商代表签字。但澄清、说明或者纠事项不得超出响应性文件的范围或者改变响应性文件的实质性内容。</w:t>
      </w:r>
    </w:p>
    <w:p w14:paraId="7C0BB423">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26.磋商</w:t>
      </w:r>
    </w:p>
    <w:p w14:paraId="68D990F9">
      <w:pPr>
        <w:keepNext w:val="0"/>
        <w:keepLines w:val="0"/>
        <w:pageBreakBefore w:val="0"/>
        <w:widowControl/>
        <w:topLinePunct w:val="0"/>
        <w:bidi w:val="0"/>
        <w:spacing w:line="460" w:lineRule="exact"/>
        <w:ind w:right="150"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26.1对资格性检查和符合性检查合格的供应商，进入本次磋商程序。</w:t>
      </w:r>
    </w:p>
    <w:p w14:paraId="76A42F76">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26.2</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磋商小组所有成员集中与单一供应商分别进行磋商。</w:t>
      </w:r>
      <w:r>
        <w:rPr>
          <w:rFonts w:hint="eastAsia" w:ascii="宋体" w:hAnsi="宋体" w:eastAsia="宋体" w:cs="宋体"/>
          <w:color w:val="000000" w:themeColor="text1"/>
          <w:kern w:val="0"/>
          <w:szCs w:val="21"/>
          <w:highlight w:val="none"/>
          <w14:textFill>
            <w14:solidFill>
              <w14:schemeClr w14:val="tx1"/>
            </w14:solidFill>
          </w14:textFill>
        </w:rPr>
        <w:t>在磋商中，磋商的任何一方不得透露与磋商有关的其他供应商的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通过驻马店市公共资源电子平台不见面系统</w:t>
      </w:r>
      <w:r>
        <w:rPr>
          <w:rFonts w:hint="eastAsia" w:ascii="宋体" w:hAnsi="宋体" w:eastAsia="宋体" w:cs="宋体"/>
          <w:color w:val="000000" w:themeColor="text1"/>
          <w:kern w:val="0"/>
          <w:szCs w:val="21"/>
          <w:highlight w:val="none"/>
          <w14:textFill>
            <w14:solidFill>
              <w14:schemeClr w14:val="tx1"/>
            </w14:solidFill>
          </w14:textFill>
        </w:rPr>
        <w:t>通知所有参加磋商供应商。</w:t>
      </w:r>
    </w:p>
    <w:p w14:paraId="4451DD8E">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26.3本次磋商进行二轮次报价，并给予每个供应商相同的机会。响应文件报价为第一轮报价，以后轮次报价不得高于上一轮次报价（除磋商文件有实质性变动外），否则将被视为未实质性响应竞争性磋商文件。供应商应当</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通过驻马店市公共资源电子平台不见面系统进行网上二轮报价</w:t>
      </w:r>
      <w:r>
        <w:rPr>
          <w:rFonts w:hint="eastAsia" w:ascii="宋体" w:hAnsi="宋体" w:eastAsia="宋体" w:cs="宋体"/>
          <w:color w:val="000000" w:themeColor="text1"/>
          <w:kern w:val="0"/>
          <w:szCs w:val="21"/>
          <w:highlight w:val="none"/>
          <w14:textFill>
            <w14:solidFill>
              <w14:schemeClr w14:val="tx1"/>
            </w14:solidFill>
          </w14:textFill>
        </w:rPr>
        <w:t>，在驻马店公共资源交易中心不见面系统规定的时限内提交给磋商小组，磋商报价以供应商的后一轮次报价为准。</w:t>
      </w:r>
    </w:p>
    <w:p w14:paraId="6AFB0A11">
      <w:pPr>
        <w:pStyle w:val="132"/>
        <w:keepNext w:val="0"/>
        <w:keepLines w:val="0"/>
        <w:pageBreakBefore w:val="0"/>
        <w:topLinePunct w:val="0"/>
        <w:bidi w:val="0"/>
        <w:spacing w:line="460" w:lineRule="exact"/>
        <w:ind w:firstLine="4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pacing w:val="0"/>
          <w:kern w:val="2"/>
          <w:sz w:val="21"/>
          <w:szCs w:val="21"/>
          <w:highlight w:val="none"/>
          <w:lang w:val="zh-CN"/>
          <w14:textFill>
            <w14:solidFill>
              <w14:schemeClr w14:val="tx1"/>
            </w14:solidFill>
          </w14:textFill>
        </w:rPr>
        <w:t>注：</w:t>
      </w:r>
      <w:r>
        <w:rPr>
          <w:rFonts w:hint="eastAsia" w:ascii="宋体" w:hAnsi="宋体" w:eastAsia="宋体" w:cs="宋体"/>
          <w:b/>
          <w:color w:val="000000" w:themeColor="text1"/>
          <w:spacing w:val="0"/>
          <w:kern w:val="2"/>
          <w:sz w:val="21"/>
          <w:szCs w:val="21"/>
          <w:highlight w:val="none"/>
          <w14:textFill>
            <w14:solidFill>
              <w14:schemeClr w14:val="tx1"/>
            </w14:solidFill>
          </w14:textFill>
        </w:rPr>
        <w:t>磋商</w:t>
      </w:r>
      <w:r>
        <w:rPr>
          <w:rFonts w:hint="eastAsia" w:ascii="宋体" w:hAnsi="宋体" w:eastAsia="宋体" w:cs="宋体"/>
          <w:b/>
          <w:color w:val="000000" w:themeColor="text1"/>
          <w:spacing w:val="0"/>
          <w:kern w:val="2"/>
          <w:sz w:val="21"/>
          <w:szCs w:val="21"/>
          <w:highlight w:val="none"/>
          <w:lang w:val="zh-CN"/>
          <w14:textFill>
            <w14:solidFill>
              <w14:schemeClr w14:val="tx1"/>
            </w14:solidFill>
          </w14:textFill>
        </w:rPr>
        <w:t>小组在完成资格性审查和符合性审查后，通过驻马店市公共资源交易中心不见面开评标交易平台向通过资格性审查和符合性审查的供应商推送二次报价信息，请各供应商密切关注驻马店市公共资源交易中心不见面开评标交易平台信息推送提示，若因供应商操作不当，造成二次报价错误或错过报价时间或供应商长时间未进行二次报价等一切后果由供应商自行承担。</w:t>
      </w:r>
    </w:p>
    <w:p w14:paraId="67D2BD36">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26.4 在确定</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之前，磋商小组认为排在前面的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Cs w:val="21"/>
          <w:highlight w:val="none"/>
          <w14:textFill>
            <w14:solidFill>
              <w14:schemeClr w14:val="tx1"/>
            </w14:solidFill>
          </w14:textFill>
        </w:rPr>
        <w:t>的最低报价或某些分项报价明显不合理或者低于成本，有可能影响质量和不能诚信履约的，应当要求其在规定的期限内</w:t>
      </w:r>
      <w:r>
        <w:rPr>
          <w:rFonts w:hint="eastAsia" w:ascii="宋体" w:hAnsi="宋体" w:eastAsia="宋体" w:cs="宋体"/>
          <w:color w:val="000000" w:themeColor="text1"/>
          <w:kern w:val="0"/>
          <w:szCs w:val="21"/>
          <w:highlight w:val="none"/>
          <w:shd w:val="clear" w:color="auto" w:fill="FFFFFF"/>
          <w14:textFill>
            <w14:solidFill>
              <w14:schemeClr w14:val="tx1"/>
            </w14:solidFill>
          </w14:textFill>
        </w:rPr>
        <w:t>通过驻马店市公共资源电子平台不见面系统</w:t>
      </w:r>
      <w:r>
        <w:rPr>
          <w:rFonts w:hint="eastAsia" w:ascii="宋体" w:hAnsi="宋体" w:eastAsia="宋体" w:cs="宋体"/>
          <w:color w:val="000000" w:themeColor="text1"/>
          <w:kern w:val="0"/>
          <w:szCs w:val="21"/>
          <w:highlight w:val="none"/>
          <w14:textFill>
            <w14:solidFill>
              <w14:schemeClr w14:val="tx1"/>
            </w14:solidFill>
          </w14:textFill>
        </w:rPr>
        <w:t>提供书面文件予以解释说明，并提交相关证明村料。不能合理说明并提供相关证明材料的，磋商小组可以取消该供应商的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成交候选供应商</w:t>
      </w:r>
      <w:r>
        <w:rPr>
          <w:rFonts w:hint="eastAsia" w:ascii="宋体" w:hAnsi="宋体" w:eastAsia="宋体" w:cs="宋体"/>
          <w:color w:val="000000" w:themeColor="text1"/>
          <w:kern w:val="0"/>
          <w:szCs w:val="21"/>
          <w:highlight w:val="none"/>
          <w14:textFill>
            <w14:solidFill>
              <w14:schemeClr w14:val="tx1"/>
            </w14:solidFill>
          </w14:textFill>
        </w:rPr>
        <w:t>资格，按顺序由排在后面的供应商递补，以此类推。</w:t>
      </w:r>
    </w:p>
    <w:p w14:paraId="731A6B14">
      <w:pPr>
        <w:keepNext w:val="0"/>
        <w:keepLines w:val="0"/>
        <w:pageBreakBefore w:val="0"/>
        <w:widowControl/>
        <w:topLinePunct w:val="0"/>
        <w:bidi w:val="0"/>
        <w:spacing w:line="46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27.磋商过程及保密原则</w:t>
      </w:r>
    </w:p>
    <w:p w14:paraId="1F26DAF3">
      <w:pPr>
        <w:keepNext w:val="0"/>
        <w:keepLines w:val="0"/>
        <w:pageBreakBefore w:val="0"/>
        <w:widowControl/>
        <w:topLinePunct w:val="0"/>
        <w:autoSpaceDE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27.1 凡与本次磋商有关人员对属于审查、澄清、评价和磋商中的有关资料等，均不得向任何人透露。否则,将按有关规定追究相关人员的责任。</w:t>
      </w:r>
    </w:p>
    <w:p w14:paraId="15E9A406">
      <w:pPr>
        <w:keepNext w:val="0"/>
        <w:keepLines w:val="0"/>
        <w:pageBreakBefore w:val="0"/>
        <w:widowControl/>
        <w:topLinePunct w:val="0"/>
        <w:autoSpaceDE w:val="0"/>
        <w:bidi w:val="0"/>
        <w:spacing w:line="46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27.2 在磋商期间，供应商试图影响或干预评审的任何行为，将导致其丧失参加磋商的资格，并承担相应的法律责任。</w:t>
      </w:r>
    </w:p>
    <w:p w14:paraId="6EDE1637">
      <w:pPr>
        <w:keepNext w:val="0"/>
        <w:keepLines w:val="0"/>
        <w:pageBreakBefore w:val="0"/>
        <w:widowControl/>
        <w:topLinePunct w:val="0"/>
        <w:bidi w:val="0"/>
        <w:spacing w:line="46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六   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成交供应商</w:t>
      </w:r>
    </w:p>
    <w:p w14:paraId="4785AF9B">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28.成交原则</w:t>
      </w:r>
    </w:p>
    <w:p w14:paraId="2386223E">
      <w:pPr>
        <w:keepNext w:val="0"/>
        <w:keepLines w:val="0"/>
        <w:pageBreakBefore w:val="0"/>
        <w:widowControl/>
        <w:kinsoku/>
        <w:wordWrap/>
        <w:overflowPunct/>
        <w:topLinePunct w:val="0"/>
        <w:bidi w:val="0"/>
        <w:spacing w:line="44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28.1</w:t>
      </w:r>
      <w:r>
        <w:rPr>
          <w:rFonts w:hint="eastAsia" w:ascii="宋体" w:hAnsi="宋体" w:eastAsia="宋体" w:cs="宋体"/>
          <w:color w:val="auto"/>
          <w:sz w:val="21"/>
          <w:szCs w:val="21"/>
          <w:highlight w:val="none"/>
        </w:rPr>
        <w:t>本次磋商将按照综合评分法</w:t>
      </w:r>
      <w:r>
        <w:rPr>
          <w:rFonts w:hint="eastAsia" w:ascii="宋体" w:hAnsi="宋体" w:eastAsia="宋体" w:cs="宋体"/>
          <w:color w:val="auto"/>
          <w:sz w:val="21"/>
          <w:szCs w:val="21"/>
          <w:highlight w:val="none"/>
          <w:lang w:val="en-US" w:eastAsia="zh-CN"/>
        </w:rPr>
        <w:t>推荐</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lang w:val="en-US" w:eastAsia="zh-CN"/>
        </w:rPr>
        <w:t>候选供应商</w:t>
      </w:r>
      <w:r>
        <w:rPr>
          <w:rFonts w:hint="eastAsia" w:ascii="宋体" w:hAnsi="宋体" w:eastAsia="宋体" w:cs="宋体"/>
          <w:color w:val="auto"/>
          <w:sz w:val="21"/>
          <w:szCs w:val="21"/>
          <w:highlight w:val="none"/>
        </w:rPr>
        <w:t>，是指响应文件满足磋商文件全部实质性要求且按评审因素的量化指标评审得分最高的供应商</w:t>
      </w:r>
      <w:r>
        <w:rPr>
          <w:rFonts w:hint="eastAsia" w:ascii="宋体" w:hAnsi="宋体" w:eastAsia="宋体" w:cs="宋体"/>
          <w:color w:val="auto"/>
          <w:sz w:val="21"/>
          <w:szCs w:val="21"/>
          <w:highlight w:val="none"/>
          <w:lang w:val="en-US" w:eastAsia="zh-CN"/>
        </w:rPr>
        <w:t>将被推荐为排名靠前的成交候选供应商</w:t>
      </w:r>
      <w:r>
        <w:rPr>
          <w:rFonts w:hint="eastAsia" w:ascii="宋体" w:hAnsi="宋体" w:eastAsia="宋体" w:cs="宋体"/>
          <w:color w:val="auto"/>
          <w:sz w:val="21"/>
          <w:szCs w:val="21"/>
          <w:highlight w:val="none"/>
        </w:rPr>
        <w:t>的评审办法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其他候选人以此类推，最多不超过3名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最终由采购人从三名成交候选供应商中</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。其他供应商的价格分按照下列公式计算：磋商报价得分＝（评审基准价／最后磋商报价）×价格权值×100。</w:t>
      </w:r>
    </w:p>
    <w:p w14:paraId="6965B07B">
      <w:pPr>
        <w:keepNext w:val="0"/>
        <w:keepLines w:val="0"/>
        <w:pageBreakBefore w:val="0"/>
        <w:kinsoku/>
        <w:wordWrap/>
        <w:overflowPunct/>
        <w:topLinePunct w:val="0"/>
        <w:autoSpaceDE w:val="0"/>
        <w:autoSpaceDN w:val="0"/>
        <w:bidi w:val="0"/>
        <w:adjustRightInd w:val="0"/>
        <w:spacing w:line="440" w:lineRule="exact"/>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28.2</w:t>
      </w:r>
      <w:r>
        <w:rPr>
          <w:rFonts w:hint="eastAsia" w:ascii="宋体" w:hAnsi="宋体" w:eastAsia="宋体" w:cs="宋体"/>
          <w:color w:val="auto"/>
          <w:sz w:val="21"/>
          <w:szCs w:val="21"/>
          <w:highlight w:val="none"/>
        </w:rPr>
        <w:t>磋商结果按评审后得分由高到低顺序排列，响应文件满足磋商文件全部实质性要求，且按照评审因素的量化指标评审得分最高的供应商</w:t>
      </w:r>
      <w:r>
        <w:rPr>
          <w:rFonts w:hint="eastAsia" w:ascii="宋体" w:hAnsi="宋体" w:eastAsia="宋体" w:cs="宋体"/>
          <w:color w:val="auto"/>
          <w:sz w:val="21"/>
          <w:szCs w:val="21"/>
          <w:highlight w:val="none"/>
          <w:lang w:val="en-US" w:eastAsia="zh-CN"/>
        </w:rPr>
        <w:t>被推荐为成交候选供应商</w:t>
      </w:r>
      <w:r>
        <w:rPr>
          <w:rFonts w:hint="eastAsia" w:ascii="宋体" w:hAnsi="宋体" w:eastAsia="宋体" w:cs="宋体"/>
          <w:color w:val="auto"/>
          <w:sz w:val="21"/>
          <w:szCs w:val="21"/>
          <w:highlight w:val="none"/>
        </w:rPr>
        <w:t>。得分相同的，按磋商最后报价由低到高顺序排列。得分与磋商最后报价均相同的，按服务优劣顺序排列。以上全部相同的，通过随机抽取产生。</w:t>
      </w:r>
    </w:p>
    <w:p w14:paraId="46091859">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29.确定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b/>
          <w:bCs/>
          <w:color w:val="000000" w:themeColor="text1"/>
          <w:kern w:val="0"/>
          <w:szCs w:val="21"/>
          <w:highlight w:val="none"/>
          <w14:textFill>
            <w14:solidFill>
              <w14:schemeClr w14:val="tx1"/>
            </w14:solidFill>
          </w14:textFill>
        </w:rPr>
        <w:t>和成交候选供应商</w:t>
      </w:r>
    </w:p>
    <w:p w14:paraId="332EFBDD">
      <w:pPr>
        <w:keepNext w:val="0"/>
        <w:keepLines w:val="0"/>
        <w:pageBreakBefore w:val="0"/>
        <w:widowControl/>
        <w:topLinePunct w:val="0"/>
        <w:bidi w:val="0"/>
        <w:spacing w:line="460" w:lineRule="exact"/>
        <w:ind w:firstLine="482"/>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磋商小组应</w:t>
      </w:r>
      <w:r>
        <w:rPr>
          <w:rFonts w:hint="eastAsia" w:ascii="宋体" w:hAnsi="宋体" w:eastAsia="宋体" w:cs="宋体"/>
          <w:color w:val="000000"/>
          <w:kern w:val="0"/>
          <w:szCs w:val="21"/>
          <w:highlight w:val="none"/>
        </w:rPr>
        <w:t>根据全体</w:t>
      </w:r>
      <w:r>
        <w:rPr>
          <w:rFonts w:hint="eastAsia" w:ascii="宋体" w:hAnsi="宋体" w:eastAsia="宋体" w:cs="宋体"/>
          <w:color w:val="000000"/>
          <w:kern w:val="0"/>
          <w:szCs w:val="21"/>
          <w:highlight w:val="none"/>
          <w:lang w:val="en-US" w:eastAsia="zh-CN"/>
        </w:rPr>
        <w:t>评审</w:t>
      </w:r>
      <w:r>
        <w:rPr>
          <w:rFonts w:hint="eastAsia" w:ascii="宋体" w:hAnsi="宋体" w:eastAsia="宋体" w:cs="宋体"/>
          <w:color w:val="000000"/>
          <w:kern w:val="0"/>
          <w:szCs w:val="21"/>
          <w:highlight w:val="none"/>
        </w:rPr>
        <w:t>成员签字的原始</w:t>
      </w:r>
      <w:r>
        <w:rPr>
          <w:rFonts w:hint="eastAsia" w:ascii="宋体" w:hAnsi="宋体" w:eastAsia="宋体" w:cs="宋体"/>
          <w:color w:val="000000"/>
          <w:kern w:val="0"/>
          <w:szCs w:val="21"/>
          <w:highlight w:val="none"/>
          <w:lang w:val="en-US" w:eastAsia="zh-CN"/>
        </w:rPr>
        <w:t>评审</w:t>
      </w:r>
      <w:r>
        <w:rPr>
          <w:rFonts w:hint="eastAsia" w:ascii="宋体" w:hAnsi="宋体" w:eastAsia="宋体" w:cs="宋体"/>
          <w:color w:val="000000"/>
          <w:kern w:val="0"/>
          <w:szCs w:val="21"/>
          <w:highlight w:val="none"/>
        </w:rPr>
        <w:t>记录和</w:t>
      </w:r>
      <w:r>
        <w:rPr>
          <w:rFonts w:hint="eastAsia" w:ascii="宋体" w:hAnsi="宋体" w:eastAsia="宋体" w:cs="宋体"/>
          <w:color w:val="000000"/>
          <w:kern w:val="0"/>
          <w:szCs w:val="21"/>
          <w:highlight w:val="none"/>
          <w:lang w:val="en-US" w:eastAsia="zh-CN"/>
        </w:rPr>
        <w:t>评审</w:t>
      </w:r>
      <w:r>
        <w:rPr>
          <w:rFonts w:hint="eastAsia" w:ascii="宋体" w:hAnsi="宋体" w:eastAsia="宋体" w:cs="宋体"/>
          <w:color w:val="000000"/>
          <w:kern w:val="0"/>
          <w:szCs w:val="21"/>
          <w:highlight w:val="none"/>
        </w:rPr>
        <w:t>结果编写</w:t>
      </w:r>
      <w:r>
        <w:rPr>
          <w:rFonts w:hint="eastAsia" w:ascii="宋体" w:hAnsi="宋体" w:eastAsia="宋体" w:cs="宋体"/>
          <w:color w:val="000000"/>
          <w:kern w:val="0"/>
          <w:szCs w:val="21"/>
          <w:highlight w:val="none"/>
          <w:lang w:val="en-US" w:eastAsia="zh-CN"/>
        </w:rPr>
        <w:t>评审</w:t>
      </w:r>
      <w:r>
        <w:rPr>
          <w:rFonts w:hint="eastAsia" w:ascii="宋体" w:hAnsi="宋体" w:eastAsia="宋体" w:cs="宋体"/>
          <w:color w:val="000000"/>
          <w:kern w:val="0"/>
          <w:szCs w:val="21"/>
          <w:highlight w:val="none"/>
        </w:rPr>
        <w:t>报告</w:t>
      </w:r>
      <w:r>
        <w:rPr>
          <w:rFonts w:hint="eastAsia" w:ascii="宋体" w:hAnsi="宋体" w:eastAsia="宋体" w:cs="宋体"/>
          <w:color w:val="000000"/>
          <w:kern w:val="0"/>
          <w:szCs w:val="21"/>
          <w:highlight w:val="none"/>
          <w:lang w:val="en-US" w:eastAsia="zh-CN"/>
        </w:rPr>
        <w:t>并推荐三名成交候选供应商，评审结束后2个工作日内将评标报告通过公共资源电子交易系统提交采购人，</w:t>
      </w:r>
      <w:r>
        <w:rPr>
          <w:rFonts w:hint="eastAsia" w:ascii="宋体" w:hAnsi="宋体" w:eastAsia="宋体" w:cs="宋体"/>
          <w:color w:val="000000"/>
          <w:kern w:val="0"/>
          <w:szCs w:val="21"/>
          <w:highlight w:val="none"/>
          <w:lang w:eastAsia="zh-CN"/>
        </w:rPr>
        <w:t>采购人在收到评审报告1个工作日内通过公共资源电子交易系统线上确定确定</w:t>
      </w:r>
      <w:r>
        <w:rPr>
          <w:rFonts w:hint="eastAsia" w:ascii="宋体" w:hAnsi="宋体" w:eastAsia="宋体" w:cs="宋体"/>
          <w:color w:val="000000"/>
          <w:kern w:val="0"/>
          <w:szCs w:val="21"/>
          <w:highlight w:val="none"/>
          <w:lang w:val="en-US" w:eastAsia="zh-CN"/>
        </w:rPr>
        <w:t>成交供应商</w:t>
      </w:r>
      <w:r>
        <w:rPr>
          <w:rFonts w:hint="eastAsia" w:ascii="宋体" w:hAnsi="宋体" w:eastAsia="宋体" w:cs="宋体"/>
          <w:color w:val="000000"/>
          <w:kern w:val="0"/>
          <w:szCs w:val="21"/>
          <w:highlight w:val="none"/>
        </w:rPr>
        <w:t>。</w:t>
      </w:r>
    </w:p>
    <w:p w14:paraId="41BFDA0D">
      <w:pPr>
        <w:keepNext w:val="0"/>
        <w:keepLines w:val="0"/>
        <w:pageBreakBefore w:val="0"/>
        <w:widowControl/>
        <w:topLinePunct w:val="0"/>
        <w:bidi w:val="0"/>
        <w:spacing w:line="460" w:lineRule="exact"/>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30.</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成交通知书及成交公告</w:t>
      </w:r>
    </w:p>
    <w:p w14:paraId="4FEA121F">
      <w:pPr>
        <w:keepNext w:val="0"/>
        <w:keepLines w:val="0"/>
        <w:pageBreakBefore w:val="0"/>
        <w:widowControl/>
        <w:topLinePunct w:val="0"/>
        <w:bidi w:val="0"/>
        <w:spacing w:line="460" w:lineRule="exact"/>
        <w:ind w:firstLine="4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30.1</w:t>
      </w:r>
      <w:r>
        <w:rPr>
          <w:rFonts w:hint="eastAsia" w:ascii="宋体" w:hAnsi="宋体" w:eastAsia="宋体" w:cs="宋体"/>
          <w:color w:val="000000" w:themeColor="text1"/>
          <w:kern w:val="0"/>
          <w:szCs w:val="21"/>
          <w:highlight w:val="none"/>
          <w:lang w:eastAsia="zh-CN"/>
          <w14:textFill>
            <w14:solidFill>
              <w14:schemeClr w14:val="tx1"/>
            </w14:solidFill>
          </w14:textFill>
        </w:rPr>
        <w:t>确定</w:t>
      </w:r>
      <w:r>
        <w:rPr>
          <w:rFonts w:hint="eastAsia" w:ascii="宋体" w:hAnsi="宋体" w:eastAsia="宋体" w:cs="宋体"/>
          <w:color w:val="000000" w:themeColor="text1"/>
          <w:kern w:val="0"/>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后，采购代理机构及时在河南省政府采购网、驻马店市公共资源交易</w:t>
      </w:r>
      <w:r>
        <w:rPr>
          <w:rFonts w:hint="eastAsia" w:ascii="宋体" w:hAnsi="宋体" w:eastAsia="宋体" w:cs="宋体"/>
          <w:color w:val="000000" w:themeColor="text1"/>
          <w:kern w:val="0"/>
          <w:szCs w:val="21"/>
          <w:highlight w:val="none"/>
          <w:lang w:val="en-US" w:eastAsia="zh-CN"/>
          <w14:textFill>
            <w14:solidFill>
              <w14:schemeClr w14:val="tx1"/>
            </w14:solidFill>
          </w14:textFill>
        </w:rPr>
        <w:t>中心网站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"http://zhumadian.hngp.gov.cn/prx/000/http/www.sxztb.gov.cn/"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r>
        <w:rPr>
          <w:rFonts w:hint="eastAsia" w:ascii="宋体" w:hAnsi="宋体" w:eastAsia="宋体" w:cs="宋体"/>
          <w:color w:val="000000" w:themeColor="text1"/>
          <w:kern w:val="0"/>
          <w:szCs w:val="21"/>
          <w:highlight w:val="none"/>
          <w14:textFill>
            <w14:solidFill>
              <w14:schemeClr w14:val="tx1"/>
            </w14:solidFill>
          </w14:textFill>
        </w:rPr>
        <w:t>等相关媒体上发布成交公告，同时向</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发出成交通知书。</w:t>
      </w:r>
    </w:p>
    <w:p w14:paraId="68B4967A">
      <w:pPr>
        <w:keepNext w:val="0"/>
        <w:keepLines w:val="0"/>
        <w:pageBreakBefore w:val="0"/>
        <w:widowControl/>
        <w:topLinePunct w:val="0"/>
        <w:bidi w:val="0"/>
        <w:spacing w:line="460" w:lineRule="exact"/>
        <w:ind w:firstLine="478"/>
        <w:textAlignment w:val="baseline"/>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30.2</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在规定的时间内不领取成交通知书的，视为成交后自动放弃成交资格，承担由此引起的一切后果。</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在有效的最后一轮报价中报价最低,非不可抗力放弃成交资格的，视为供应商恶意串通。</w:t>
      </w:r>
    </w:p>
    <w:p w14:paraId="35C68826">
      <w:pPr>
        <w:keepNext w:val="0"/>
        <w:keepLines w:val="0"/>
        <w:pageBreakBefore w:val="0"/>
        <w:widowControl/>
        <w:topLinePunct w:val="0"/>
        <w:bidi w:val="0"/>
        <w:spacing w:line="460" w:lineRule="exact"/>
        <w:ind w:firstLine="47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30.3成交通知书对采购人和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具有同等法律效力。成交通知书发出后，采购人改变成交结果，或者</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放弃成交，应按相关法律、规章、规范性文件的要求承担相应的法律责任。</w:t>
      </w:r>
    </w:p>
    <w:p w14:paraId="230F72D7">
      <w:pPr>
        <w:keepNext w:val="0"/>
        <w:keepLines w:val="0"/>
        <w:pageBreakBefore w:val="0"/>
        <w:widowControl/>
        <w:topLinePunct w:val="0"/>
        <w:bidi w:val="0"/>
        <w:spacing w:line="460" w:lineRule="exact"/>
        <w:ind w:firstLine="47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30.4成交通知书将作为签订合同的依据。合同签订后，成交通知书成为合同的一部分。</w:t>
      </w:r>
    </w:p>
    <w:p w14:paraId="1839EFC1">
      <w:pPr>
        <w:keepNext w:val="0"/>
        <w:keepLines w:val="0"/>
        <w:pageBreakBefore w:val="0"/>
        <w:widowControl/>
        <w:topLinePunct w:val="0"/>
        <w:bidi w:val="0"/>
        <w:spacing w:line="460" w:lineRule="exact"/>
        <w:ind w:firstLine="47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30.5供应商的响应文件必须完全响应若</w:t>
      </w:r>
      <w:r>
        <w:rPr>
          <w:rFonts w:hint="eastAsia" w:ascii="宋体" w:hAnsi="宋体" w:eastAsia="宋体" w:cs="宋体"/>
          <w:bCs/>
          <w:color w:val="000000" w:themeColor="text1"/>
          <w:szCs w:val="21"/>
          <w:highlight w:val="none"/>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在规定时间内不领取成交通知书造成的一切后果及造成的损失承担责任，否则将上报有关监督部门进行处罚。</w:t>
      </w:r>
    </w:p>
    <w:p w14:paraId="38E5DFD9">
      <w:pPr>
        <w:keepNext w:val="0"/>
        <w:keepLines w:val="0"/>
        <w:pageBreakBefore w:val="0"/>
        <w:widowControl/>
        <w:topLinePunct w:val="0"/>
        <w:bidi w:val="0"/>
        <w:spacing w:line="460" w:lineRule="exact"/>
        <w:ind w:firstLine="47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31.采购代理机构宣布磋商终止的权利</w:t>
      </w:r>
    </w:p>
    <w:p w14:paraId="737ACF5B">
      <w:pPr>
        <w:keepNext w:val="0"/>
        <w:keepLines w:val="0"/>
        <w:pageBreakBefore w:val="0"/>
        <w:widowControl/>
        <w:topLinePunct w:val="0"/>
        <w:bidi w:val="0"/>
        <w:spacing w:line="460" w:lineRule="exact"/>
        <w:ind w:firstLine="479"/>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出现下列情况之一时，采购代理机构有权宣布磋商废止，并将理由通知所有供应商：</w:t>
      </w:r>
    </w:p>
    <w:p w14:paraId="5E5A4BE6">
      <w:pPr>
        <w:keepNext w:val="0"/>
        <w:keepLines w:val="0"/>
        <w:pageBreakBefore w:val="0"/>
        <w:widowControl/>
        <w:topLinePunct w:val="0"/>
        <w:bidi w:val="0"/>
        <w:spacing w:line="460" w:lineRule="exact"/>
        <w:ind w:left="1229" w:hanging="70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31.1出现影响采购公正的违法、违规行为的。</w:t>
      </w:r>
    </w:p>
    <w:p w14:paraId="6472115E">
      <w:pPr>
        <w:keepNext w:val="0"/>
        <w:keepLines w:val="0"/>
        <w:pageBreakBefore w:val="0"/>
        <w:widowControl/>
        <w:topLinePunct w:val="0"/>
        <w:bidi w:val="0"/>
        <w:spacing w:line="460" w:lineRule="exact"/>
        <w:ind w:left="1229" w:hanging="70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31.2 供应商的最后一轮报价均超过了采购控制价，采购人不能支付的。</w:t>
      </w:r>
    </w:p>
    <w:p w14:paraId="0A644E3C">
      <w:pPr>
        <w:keepNext w:val="0"/>
        <w:keepLines w:val="0"/>
        <w:pageBreakBefore w:val="0"/>
        <w:widowControl/>
        <w:topLinePunct w:val="0"/>
        <w:bidi w:val="0"/>
        <w:spacing w:line="460" w:lineRule="exact"/>
        <w:ind w:left="1229" w:hanging="708"/>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31.3 因重大变故，采购任务取消的。</w:t>
      </w:r>
      <w:bookmarkStart w:id="28" w:name="_Toc355985903"/>
    </w:p>
    <w:p w14:paraId="7BD4F7A9">
      <w:pPr>
        <w:keepNext w:val="0"/>
        <w:keepLines w:val="0"/>
        <w:pageBreakBefore w:val="0"/>
        <w:topLinePunct w:val="0"/>
        <w:bidi w:val="0"/>
        <w:spacing w:line="4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七  </w:t>
      </w:r>
      <w:bookmarkStart w:id="29" w:name="_Hlk53737771"/>
      <w:r>
        <w:rPr>
          <w:rFonts w:hint="eastAsia" w:ascii="宋体" w:hAnsi="宋体" w:eastAsia="宋体" w:cs="宋体"/>
          <w:b/>
          <w:color w:val="000000" w:themeColor="text1"/>
          <w:szCs w:val="21"/>
          <w:highlight w:val="none"/>
          <w14:textFill>
            <w14:solidFill>
              <w14:schemeClr w14:val="tx1"/>
            </w14:solidFill>
          </w14:textFill>
        </w:rPr>
        <w:t>磋商办法及评分标准</w:t>
      </w:r>
      <w:bookmarkEnd w:id="28"/>
      <w:bookmarkEnd w:id="29"/>
    </w:p>
    <w:p w14:paraId="77C4FCD1">
      <w:pPr>
        <w:keepNext w:val="0"/>
        <w:keepLines w:val="0"/>
        <w:pageBreakBefore w:val="0"/>
        <w:widowControl/>
        <w:numPr>
          <w:ilvl w:val="0"/>
          <w:numId w:val="5"/>
        </w:numPr>
        <w:wordWrap w:val="0"/>
        <w:topLinePunct w:val="0"/>
        <w:bidi w:val="0"/>
        <w:spacing w:line="460" w:lineRule="exact"/>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磋商办法及评分标准</w:t>
      </w:r>
    </w:p>
    <w:p w14:paraId="243893F7">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采购人和采购代理机构可以根据采购项目的实际情况增减相关评审因素，也可以在总则规定的幅度内调整各项分值。</w:t>
      </w:r>
    </w:p>
    <w:p w14:paraId="4E3975C6">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评审因素的设定应当与供应商所提供货物服务的质量相关，包括磋商报价、技术或者服务水平、履约能力、售后服务等。资格条件不得作为评审因素。评审因素应当在磋商文件中规定。 </w:t>
      </w:r>
    </w:p>
    <w:p w14:paraId="2E80F664">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评审因素应当细化和量化，且与相应的商务条件和采购需求对应。商务条件和采购需求指标有区间规定的，评审因素应当量化到相应区间，并设置各区间对应的不同分值。</w:t>
      </w:r>
    </w:p>
    <w:p w14:paraId="3A33B5FF">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为公正、公平、科学地选择成交供应商，根据《中华人民共和国政府采购法》、《政府采购竞争性磋商采购方式管理暂行规定》等有关法律法规的规定，并结合本项目的实际，制定本办法。 </w:t>
      </w:r>
    </w:p>
    <w:p w14:paraId="02530A4D">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一、总则 </w:t>
      </w:r>
    </w:p>
    <w:p w14:paraId="1C55EF52">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本次评审采用综合评分法，总分为100分。评分过程中采用四舍五入法，保留小数2位。 </w:t>
      </w:r>
    </w:p>
    <w:p w14:paraId="069F4014">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二、磋商内容及标准 </w:t>
      </w:r>
    </w:p>
    <w:p w14:paraId="059AA7F1">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竞争性磋商小组根据政府采购相关规定，对有效供应商的磋商服务符合价格折扣条件的，按照“价格调整要素及价格折扣幅度列表”进行报价调整，以调整后的价格作为供应商的评审价。 </w:t>
      </w:r>
    </w:p>
    <w:p w14:paraId="286547E7">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价格分应当采用低价优先法计算，即满足磋商文件要求且磋商价格最低的报价为评审基准价，其价格分为满分。其他供应商的价格分统一按照下列公式计算： </w:t>
      </w:r>
    </w:p>
    <w:p w14:paraId="51915979">
      <w:pPr>
        <w:keepNext w:val="0"/>
        <w:keepLines w:val="0"/>
        <w:pageBreakBefore w:val="0"/>
        <w:shd w:val="clear" w:color="auto" w:fill="auto"/>
        <w:topLinePunct w:val="0"/>
        <w:bidi w:val="0"/>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磋商报价得分= (评审基准价／磋商报价)×价格权值×100 </w:t>
      </w:r>
    </w:p>
    <w:p w14:paraId="55C0AF18">
      <w:pPr>
        <w:widowControl/>
        <w:spacing w:before="156" w:after="156"/>
        <w:ind w:firstLine="471"/>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价格调整要素及价格折扣幅度列表：</w:t>
      </w:r>
    </w:p>
    <w:tbl>
      <w:tblPr>
        <w:tblStyle w:val="27"/>
        <w:tblpPr w:leftFromText="180" w:rightFromText="180" w:vertAnchor="text" w:horzAnchor="margin" w:tblpXSpec="center" w:tblpY="14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170"/>
      </w:tblGrid>
      <w:tr w14:paraId="5C6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top"/>
          </w:tcPr>
          <w:p w14:paraId="0D3D86E7">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评标价格要素</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837D131">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价格折扣幅度</w:t>
            </w:r>
          </w:p>
        </w:tc>
      </w:tr>
      <w:tr w14:paraId="704C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top"/>
          </w:tcPr>
          <w:p w14:paraId="082245B0">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节能产品</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6F1F0D09">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r w14:paraId="7DE1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top"/>
          </w:tcPr>
          <w:p w14:paraId="41DF1D82">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环境标志产品</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072DCE47">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r>
      <w:tr w14:paraId="213C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0201BCFD">
            <w:pPr>
              <w:widowControl/>
              <w:spacing w:line="460" w:lineRule="atLeas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投标产品出自小型或微型企业。监狱企业、残疾人福利性单位视同小型、微型企业。</w:t>
            </w:r>
          </w:p>
        </w:tc>
        <w:tc>
          <w:tcPr>
            <w:tcW w:w="5170" w:type="dxa"/>
            <w:tcBorders>
              <w:top w:val="single" w:color="auto" w:sz="4" w:space="0"/>
              <w:left w:val="single" w:color="auto" w:sz="4" w:space="0"/>
              <w:bottom w:val="single" w:color="auto" w:sz="4" w:space="0"/>
              <w:right w:val="single" w:color="auto" w:sz="4" w:space="0"/>
            </w:tcBorders>
            <w:noWrap w:val="0"/>
            <w:vAlign w:val="center"/>
          </w:tcPr>
          <w:p w14:paraId="76144FD9">
            <w:pPr>
              <w:pStyle w:val="143"/>
              <w:suppressAutoHyphens/>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%；大中型企业与小微企业组成联合体或者大中型企业向小微企业分包的(联合协议或者分包意向协议约定小微企业的合同份额应占合同总金额的30%以上),给予联合体或大中型企业5%的价格</w:t>
            </w:r>
            <w:r>
              <w:rPr>
                <w:rFonts w:hint="eastAsia" w:ascii="宋体" w:hAnsi="宋体" w:eastAsia="宋体" w:cs="宋体"/>
                <w:sz w:val="21"/>
                <w:szCs w:val="21"/>
                <w:highlight w:val="none"/>
                <w:lang w:val="en-US" w:eastAsia="zh-CN"/>
              </w:rPr>
              <w:t>扣除</w:t>
            </w:r>
            <w:r>
              <w:rPr>
                <w:rFonts w:hint="eastAsia" w:ascii="宋体" w:hAnsi="宋体" w:eastAsia="宋体" w:cs="宋体"/>
                <w:sz w:val="21"/>
                <w:szCs w:val="21"/>
                <w:highlight w:val="none"/>
              </w:rPr>
              <w:t>。</w:t>
            </w:r>
          </w:p>
        </w:tc>
      </w:tr>
      <w:tr w14:paraId="30D8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Borders>
              <w:top w:val="single" w:color="auto" w:sz="4" w:space="0"/>
              <w:left w:val="single" w:color="auto" w:sz="4" w:space="0"/>
              <w:bottom w:val="single" w:color="auto" w:sz="4" w:space="0"/>
              <w:right w:val="single" w:color="auto" w:sz="4" w:space="0"/>
            </w:tcBorders>
            <w:noWrap w:val="0"/>
            <w:vAlign w:val="center"/>
          </w:tcPr>
          <w:p w14:paraId="7C6AA382">
            <w:pPr>
              <w:pStyle w:val="143"/>
              <w:suppressAutoHyphens/>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5170" w:type="dxa"/>
            <w:tcBorders>
              <w:top w:val="single" w:color="auto" w:sz="4" w:space="0"/>
              <w:left w:val="single" w:color="auto" w:sz="4" w:space="0"/>
              <w:bottom w:val="single" w:color="auto" w:sz="4" w:space="0"/>
              <w:right w:val="single" w:color="auto" w:sz="4" w:space="0"/>
            </w:tcBorders>
            <w:noWrap w:val="0"/>
            <w:vAlign w:val="top"/>
          </w:tcPr>
          <w:p w14:paraId="26A8E9D9">
            <w:pPr>
              <w:pStyle w:val="143"/>
              <w:suppressAutoHyphens/>
              <w:spacing w:line="360" w:lineRule="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sz w:val="21"/>
                <w:szCs w:val="21"/>
                <w:highlight w:val="none"/>
              </w:rPr>
              <w:t>或所提供产品按规定享受其他国家政策支持、扶持的，由</w:t>
            </w:r>
            <w:r>
              <w:rPr>
                <w:rFonts w:hint="eastAsia" w:ascii="宋体" w:hAnsi="宋体" w:eastAsia="宋体" w:cs="宋体"/>
                <w:kern w:val="0"/>
                <w:sz w:val="21"/>
                <w:szCs w:val="21"/>
                <w:highlight w:val="none"/>
                <w:lang w:val="en-US" w:eastAsia="zh-CN"/>
              </w:rPr>
              <w:t>供应商</w:t>
            </w:r>
            <w:r>
              <w:rPr>
                <w:rFonts w:hint="eastAsia" w:ascii="宋体" w:hAnsi="宋体" w:eastAsia="宋体" w:cs="宋体"/>
                <w:sz w:val="21"/>
                <w:szCs w:val="21"/>
                <w:highlight w:val="none"/>
              </w:rPr>
              <w:t>提供相关法律法规政策依据，每项按0.5%折扣。</w:t>
            </w:r>
          </w:p>
        </w:tc>
      </w:tr>
    </w:tbl>
    <w:p w14:paraId="377A62F2">
      <w:pPr>
        <w:pStyle w:val="11"/>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1384FF1C">
      <w:pPr>
        <w:pStyle w:val="11"/>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（1）根据《政府采购促进中小企业发展管理办法》（财库[2020]46号）的规定，参加政府采购活动的中小企业应当提供《中小企业声明函》。 </w:t>
      </w:r>
    </w:p>
    <w:p w14:paraId="176F7C11">
      <w:pPr>
        <w:pStyle w:val="11"/>
        <w:keepNext w:val="0"/>
        <w:keepLines w:val="0"/>
        <w:pageBreakBefore w:val="0"/>
        <w:widowControl w:val="0"/>
        <w:kinsoku/>
        <w:wordWrap/>
        <w:overflowPunct/>
        <w:topLinePunct w:val="0"/>
        <w:autoSpaceDE/>
        <w:autoSpaceDN/>
        <w:bidi w:val="0"/>
        <w:adjustRightInd/>
        <w:snapToGrid/>
        <w:spacing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（2）根据《财政部 司法部关于政府采购支持监狱企业发展有关问题的通知》(财库〔2014〕68号)的规定，监狱企业参加政府采购活动时，应当提供由省级以上监狱管理局、戒毒管理局（含新疆生产建设兵团）出具的属于监狱企业的证明文件。 </w:t>
      </w:r>
    </w:p>
    <w:p w14:paraId="21C9DCF8">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（3）根据《财政部 民政部中国残疾人联合会关于促进残疾人就业政府采购政策的通知》（财库〔2017〕141号）的规定，享受政府采购支持政策的残疾人福利性单位应当提供《残疾人福利性单位声明函》。 </w:t>
      </w:r>
    </w:p>
    <w:p w14:paraId="597B5C61">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（4）价格调整 </w:t>
      </w:r>
    </w:p>
    <w:p w14:paraId="6845A93E">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4.1如果同一包为单一产品，对最后一轮报价进行调整（专门面向中小企业采购的采购项目，不再进行价格折扣。），调整后的报价作为最终评审价。 </w:t>
      </w:r>
    </w:p>
    <w:p w14:paraId="1C387710">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最终评审价=最后一轮报价×（1-∑价格折扣幅度） </w:t>
      </w:r>
    </w:p>
    <w:p w14:paraId="46CFC141">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4.2如果同一包内有多个产品，部分产品符合政策功能要求的（注：在货物采购项目中，供应商提供的货物既有中小企业制造货物，也有大型企业制造货物的，不享受本办法规定的中小企业扶持政策。专门面向中小企业采购的采购项目，不再进行价格折扣。），只对符合政策功能要求的产品依据《初次报价明细表》按上述价格折扣幅度进行折扣。 </w:t>
      </w:r>
    </w:p>
    <w:p w14:paraId="227294F4">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4.2.1如果最后一轮供应商按《初次报价明细表》的格式进行报价，对最后一轮报价进行调整，调整后的报价作为最终审定价。 </w:t>
      </w:r>
    </w:p>
    <w:p w14:paraId="11550A24">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单项调整报价=最后一轮单项报价×（1-∑价格折扣幅度） </w:t>
      </w:r>
    </w:p>
    <w:p w14:paraId="56436F02">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最终评审价=∑单项调整报价+∑不进行价格调整产品的最后一轮单项报价 </w:t>
      </w:r>
    </w:p>
    <w:p w14:paraId="0F48A5B1">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4.2.2如果最后一轮报价只报总价，先对第一轮报价进行调整，再按最后一轮报价比第一轮报价降价幅度计算出最终评审价。 </w:t>
      </w:r>
    </w:p>
    <w:p w14:paraId="00AE02FC">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第一轮单项调整报价=第一轮单项报价×（1-∑价格折扣幅度） </w:t>
      </w:r>
    </w:p>
    <w:p w14:paraId="22D665A2">
      <w:pPr>
        <w:pStyle w:val="11"/>
        <w:keepNext w:val="0"/>
        <w:keepLines w:val="0"/>
        <w:pageBreakBefore w:val="0"/>
        <w:widowControl w:val="0"/>
        <w:kinsoku/>
        <w:wordWrap/>
        <w:overflowPunct/>
        <w:topLinePunct w:val="0"/>
        <w:autoSpaceDE/>
        <w:autoSpaceDN/>
        <w:bidi w:val="0"/>
        <w:adjustRightInd/>
        <w:snapToGrid/>
        <w:spacing w:beforeAutospacing="0" w:after="0" w:afterAutospacing="0" w:line="460" w:lineRule="exact"/>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 xml:space="preserve">第一轮调整后报价总价=∑第一轮单项调整报价+∑不进行价格调整产品的一轮单项报价 </w:t>
      </w:r>
    </w:p>
    <w:p w14:paraId="77291269">
      <w:pPr>
        <w:pStyle w:val="1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最终评审价=（最后一轮报价/第一轮报价）×第一轮调整后报价总价</w:t>
      </w:r>
    </w:p>
    <w:tbl>
      <w:tblPr>
        <w:tblStyle w:val="27"/>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74"/>
        <w:gridCol w:w="1049"/>
        <w:gridCol w:w="6210"/>
      </w:tblGrid>
      <w:tr w14:paraId="6BF2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45" w:type="dxa"/>
            <w:noWrap w:val="0"/>
            <w:vAlign w:val="center"/>
          </w:tcPr>
          <w:p w14:paraId="58171161">
            <w:pPr>
              <w:tabs>
                <w:tab w:val="left" w:pos="3000"/>
              </w:tabs>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274" w:type="dxa"/>
            <w:noWrap w:val="0"/>
            <w:vAlign w:val="center"/>
          </w:tcPr>
          <w:p w14:paraId="25D14AFA">
            <w:pPr>
              <w:tabs>
                <w:tab w:val="left" w:pos="3000"/>
              </w:tabs>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评分项目</w:t>
            </w:r>
          </w:p>
        </w:tc>
        <w:tc>
          <w:tcPr>
            <w:tcW w:w="1049" w:type="dxa"/>
            <w:noWrap w:val="0"/>
            <w:vAlign w:val="center"/>
          </w:tcPr>
          <w:p w14:paraId="215C67BC">
            <w:pPr>
              <w:tabs>
                <w:tab w:val="left" w:pos="3000"/>
              </w:tabs>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评分权重</w:t>
            </w:r>
          </w:p>
        </w:tc>
        <w:tc>
          <w:tcPr>
            <w:tcW w:w="6210" w:type="dxa"/>
            <w:noWrap w:val="0"/>
            <w:vAlign w:val="center"/>
          </w:tcPr>
          <w:p w14:paraId="27A37782">
            <w:pPr>
              <w:tabs>
                <w:tab w:val="left" w:pos="3000"/>
              </w:tabs>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评价方法</w:t>
            </w:r>
          </w:p>
        </w:tc>
      </w:tr>
      <w:tr w14:paraId="192D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jc w:val="center"/>
        </w:trPr>
        <w:tc>
          <w:tcPr>
            <w:tcW w:w="545" w:type="dxa"/>
            <w:noWrap w:val="0"/>
            <w:vAlign w:val="center"/>
          </w:tcPr>
          <w:p w14:paraId="633F149A">
            <w:pPr>
              <w:numPr>
                <w:ilvl w:val="0"/>
                <w:numId w:val="0"/>
              </w:numPr>
              <w:spacing w:line="440" w:lineRule="exact"/>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p>
        </w:tc>
        <w:tc>
          <w:tcPr>
            <w:tcW w:w="1274" w:type="dxa"/>
            <w:noWrap w:val="0"/>
            <w:vAlign w:val="center"/>
          </w:tcPr>
          <w:p w14:paraId="4DFDD183">
            <w:pPr>
              <w:numPr>
                <w:ilvl w:val="0"/>
                <w:numId w:val="0"/>
              </w:numPr>
              <w:spacing w:line="44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报价分</w:t>
            </w:r>
          </w:p>
        </w:tc>
        <w:tc>
          <w:tcPr>
            <w:tcW w:w="1049" w:type="dxa"/>
            <w:noWrap w:val="0"/>
            <w:vAlign w:val="center"/>
          </w:tcPr>
          <w:p w14:paraId="6AA3D719">
            <w:pPr>
              <w:widowControl/>
              <w:spacing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30</w:t>
            </w:r>
            <w:r>
              <w:rPr>
                <w:rFonts w:hint="eastAsia" w:ascii="宋体" w:hAnsi="宋体" w:eastAsia="宋体" w:cs="宋体"/>
                <w:b w:val="0"/>
                <w:bCs/>
                <w:sz w:val="21"/>
                <w:szCs w:val="21"/>
                <w:highlight w:val="none"/>
              </w:rPr>
              <w:t>分</w:t>
            </w:r>
          </w:p>
        </w:tc>
        <w:tc>
          <w:tcPr>
            <w:tcW w:w="6210" w:type="dxa"/>
            <w:noWrap w:val="0"/>
            <w:vAlign w:val="center"/>
          </w:tcPr>
          <w:p w14:paraId="110CE418">
            <w:pPr>
              <w:widowControl/>
              <w:spacing w:line="360" w:lineRule="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价格分采用低价优先法计算，即满足磋商文件要求且磋商价格最低的投标报价为评标基准价，其价格分为满分（30分）。其他磋商人的价格分统一按照下列公式计算：磋商报价得分=(评标基准价／磋商报价)×价格权值×100。注：因落实政府采购政策进行价格调整的，以调整后的价格计算评标基准价和磋商报价。以上计算过程中按四舍五入保留两位小数。</w:t>
            </w:r>
          </w:p>
        </w:tc>
      </w:tr>
      <w:tr w14:paraId="4C99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078" w:type="dxa"/>
            <w:gridSpan w:val="4"/>
            <w:noWrap w:val="0"/>
            <w:vAlign w:val="center"/>
          </w:tcPr>
          <w:p w14:paraId="3E7D61EA">
            <w:pPr>
              <w:keepNext w:val="0"/>
              <w:keepLines w:val="0"/>
              <w:pageBreakBefore w:val="0"/>
              <w:widowControl/>
              <w:wordWrap/>
              <w:overflowPunct/>
              <w:topLinePunct w:val="0"/>
              <w:bidi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二、技术部分</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51</w:t>
            </w:r>
            <w:r>
              <w:rPr>
                <w:rFonts w:hint="eastAsia" w:ascii="宋体" w:hAnsi="宋体" w:eastAsia="宋体" w:cs="宋体"/>
                <w:b/>
                <w:bCs/>
                <w:sz w:val="21"/>
                <w:szCs w:val="21"/>
                <w:highlight w:val="none"/>
              </w:rPr>
              <w:t>分</w:t>
            </w:r>
            <w:r>
              <w:rPr>
                <w:rFonts w:hint="eastAsia" w:ascii="宋体" w:hAnsi="宋体" w:eastAsia="宋体" w:cs="宋体"/>
                <w:b/>
                <w:bCs/>
                <w:sz w:val="21"/>
                <w:szCs w:val="21"/>
                <w:highlight w:val="none"/>
                <w:lang w:eastAsia="zh-CN"/>
              </w:rPr>
              <w:t>）</w:t>
            </w:r>
          </w:p>
        </w:tc>
      </w:tr>
      <w:tr w14:paraId="7E1E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1" w:hRule="atLeast"/>
          <w:jc w:val="center"/>
        </w:trPr>
        <w:tc>
          <w:tcPr>
            <w:tcW w:w="545" w:type="dxa"/>
            <w:noWrap w:val="0"/>
            <w:vAlign w:val="center"/>
          </w:tcPr>
          <w:p w14:paraId="1D6E960D">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1</w:t>
            </w:r>
          </w:p>
        </w:tc>
        <w:tc>
          <w:tcPr>
            <w:tcW w:w="1274" w:type="dxa"/>
            <w:noWrap w:val="0"/>
            <w:vAlign w:val="center"/>
          </w:tcPr>
          <w:p w14:paraId="75C0E3E1">
            <w:pPr>
              <w:keepNext w:val="0"/>
              <w:keepLines w:val="0"/>
              <w:pageBreakBefore w:val="0"/>
              <w:widowControl/>
              <w:kinsoku/>
              <w:overflow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lang w:val="en-US" w:eastAsia="zh-CN"/>
              </w:rPr>
              <w:t>产品技术指标</w:t>
            </w:r>
          </w:p>
        </w:tc>
        <w:tc>
          <w:tcPr>
            <w:tcW w:w="1049" w:type="dxa"/>
            <w:noWrap w:val="0"/>
            <w:vAlign w:val="center"/>
          </w:tcPr>
          <w:p w14:paraId="427D5475">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color w:val="auto"/>
                <w:sz w:val="21"/>
                <w:szCs w:val="21"/>
                <w:highlight w:val="none"/>
                <w:lang w:val="en-US" w:eastAsia="zh-CN"/>
              </w:rPr>
              <w:t>40</w:t>
            </w:r>
            <w:r>
              <w:rPr>
                <w:rFonts w:hint="eastAsia" w:ascii="宋体" w:hAnsi="宋体" w:eastAsia="宋体" w:cs="宋体"/>
                <w:bCs/>
                <w:color w:val="auto"/>
                <w:sz w:val="21"/>
                <w:szCs w:val="21"/>
                <w:highlight w:val="none"/>
                <w:lang w:eastAsia="zh-CN"/>
              </w:rPr>
              <w:t>分</w:t>
            </w:r>
          </w:p>
        </w:tc>
        <w:tc>
          <w:tcPr>
            <w:tcW w:w="6210" w:type="dxa"/>
            <w:noWrap w:val="0"/>
            <w:vAlign w:val="center"/>
          </w:tcPr>
          <w:p w14:paraId="425AF10B">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供应商应针对“第二章 采购需求 一、技术参数”如实响应，所投产品技术参数、性能及产品功能全部满足采购文件要求得40分；其中带“★”项的为重要技术参数，出现负偏离者，每项扣除技术分5分；技术参数要求未带“★”项的为一般性技术参数，出现负偏离者，每项扣除技术分2分。</w:t>
            </w:r>
          </w:p>
          <w:p w14:paraId="722C0699">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注：1.供应商在制作“技术响应表”应对“第二章 采购需求 一、技术参数”所列技术要求逐条响应，标注清楚每条参数的偏离情况并提供相关技术证明文件。</w:t>
            </w:r>
          </w:p>
          <w:p w14:paraId="60B1992A">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2.供应商所投产品需提供医疗器械注册证【含附件：产品技术要求（如有）】，如未按要求提供，则磋商无效。</w:t>
            </w:r>
          </w:p>
          <w:p w14:paraId="2FB2FD4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3.需提供产品注册检验报告（完整版）及响应技术参数条款的技术白皮书和彩页等相关文件，并对响应技术参数部分做出明显标注。未提供对应证明材料的，视为不满足该项参数要求，做扣分处理。</w:t>
            </w:r>
          </w:p>
        </w:tc>
      </w:tr>
      <w:tr w14:paraId="3A48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noWrap w:val="0"/>
            <w:vAlign w:val="center"/>
          </w:tcPr>
          <w:p w14:paraId="405DE7C6">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sz w:val="21"/>
                <w:szCs w:val="21"/>
                <w:highlight w:val="none"/>
              </w:rPr>
            </w:pPr>
          </w:p>
          <w:p w14:paraId="74D9FF61">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2</w:t>
            </w:r>
          </w:p>
        </w:tc>
        <w:tc>
          <w:tcPr>
            <w:tcW w:w="1274" w:type="dxa"/>
            <w:noWrap w:val="0"/>
            <w:vAlign w:val="center"/>
          </w:tcPr>
          <w:p w14:paraId="0DFEC6C2">
            <w:pPr>
              <w:keepNext w:val="0"/>
              <w:keepLines w:val="0"/>
              <w:pageBreakBefore w:val="0"/>
              <w:widowControl/>
              <w:kinsoku/>
              <w:overflow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lang w:val="en-US" w:eastAsia="zh-CN"/>
              </w:rPr>
              <w:t>供货、安装、调试方案</w:t>
            </w:r>
          </w:p>
        </w:tc>
        <w:tc>
          <w:tcPr>
            <w:tcW w:w="1049" w:type="dxa"/>
            <w:noWrap w:val="0"/>
            <w:vAlign w:val="center"/>
          </w:tcPr>
          <w:p w14:paraId="4B66683D">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Cs/>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3分</w:t>
            </w:r>
          </w:p>
        </w:tc>
        <w:tc>
          <w:tcPr>
            <w:tcW w:w="6210" w:type="dxa"/>
            <w:noWrap w:val="0"/>
            <w:vAlign w:val="center"/>
          </w:tcPr>
          <w:p w14:paraId="09438BD0">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供应商提供的供货、安装、调试服务方案包含（但不限于）以下内容：</w:t>
            </w:r>
          </w:p>
          <w:p w14:paraId="62D9A6C7">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1.供货时间安排及保障措施；</w:t>
            </w:r>
          </w:p>
          <w:p w14:paraId="2021F038">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2.人员配备及职责分工；</w:t>
            </w:r>
          </w:p>
          <w:p w14:paraId="09DBBCC5">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3.安装、调试服务方案及保障措施。</w:t>
            </w:r>
          </w:p>
          <w:p w14:paraId="7F2927D1">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项内容齐全且满足本项目采购需求的得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分,每缺少一项，</w:t>
            </w:r>
            <w:r>
              <w:rPr>
                <w:rFonts w:hint="eastAsia" w:ascii="宋体" w:hAnsi="宋体" w:eastAsia="宋体" w:cs="宋体"/>
                <w:sz w:val="21"/>
                <w:szCs w:val="21"/>
                <w:highlight w:val="none"/>
                <w:lang w:val="en-US" w:eastAsia="zh-CN"/>
              </w:rPr>
              <w:t>或者</w:t>
            </w:r>
            <w:r>
              <w:rPr>
                <w:rFonts w:hint="eastAsia" w:ascii="宋体" w:hAnsi="宋体" w:eastAsia="宋体" w:cs="宋体"/>
                <w:sz w:val="21"/>
                <w:szCs w:val="21"/>
                <w:highlight w:val="none"/>
              </w:rPr>
              <w:t>每有一项内容存在缺陷扣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分，扣完为止。(注:缺陷是指内容不满足采购人采购需求，非专门针对本项目或不适用本项目特性的情形、内容不完整或缺少关键节点、套用其他项目方案、内容前后矛盾、涉及的规范及标准错误等情形)</w:t>
            </w:r>
            <w:r>
              <w:rPr>
                <w:rFonts w:hint="eastAsia" w:ascii="宋体" w:hAnsi="宋体" w:eastAsia="宋体" w:cs="宋体"/>
                <w:sz w:val="21"/>
                <w:szCs w:val="21"/>
                <w:highlight w:val="none"/>
                <w:lang w:eastAsia="zh-CN"/>
              </w:rPr>
              <w:t>。</w:t>
            </w:r>
          </w:p>
        </w:tc>
      </w:tr>
      <w:tr w14:paraId="1E27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jc w:val="center"/>
        </w:trPr>
        <w:tc>
          <w:tcPr>
            <w:tcW w:w="545" w:type="dxa"/>
            <w:noWrap w:val="0"/>
            <w:vAlign w:val="center"/>
          </w:tcPr>
          <w:p w14:paraId="155BAE1A">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3</w:t>
            </w:r>
          </w:p>
        </w:tc>
        <w:tc>
          <w:tcPr>
            <w:tcW w:w="1274" w:type="dxa"/>
            <w:noWrap w:val="0"/>
            <w:vAlign w:val="center"/>
          </w:tcPr>
          <w:p w14:paraId="1B760811">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产品质量保证措施及方案</w:t>
            </w:r>
          </w:p>
        </w:tc>
        <w:tc>
          <w:tcPr>
            <w:tcW w:w="1049" w:type="dxa"/>
            <w:tcBorders>
              <w:top w:val="single" w:color="auto" w:sz="4" w:space="0"/>
            </w:tcBorders>
            <w:noWrap w:val="0"/>
            <w:vAlign w:val="center"/>
          </w:tcPr>
          <w:p w14:paraId="137921CD">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w:t>
            </w:r>
          </w:p>
        </w:tc>
        <w:tc>
          <w:tcPr>
            <w:tcW w:w="6210" w:type="dxa"/>
            <w:noWrap w:val="0"/>
            <w:vAlign w:val="center"/>
          </w:tcPr>
          <w:p w14:paraId="7E954CF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供应商提供的产品质量控制和保障措施包含（但不限于）以下内容：</w:t>
            </w:r>
          </w:p>
          <w:p w14:paraId="1DD5FA0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1.产品质量管理措施；</w:t>
            </w:r>
          </w:p>
          <w:p w14:paraId="2D5A3A80">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2.产品运输保障措施。</w:t>
            </w:r>
          </w:p>
          <w:p w14:paraId="53337DEA">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项内容齐全且满足本项目采购需求的得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分,每缺少一项，</w:t>
            </w:r>
            <w:r>
              <w:rPr>
                <w:rFonts w:hint="eastAsia" w:ascii="宋体" w:hAnsi="宋体" w:eastAsia="宋体" w:cs="宋体"/>
                <w:sz w:val="21"/>
                <w:szCs w:val="21"/>
                <w:highlight w:val="none"/>
                <w:lang w:val="en-US" w:eastAsia="zh-CN"/>
              </w:rPr>
              <w:t>或者</w:t>
            </w:r>
            <w:r>
              <w:rPr>
                <w:rFonts w:hint="eastAsia" w:ascii="宋体" w:hAnsi="宋体" w:eastAsia="宋体" w:cs="宋体"/>
                <w:sz w:val="21"/>
                <w:szCs w:val="21"/>
                <w:highlight w:val="none"/>
              </w:rPr>
              <w:t>每有一项内容存在缺陷扣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分，扣完为止。(注:缺陷是指内容不满足采购人采购需求，非专门针对本项目或不适用本项目特性的情形、内容不完整或缺少关键节点、套用其他项目方案、内容前后矛盾、涉及的规范及标准错误等情形)</w:t>
            </w:r>
            <w:r>
              <w:rPr>
                <w:rFonts w:hint="eastAsia" w:ascii="宋体" w:hAnsi="宋体" w:eastAsia="宋体" w:cs="宋体"/>
                <w:sz w:val="21"/>
                <w:szCs w:val="21"/>
                <w:highlight w:val="none"/>
                <w:lang w:eastAsia="zh-CN"/>
              </w:rPr>
              <w:t>。</w:t>
            </w:r>
          </w:p>
        </w:tc>
      </w:tr>
      <w:tr w14:paraId="6EFF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dxa"/>
            <w:noWrap w:val="0"/>
            <w:vAlign w:val="center"/>
          </w:tcPr>
          <w:p w14:paraId="5B665603">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4</w:t>
            </w:r>
          </w:p>
        </w:tc>
        <w:tc>
          <w:tcPr>
            <w:tcW w:w="1274" w:type="dxa"/>
            <w:noWrap w:val="0"/>
            <w:vAlign w:val="center"/>
          </w:tcPr>
          <w:p w14:paraId="5B2CC1AC">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应急服务方案及保障措施</w:t>
            </w:r>
          </w:p>
        </w:tc>
        <w:tc>
          <w:tcPr>
            <w:tcW w:w="1049" w:type="dxa"/>
            <w:noWrap w:val="0"/>
            <w:vAlign w:val="center"/>
          </w:tcPr>
          <w:p w14:paraId="470A599E">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i w:val="0"/>
                <w:iCs w:val="0"/>
                <w:color w:val="auto"/>
                <w:kern w:val="2"/>
                <w:sz w:val="21"/>
                <w:szCs w:val="21"/>
                <w:highlight w:val="none"/>
                <w:u w:val="none"/>
                <w:lang w:val="en-US" w:eastAsia="zh-CN" w:bidi="ar-SA"/>
              </w:rPr>
              <w:t>4</w:t>
            </w:r>
            <w:r>
              <w:rPr>
                <w:rFonts w:hint="eastAsia" w:ascii="宋体" w:hAnsi="宋体" w:eastAsia="宋体" w:cs="宋体"/>
                <w:bCs/>
                <w:color w:val="auto"/>
                <w:sz w:val="21"/>
                <w:szCs w:val="21"/>
                <w:highlight w:val="none"/>
                <w:lang w:eastAsia="zh-CN"/>
              </w:rPr>
              <w:t>分</w:t>
            </w:r>
          </w:p>
        </w:tc>
        <w:tc>
          <w:tcPr>
            <w:tcW w:w="6210" w:type="dxa"/>
            <w:noWrap w:val="0"/>
            <w:vAlign w:val="center"/>
          </w:tcPr>
          <w:p w14:paraId="5F1D4966">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供应商需提供满足采购需求的应急处理方案包含（但不限于）：</w:t>
            </w:r>
          </w:p>
          <w:p w14:paraId="4425782F">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1.应急响应流程及响应时间；</w:t>
            </w:r>
          </w:p>
          <w:p w14:paraId="35D851A8">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应急保障措施（包括但不限于人员、车辆安排等）。</w:t>
            </w:r>
          </w:p>
          <w:p w14:paraId="36DE6E79">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每提供一项得2分，最多得4分，未提供不得分。</w:t>
            </w:r>
          </w:p>
          <w:p w14:paraId="37263B5A">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（注：方案具体内容应当针对本项目或适用于本项目特性的情形，内容分项描述完整，</w:t>
            </w:r>
            <w:r>
              <w:rPr>
                <w:rFonts w:hint="eastAsia" w:ascii="宋体" w:hAnsi="宋体" w:eastAsia="宋体" w:cs="宋体"/>
                <w:kern w:val="0"/>
                <w:sz w:val="21"/>
                <w:szCs w:val="21"/>
                <w:highlight w:val="none"/>
              </w:rPr>
              <w:t>不缺少关键节点，具体内容不得套用其他项目方案，方案具体内容前后一致、涉及的规范及标准应当符合相关规定及要求</w:t>
            </w:r>
            <w:r>
              <w:rPr>
                <w:rFonts w:hint="eastAsia" w:ascii="宋体" w:hAnsi="宋体" w:eastAsia="宋体" w:cs="宋体"/>
                <w:kern w:val="0"/>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093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78" w:type="dxa"/>
            <w:gridSpan w:val="4"/>
            <w:noWrap w:val="0"/>
            <w:vAlign w:val="center"/>
          </w:tcPr>
          <w:p w14:paraId="6752F3FC">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三、商务部分（13分）</w:t>
            </w:r>
          </w:p>
        </w:tc>
      </w:tr>
      <w:tr w14:paraId="2057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545" w:type="dxa"/>
            <w:noWrap w:val="0"/>
            <w:vAlign w:val="center"/>
          </w:tcPr>
          <w:p w14:paraId="1C4EAAFD">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p w14:paraId="2D11DCC7">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p>
        </w:tc>
        <w:tc>
          <w:tcPr>
            <w:tcW w:w="1274" w:type="dxa"/>
            <w:noWrap w:val="0"/>
            <w:vAlign w:val="center"/>
          </w:tcPr>
          <w:p w14:paraId="07762FC7">
            <w:pPr>
              <w:keepNext w:val="0"/>
              <w:keepLines w:val="0"/>
              <w:pageBreakBefore w:val="0"/>
              <w:widowControl/>
              <w:suppressLineNumbers w:val="0"/>
              <w:kinsoku/>
              <w:overflowPunct/>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售后服务及培训</w:t>
            </w:r>
          </w:p>
        </w:tc>
        <w:tc>
          <w:tcPr>
            <w:tcW w:w="1049" w:type="dxa"/>
            <w:noWrap w:val="0"/>
            <w:vAlign w:val="center"/>
          </w:tcPr>
          <w:p w14:paraId="08635919">
            <w:pPr>
              <w:keepNext w:val="0"/>
              <w:keepLines w:val="0"/>
              <w:pageBreakBefore w:val="0"/>
              <w:widowControl/>
              <w:suppressLineNumbers w:val="0"/>
              <w:kinsoku/>
              <w:overflowPunct/>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13分</w:t>
            </w:r>
          </w:p>
        </w:tc>
        <w:tc>
          <w:tcPr>
            <w:tcW w:w="6210" w:type="dxa"/>
            <w:noWrap w:val="0"/>
            <w:vAlign w:val="center"/>
          </w:tcPr>
          <w:p w14:paraId="7DB9CF89">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（1）售后服务承诺（6分）</w:t>
            </w:r>
          </w:p>
          <w:p w14:paraId="1306B951">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供应商提供针对本项目的售后服务方案，主要包括：</w:t>
            </w:r>
          </w:p>
          <w:p w14:paraId="2CB45442">
            <w:pPr>
              <w:keepNext w:val="0"/>
              <w:keepLines w:val="0"/>
              <w:pageBreakBefore w:val="0"/>
              <w:widowControl/>
              <w:numPr>
                <w:ilvl w:val="0"/>
                <w:numId w:val="0"/>
              </w:numPr>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SA"/>
              </w:rPr>
              <w:t>1.</w:t>
            </w:r>
            <w:r>
              <w:rPr>
                <w:rFonts w:hint="eastAsia" w:ascii="宋体" w:hAnsi="宋体" w:eastAsia="宋体" w:cs="宋体"/>
                <w:sz w:val="21"/>
                <w:szCs w:val="21"/>
                <w:highlight w:val="none"/>
              </w:rPr>
              <w:t>售后服务</w:t>
            </w:r>
            <w:r>
              <w:rPr>
                <w:rFonts w:hint="eastAsia" w:ascii="宋体" w:hAnsi="宋体" w:eastAsia="宋体" w:cs="宋体"/>
                <w:sz w:val="21"/>
                <w:szCs w:val="21"/>
                <w:highlight w:val="none"/>
                <w:lang w:val="en-US" w:eastAsia="zh-CN"/>
              </w:rPr>
              <w:t>流程；</w:t>
            </w:r>
          </w:p>
          <w:p w14:paraId="66F6264D">
            <w:pPr>
              <w:keepNext w:val="0"/>
              <w:keepLines w:val="0"/>
              <w:pageBreakBefore w:val="0"/>
              <w:widowControl/>
              <w:numPr>
                <w:ilvl w:val="0"/>
                <w:numId w:val="0"/>
              </w:numPr>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服务站点设立，</w:t>
            </w:r>
            <w:r>
              <w:rPr>
                <w:rFonts w:hint="eastAsia" w:ascii="宋体" w:hAnsi="宋体" w:eastAsia="宋体" w:cs="宋体"/>
                <w:sz w:val="21"/>
                <w:szCs w:val="21"/>
                <w:highlight w:val="none"/>
              </w:rPr>
              <w:t>售后服务</w:t>
            </w:r>
            <w:r>
              <w:rPr>
                <w:rFonts w:hint="eastAsia" w:ascii="宋体" w:hAnsi="宋体" w:eastAsia="宋体" w:cs="宋体"/>
                <w:sz w:val="21"/>
                <w:szCs w:val="21"/>
                <w:highlight w:val="none"/>
                <w:lang w:val="en-US" w:eastAsia="zh-CN"/>
              </w:rPr>
              <w:t>团队及其联系方式、</w:t>
            </w:r>
            <w:r>
              <w:rPr>
                <w:rFonts w:hint="eastAsia" w:ascii="宋体" w:hAnsi="宋体" w:eastAsia="宋体" w:cs="宋体"/>
                <w:sz w:val="21"/>
                <w:szCs w:val="21"/>
                <w:highlight w:val="none"/>
              </w:rPr>
              <w:t>技术水平</w:t>
            </w:r>
            <w:r>
              <w:rPr>
                <w:rFonts w:hint="eastAsia" w:ascii="宋体" w:hAnsi="宋体" w:eastAsia="宋体" w:cs="宋体"/>
                <w:sz w:val="21"/>
                <w:szCs w:val="21"/>
                <w:highlight w:val="none"/>
                <w:lang w:val="en-US" w:eastAsia="zh-CN"/>
              </w:rPr>
              <w:t>及职责分工</w:t>
            </w:r>
            <w:r>
              <w:rPr>
                <w:rFonts w:hint="eastAsia" w:ascii="宋体" w:hAnsi="宋体" w:eastAsia="宋体" w:cs="宋体"/>
                <w:sz w:val="21"/>
                <w:szCs w:val="21"/>
                <w:highlight w:val="none"/>
              </w:rPr>
              <w:t>；</w:t>
            </w:r>
          </w:p>
          <w:p w14:paraId="0A6C2F72">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3.现场服务措施（如</w:t>
            </w:r>
            <w:r>
              <w:rPr>
                <w:rFonts w:hint="eastAsia" w:ascii="宋体" w:hAnsi="宋体" w:eastAsia="宋体" w:cs="宋体"/>
                <w:sz w:val="21"/>
                <w:szCs w:val="21"/>
                <w:highlight w:val="none"/>
                <w:lang w:val="en-US" w:eastAsia="zh-CN"/>
              </w:rPr>
              <w:t>故障</w:t>
            </w:r>
            <w:r>
              <w:rPr>
                <w:rFonts w:hint="eastAsia" w:ascii="宋体" w:hAnsi="宋体" w:eastAsia="宋体" w:cs="宋体"/>
                <w:sz w:val="21"/>
                <w:szCs w:val="21"/>
                <w:highlight w:val="none"/>
              </w:rPr>
              <w:t>响应时间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故障</w:t>
            </w:r>
            <w:r>
              <w:rPr>
                <w:rFonts w:hint="eastAsia" w:ascii="宋体" w:hAnsi="宋体" w:eastAsia="宋体" w:cs="宋体"/>
                <w:sz w:val="21"/>
                <w:szCs w:val="21"/>
                <w:highlight w:val="none"/>
              </w:rPr>
              <w:t>处理方案等）。</w:t>
            </w:r>
          </w:p>
          <w:p w14:paraId="2E2A51D2">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每提供一项得2分，最多得6分，未提供不得分。 </w:t>
            </w:r>
          </w:p>
          <w:p w14:paraId="0E909D90">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日常</w:t>
            </w:r>
            <w:r>
              <w:rPr>
                <w:rFonts w:hint="eastAsia" w:ascii="宋体" w:hAnsi="宋体" w:eastAsia="宋体" w:cs="宋体"/>
                <w:sz w:val="21"/>
                <w:szCs w:val="21"/>
                <w:highlight w:val="none"/>
              </w:rPr>
              <w:t>维修保养具体措施承诺（</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61FAA14A">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供应商提供针对该项目设定专门的</w:t>
            </w:r>
            <w:r>
              <w:rPr>
                <w:rFonts w:hint="eastAsia" w:ascii="宋体" w:hAnsi="宋体" w:eastAsia="宋体" w:cs="宋体"/>
                <w:sz w:val="21"/>
                <w:szCs w:val="21"/>
                <w:highlight w:val="none"/>
                <w:lang w:val="en-US" w:eastAsia="zh-CN"/>
              </w:rPr>
              <w:t>日常</w:t>
            </w:r>
            <w:r>
              <w:rPr>
                <w:rFonts w:hint="eastAsia" w:ascii="宋体" w:hAnsi="宋体" w:eastAsia="宋体" w:cs="宋体"/>
                <w:sz w:val="21"/>
                <w:szCs w:val="21"/>
                <w:highlight w:val="none"/>
              </w:rPr>
              <w:t>维修保养具体措施承诺。</w:t>
            </w:r>
          </w:p>
          <w:p w14:paraId="0B57EF0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分，未提供不得分。</w:t>
            </w:r>
          </w:p>
          <w:p w14:paraId="66FCCAE1">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（提供承诺书并加盖单位公章，未提供不得分。）</w:t>
            </w:r>
          </w:p>
          <w:p w14:paraId="4B6AE8A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培训服务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4分</w:t>
            </w:r>
            <w:r>
              <w:rPr>
                <w:rFonts w:hint="eastAsia" w:ascii="宋体" w:hAnsi="宋体" w:eastAsia="宋体" w:cs="宋体"/>
                <w:sz w:val="21"/>
                <w:szCs w:val="21"/>
                <w:highlight w:val="none"/>
                <w:lang w:eastAsia="zh-CN"/>
              </w:rPr>
              <w:t>）</w:t>
            </w:r>
          </w:p>
          <w:p w14:paraId="10A7E492">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供应商对采购人操作人员和管理人员提供免费操作培训和维修培训，达到使用无障碍，并提供详细的培训服务方案，内容包括:</w:t>
            </w:r>
          </w:p>
          <w:p w14:paraId="4A416605">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1.培训目标、内容；</w:t>
            </w:r>
          </w:p>
          <w:p w14:paraId="7026B2B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2.培训人员安排</w:t>
            </w:r>
            <w:r>
              <w:rPr>
                <w:rFonts w:hint="eastAsia" w:ascii="宋体" w:hAnsi="宋体" w:eastAsia="宋体" w:cs="宋体"/>
                <w:sz w:val="21"/>
                <w:szCs w:val="21"/>
                <w:highlight w:val="none"/>
                <w:lang w:val="en-US" w:eastAsia="zh-CN"/>
              </w:rPr>
              <w:t>及培训计划</w:t>
            </w:r>
            <w:r>
              <w:rPr>
                <w:rFonts w:hint="eastAsia" w:ascii="宋体" w:hAnsi="宋体" w:eastAsia="宋体" w:cs="宋体"/>
                <w:sz w:val="21"/>
                <w:szCs w:val="21"/>
                <w:highlight w:val="none"/>
              </w:rPr>
              <w:t>。</w:t>
            </w:r>
          </w:p>
          <w:p w14:paraId="51B05E84">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每提供一项得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分，未提供不得分。</w:t>
            </w:r>
          </w:p>
          <w:p w14:paraId="3D7E8C37">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（注：方案具体内容应当针对本项目或适用于本项目特性的情形，内容分项描述完整，</w:t>
            </w:r>
            <w:r>
              <w:rPr>
                <w:rFonts w:hint="eastAsia" w:ascii="宋体" w:hAnsi="宋体" w:eastAsia="宋体" w:cs="宋体"/>
                <w:kern w:val="0"/>
                <w:sz w:val="21"/>
                <w:szCs w:val="21"/>
                <w:highlight w:val="none"/>
              </w:rPr>
              <w:t>不缺少关键节点，具体内容不得套用其他项目方案，方案具体内容前后一致、涉及的规范及标准应当符合相关规定及要求</w:t>
            </w:r>
            <w:r>
              <w:rPr>
                <w:rFonts w:hint="eastAsia" w:ascii="宋体" w:hAnsi="宋体" w:eastAsia="宋体" w:cs="宋体"/>
                <w:kern w:val="0"/>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38FA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78" w:type="dxa"/>
            <w:gridSpan w:val="4"/>
            <w:noWrap w:val="0"/>
            <w:vAlign w:val="center"/>
          </w:tcPr>
          <w:p w14:paraId="773C8B6F">
            <w:pPr>
              <w:keepNext w:val="0"/>
              <w:keepLines w:val="0"/>
              <w:pageBreakBefore w:val="0"/>
              <w:widowControl/>
              <w:kinsoku/>
              <w:wordWrap w:val="0"/>
              <w:overflowPunct/>
              <w:topLinePunct/>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四、资信及其他（6分）</w:t>
            </w:r>
          </w:p>
        </w:tc>
      </w:tr>
      <w:tr w14:paraId="3D0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45" w:type="dxa"/>
            <w:noWrap w:val="0"/>
            <w:vAlign w:val="center"/>
          </w:tcPr>
          <w:p w14:paraId="0B8F0D03">
            <w:pPr>
              <w:keepNext w:val="0"/>
              <w:keepLines w:val="0"/>
              <w:pageBreakBefore w:val="0"/>
              <w:widowControl/>
              <w:kinsoku/>
              <w:wordWrap w:val="0"/>
              <w:overflowPunct/>
              <w:topLinePunct/>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highlight w:val="none"/>
                <w:lang w:val="en-US" w:eastAsia="zh-CN"/>
              </w:rPr>
              <w:t>1</w:t>
            </w:r>
          </w:p>
        </w:tc>
        <w:tc>
          <w:tcPr>
            <w:tcW w:w="1274" w:type="dxa"/>
            <w:noWrap w:val="0"/>
            <w:vAlign w:val="center"/>
          </w:tcPr>
          <w:p w14:paraId="437E6895">
            <w:pPr>
              <w:keepNext w:val="0"/>
              <w:keepLines w:val="0"/>
              <w:pageBreakBefore w:val="0"/>
              <w:widowControl/>
              <w:suppressLineNumbers w:val="0"/>
              <w:kinsoku/>
              <w:overflowPunct/>
              <w:autoSpaceDE/>
              <w:autoSpaceDN/>
              <w:bidi w:val="0"/>
              <w:adjustRightInd/>
              <w:snapToGrid/>
              <w:spacing w:line="440" w:lineRule="exact"/>
              <w:jc w:val="center"/>
              <w:textAlignment w:val="auto"/>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业绩</w:t>
            </w:r>
          </w:p>
        </w:tc>
        <w:tc>
          <w:tcPr>
            <w:tcW w:w="1049" w:type="dxa"/>
            <w:noWrap w:val="0"/>
            <w:vAlign w:val="center"/>
          </w:tcPr>
          <w:p w14:paraId="200F381D">
            <w:pPr>
              <w:keepNext w:val="0"/>
              <w:keepLines w:val="0"/>
              <w:pageBreakBefore w:val="0"/>
              <w:widowControl/>
              <w:suppressLineNumbers w:val="0"/>
              <w:kinsoku/>
              <w:overflowPunct/>
              <w:autoSpaceDE/>
              <w:autoSpaceDN/>
              <w:bidi w:val="0"/>
              <w:adjustRightInd/>
              <w:snapToGrid/>
              <w:spacing w:line="44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6分</w:t>
            </w:r>
          </w:p>
        </w:tc>
        <w:tc>
          <w:tcPr>
            <w:tcW w:w="6210" w:type="dxa"/>
            <w:noWrap w:val="0"/>
            <w:vAlign w:val="center"/>
          </w:tcPr>
          <w:p w14:paraId="1044E7DC">
            <w:pPr>
              <w:keepNext w:val="0"/>
              <w:keepLines w:val="0"/>
              <w:pageBreakBefore w:val="0"/>
              <w:widowControl/>
              <w:suppressLineNumbers w:val="0"/>
              <w:kinsoku/>
              <w:overflowPunct/>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供应商具有2022年1月1日以来类似业绩，每提供一份得2分，最多得6分。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eastAsia="宋体" w:cs="宋体"/>
                <w:color w:val="auto"/>
                <w:sz w:val="21"/>
                <w:szCs w:val="21"/>
                <w:highlight w:val="none"/>
              </w:rPr>
              <w:t>提供合同原件扫描件</w:t>
            </w:r>
            <w:r>
              <w:rPr>
                <w:rFonts w:hint="eastAsia" w:ascii="宋体" w:hAnsi="宋体" w:eastAsia="宋体" w:cs="宋体"/>
                <w:i w:val="0"/>
                <w:iCs w:val="0"/>
                <w:color w:val="auto"/>
                <w:kern w:val="0"/>
                <w:sz w:val="21"/>
                <w:szCs w:val="21"/>
                <w:highlight w:val="none"/>
                <w:u w:val="none"/>
                <w:lang w:val="en-US" w:eastAsia="zh-CN" w:bidi="ar"/>
              </w:rPr>
              <w:t>，否则不得分。</w:t>
            </w:r>
          </w:p>
        </w:tc>
      </w:tr>
    </w:tbl>
    <w:p w14:paraId="2B6E5B54">
      <w:pPr>
        <w:pStyle w:val="15"/>
        <w:ind w:left="420" w:firstLine="480"/>
        <w:rPr>
          <w:rFonts w:hint="eastAsia" w:ascii="宋体" w:hAnsi="宋体" w:eastAsia="宋体" w:cs="宋体"/>
          <w:color w:val="000000" w:themeColor="text1"/>
          <w:highlight w:val="none"/>
          <w14:textFill>
            <w14:solidFill>
              <w14:schemeClr w14:val="tx1"/>
            </w14:solidFill>
          </w14:textFill>
        </w:rPr>
        <w:sectPr>
          <w:pgSz w:w="11900" w:h="16838"/>
          <w:pgMar w:top="1440" w:right="1800" w:bottom="1440" w:left="1800" w:header="850" w:footer="992" w:gutter="0"/>
          <w:cols w:space="720" w:num="1"/>
          <w:docGrid w:type="lines" w:linePitch="317" w:charSpace="0"/>
        </w:sectPr>
      </w:pPr>
    </w:p>
    <w:p w14:paraId="61B8B4D3">
      <w:pPr>
        <w:widowControl/>
        <w:wordWrap w:val="0"/>
        <w:spacing w:line="480" w:lineRule="auto"/>
        <w:jc w:val="center"/>
        <w:rPr>
          <w:rFonts w:hint="eastAsia" w:ascii="宋体" w:hAnsi="宋体" w:eastAsia="宋体" w:cs="宋体"/>
          <w:b/>
          <w:color w:val="000000" w:themeColor="text1"/>
          <w:kern w:val="0"/>
          <w:szCs w:val="21"/>
          <w:highlight w:val="none"/>
          <w14:textFill>
            <w14:solidFill>
              <w14:schemeClr w14:val="tx1"/>
            </w14:solidFill>
          </w14:textFill>
        </w:rPr>
      </w:pPr>
      <w:bookmarkStart w:id="30" w:name="4._政府采购促进中小企业发展扶持政策"/>
      <w:bookmarkEnd w:id="30"/>
      <w:r>
        <w:rPr>
          <w:rFonts w:hint="eastAsia" w:ascii="宋体" w:hAnsi="宋体" w:eastAsia="宋体" w:cs="宋体"/>
          <w:b/>
          <w:color w:val="000000" w:themeColor="text1"/>
          <w:kern w:val="0"/>
          <w:szCs w:val="21"/>
          <w:highlight w:val="none"/>
          <w14:textFill>
            <w14:solidFill>
              <w14:schemeClr w14:val="tx1"/>
            </w14:solidFill>
          </w14:textFill>
        </w:rPr>
        <w:t>八   合同授予</w:t>
      </w:r>
    </w:p>
    <w:p w14:paraId="2DD9A0BA">
      <w:pPr>
        <w:widowControl/>
        <w:spacing w:line="360" w:lineRule="auto"/>
        <w:ind w:firstLine="48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33.签订合同</w:t>
      </w:r>
    </w:p>
    <w:p w14:paraId="02D8D2D3">
      <w:pPr>
        <w:widowControl/>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33.1 采购人、</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在成交通知书发出</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2个工作日内，根据竞争性磋商文件确定的事项和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响应文件签订合同。双方所签订的合同不得对竞争性磋商文件和</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响应文件作实质性修改。</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逾期未签订合同，视为成交后无正当理由不与采购人签订合同，并按照有关法律规定承担相应的法律责任。采购人逾期不与</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签订合同的，按政府采购的有关规定处理。</w:t>
      </w:r>
    </w:p>
    <w:p w14:paraId="7FDA3EF1">
      <w:pPr>
        <w:widowControl/>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33.2 竞争性磋商文件、竞争性磋商文件的修改文件、</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的响应文件、补充或修改的文件及澄清或承诺文件等，均为双方签订合同的组成部分，并与合同一并作为本竞争性磋商文件所列采购项目的互补性法律文件，与合同具有同等法律效力。</w:t>
      </w:r>
    </w:p>
    <w:p w14:paraId="7A2CC330">
      <w:pPr>
        <w:widowControl/>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33.3 </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放弃成交、因不可抗力不能履行合同或者被查实存在影响成交结果的违法行为等情形，不符合成交条件的，采购人可以按照磋商小组提出的成交候选供应商名单排序依次确定其他成交候选供应商为</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，也可以重新组织采购活动。拒绝签订政府采购合同的</w:t>
      </w:r>
      <w:r>
        <w:rPr>
          <w:rFonts w:hint="eastAsia" w:ascii="宋体" w:hAnsi="宋体" w:eastAsia="宋体" w:cs="宋体"/>
          <w:color w:val="000000" w:themeColor="text1"/>
          <w:kern w:val="0"/>
          <w:szCs w:val="21"/>
          <w:highlight w:val="none"/>
          <w:lang w:eastAsia="zh-CN"/>
          <w14:textFill>
            <w14:solidFill>
              <w14:schemeClr w14:val="tx1"/>
            </w14:solidFill>
          </w14:textFill>
        </w:rPr>
        <w:t>成交供应商</w:t>
      </w:r>
      <w:r>
        <w:rPr>
          <w:rFonts w:hint="eastAsia" w:ascii="宋体" w:hAnsi="宋体" w:eastAsia="宋体" w:cs="宋体"/>
          <w:color w:val="000000" w:themeColor="text1"/>
          <w:kern w:val="0"/>
          <w:szCs w:val="21"/>
          <w:highlight w:val="none"/>
          <w14:textFill>
            <w14:solidFill>
              <w14:schemeClr w14:val="tx1"/>
            </w14:solidFill>
          </w14:textFill>
        </w:rPr>
        <w:t>不得参加对该项目重新开展的采购活动。</w:t>
      </w:r>
    </w:p>
    <w:p w14:paraId="74F25D1A">
      <w:pPr>
        <w:widowControl/>
        <w:spacing w:line="440" w:lineRule="exac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33.4 采购人应在采购合同签订之日起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在规定时间</w:t>
      </w:r>
      <w:r>
        <w:rPr>
          <w:rFonts w:hint="eastAsia" w:ascii="宋体" w:hAnsi="宋体" w:eastAsia="宋体" w:cs="宋体"/>
          <w:color w:val="000000" w:themeColor="text1"/>
          <w:kern w:val="0"/>
          <w:szCs w:val="21"/>
          <w:highlight w:val="none"/>
          <w14:textFill>
            <w14:solidFill>
              <w14:schemeClr w14:val="tx1"/>
            </w14:solidFill>
          </w14:textFill>
        </w:rPr>
        <w:t>内将合同副本报同级财政部门备案</w:t>
      </w:r>
      <w:r>
        <w:rPr>
          <w:rFonts w:hint="eastAsia" w:ascii="宋体" w:hAnsi="宋体" w:eastAsia="宋体" w:cs="宋体"/>
          <w:color w:val="000000" w:themeColor="text1"/>
          <w:kern w:val="0"/>
          <w:szCs w:val="21"/>
          <w:highlight w:val="none"/>
          <w:lang w:val="en-US" w:eastAsia="zh-CN"/>
          <w14:textFill>
            <w14:solidFill>
              <w14:schemeClr w14:val="tx1"/>
            </w14:solidFill>
          </w14:textFill>
        </w:rPr>
        <w:t>并公示</w:t>
      </w:r>
      <w:r>
        <w:rPr>
          <w:rFonts w:hint="eastAsia" w:ascii="宋体" w:hAnsi="宋体" w:eastAsia="宋体" w:cs="宋体"/>
          <w:color w:val="000000" w:themeColor="text1"/>
          <w:kern w:val="0"/>
          <w:szCs w:val="21"/>
          <w:highlight w:val="none"/>
          <w14:textFill>
            <w14:solidFill>
              <w14:schemeClr w14:val="tx1"/>
            </w14:solidFill>
          </w14:textFill>
        </w:rPr>
        <w:t>。</w:t>
      </w:r>
    </w:p>
    <w:p w14:paraId="3B258DCE">
      <w:pPr>
        <w:jc w:val="center"/>
        <w:rPr>
          <w:rStyle w:val="131"/>
          <w:rFonts w:hint="eastAsia" w:ascii="宋体" w:hAnsi="宋体" w:eastAsia="宋体" w:cs="宋体"/>
          <w:color w:val="000000" w:themeColor="text1"/>
          <w:highlight w:val="none"/>
          <w14:textFill>
            <w14:solidFill>
              <w14:schemeClr w14:val="tx1"/>
            </w14:solidFill>
          </w14:textFill>
        </w:rPr>
      </w:pPr>
    </w:p>
    <w:p w14:paraId="205A7078">
      <w:pPr>
        <w:jc w:val="center"/>
        <w:rPr>
          <w:rStyle w:val="131"/>
          <w:rFonts w:hint="eastAsia" w:ascii="宋体" w:hAnsi="宋体" w:eastAsia="宋体" w:cs="宋体"/>
          <w:color w:val="000000" w:themeColor="text1"/>
          <w:highlight w:val="none"/>
          <w14:textFill>
            <w14:solidFill>
              <w14:schemeClr w14:val="tx1"/>
            </w14:solidFill>
          </w14:textFill>
        </w:rPr>
      </w:pPr>
    </w:p>
    <w:p w14:paraId="43A5944E">
      <w:pPr>
        <w:jc w:val="center"/>
        <w:rPr>
          <w:rStyle w:val="131"/>
          <w:rFonts w:hint="eastAsia" w:ascii="宋体" w:hAnsi="宋体" w:eastAsia="宋体" w:cs="宋体"/>
          <w:color w:val="000000" w:themeColor="text1"/>
          <w:highlight w:val="none"/>
          <w14:textFill>
            <w14:solidFill>
              <w14:schemeClr w14:val="tx1"/>
            </w14:solidFill>
          </w14:textFill>
        </w:rPr>
      </w:pPr>
    </w:p>
    <w:p w14:paraId="43865641">
      <w:pPr>
        <w:jc w:val="center"/>
        <w:rPr>
          <w:rStyle w:val="131"/>
          <w:rFonts w:hint="eastAsia" w:ascii="宋体" w:hAnsi="宋体" w:eastAsia="宋体" w:cs="宋体"/>
          <w:color w:val="000000" w:themeColor="text1"/>
          <w:highlight w:val="none"/>
          <w14:textFill>
            <w14:solidFill>
              <w14:schemeClr w14:val="tx1"/>
            </w14:solidFill>
          </w14:textFill>
        </w:rPr>
      </w:pPr>
    </w:p>
    <w:p w14:paraId="2ECF34C1">
      <w:pPr>
        <w:jc w:val="center"/>
        <w:rPr>
          <w:rStyle w:val="131"/>
          <w:rFonts w:hint="eastAsia" w:ascii="宋体" w:hAnsi="宋体" w:eastAsia="宋体" w:cs="宋体"/>
          <w:color w:val="000000" w:themeColor="text1"/>
          <w:highlight w:val="none"/>
          <w14:textFill>
            <w14:solidFill>
              <w14:schemeClr w14:val="tx1"/>
            </w14:solidFill>
          </w14:textFill>
        </w:rPr>
      </w:pPr>
    </w:p>
    <w:p w14:paraId="52188C74">
      <w:pPr>
        <w:jc w:val="center"/>
        <w:rPr>
          <w:rStyle w:val="131"/>
          <w:rFonts w:hint="eastAsia" w:ascii="宋体" w:hAnsi="宋体" w:eastAsia="宋体" w:cs="宋体"/>
          <w:color w:val="000000" w:themeColor="text1"/>
          <w:highlight w:val="none"/>
          <w14:textFill>
            <w14:solidFill>
              <w14:schemeClr w14:val="tx1"/>
            </w14:solidFill>
          </w14:textFill>
        </w:rPr>
      </w:pPr>
    </w:p>
    <w:p w14:paraId="53F60951">
      <w:pPr>
        <w:pStyle w:val="26"/>
        <w:ind w:firstLine="442"/>
        <w:rPr>
          <w:rStyle w:val="131"/>
          <w:rFonts w:hint="eastAsia" w:ascii="宋体" w:hAnsi="宋体" w:eastAsia="宋体" w:cs="宋体"/>
          <w:color w:val="000000" w:themeColor="text1"/>
          <w:highlight w:val="none"/>
          <w14:textFill>
            <w14:solidFill>
              <w14:schemeClr w14:val="tx1"/>
            </w14:solidFill>
          </w14:textFill>
        </w:rPr>
      </w:pPr>
    </w:p>
    <w:p w14:paraId="4BF90DB8">
      <w:pPr>
        <w:pStyle w:val="15"/>
        <w:ind w:left="420" w:firstLine="883"/>
        <w:rPr>
          <w:rStyle w:val="131"/>
          <w:rFonts w:hint="eastAsia" w:ascii="宋体" w:hAnsi="宋体" w:eastAsia="宋体" w:cs="宋体"/>
          <w:color w:val="000000" w:themeColor="text1"/>
          <w:highlight w:val="none"/>
          <w14:textFill>
            <w14:solidFill>
              <w14:schemeClr w14:val="tx1"/>
            </w14:solidFill>
          </w14:textFill>
        </w:rPr>
      </w:pPr>
    </w:p>
    <w:p w14:paraId="60FA39EE">
      <w:pPr>
        <w:rPr>
          <w:rStyle w:val="131"/>
          <w:rFonts w:hint="eastAsia" w:ascii="宋体" w:hAnsi="宋体" w:eastAsia="宋体" w:cs="宋体"/>
          <w:color w:val="000000" w:themeColor="text1"/>
          <w:highlight w:val="none"/>
          <w14:textFill>
            <w14:solidFill>
              <w14:schemeClr w14:val="tx1"/>
            </w14:solidFill>
          </w14:textFill>
        </w:rPr>
      </w:pPr>
    </w:p>
    <w:p w14:paraId="3F80CC88">
      <w:pPr>
        <w:jc w:val="center"/>
        <w:rPr>
          <w:rStyle w:val="131"/>
          <w:rFonts w:hint="eastAsia" w:ascii="宋体" w:hAnsi="宋体" w:eastAsia="宋体" w:cs="宋体"/>
          <w:color w:val="000000" w:themeColor="text1"/>
          <w:highlight w:val="none"/>
          <w14:textFill>
            <w14:solidFill>
              <w14:schemeClr w14:val="tx1"/>
            </w14:solidFill>
          </w14:textFill>
        </w:rPr>
      </w:pPr>
    </w:p>
    <w:p w14:paraId="204AE3F5">
      <w:pPr>
        <w:numPr>
          <w:ilvl w:val="0"/>
          <w:numId w:val="6"/>
        </w:numPr>
        <w:jc w:val="center"/>
        <w:outlineLvl w:val="0"/>
        <w:rPr>
          <w:rStyle w:val="131"/>
          <w:rFonts w:hint="eastAsia" w:ascii="宋体" w:hAnsi="宋体" w:eastAsia="宋体" w:cs="宋体"/>
          <w:color w:val="000000" w:themeColor="text1"/>
          <w:sz w:val="32"/>
          <w:szCs w:val="32"/>
          <w:highlight w:val="none"/>
          <w14:textFill>
            <w14:solidFill>
              <w14:schemeClr w14:val="tx1"/>
            </w14:solidFill>
          </w14:textFill>
        </w:rPr>
        <w:sectPr>
          <w:headerReference r:id="rId13" w:type="first"/>
          <w:footerReference r:id="rId16" w:type="first"/>
          <w:headerReference r:id="rId12" w:type="default"/>
          <w:footerReference r:id="rId14" w:type="default"/>
          <w:footerReference r:id="rId15" w:type="even"/>
          <w:pgSz w:w="11906" w:h="16838"/>
          <w:pgMar w:top="1418" w:right="1134" w:bottom="1134" w:left="1701" w:header="851" w:footer="992" w:gutter="0"/>
          <w:pgNumType w:fmt="decimal"/>
          <w:cols w:space="720" w:num="1"/>
          <w:titlePg/>
          <w:docGrid w:type="lines" w:linePitch="312" w:charSpace="0"/>
        </w:sectPr>
      </w:pPr>
    </w:p>
    <w:p w14:paraId="6A1953B5">
      <w:pPr>
        <w:numPr>
          <w:ilvl w:val="0"/>
          <w:numId w:val="6"/>
        </w:numPr>
        <w:jc w:val="center"/>
        <w:outlineLvl w:val="0"/>
        <w:rPr>
          <w:rStyle w:val="131"/>
          <w:rFonts w:hint="eastAsia" w:ascii="宋体" w:hAnsi="宋体" w:eastAsia="宋体" w:cs="宋体"/>
          <w:color w:val="000000" w:themeColor="text1"/>
          <w:sz w:val="32"/>
          <w:szCs w:val="32"/>
          <w:highlight w:val="none"/>
          <w14:textFill>
            <w14:solidFill>
              <w14:schemeClr w14:val="tx1"/>
            </w14:solidFill>
          </w14:textFill>
        </w:rPr>
      </w:pPr>
      <w:r>
        <w:rPr>
          <w:rStyle w:val="131"/>
          <w:rFonts w:hint="eastAsia" w:ascii="宋体" w:hAnsi="宋体" w:eastAsia="宋体" w:cs="宋体"/>
          <w:color w:val="000000" w:themeColor="text1"/>
          <w:sz w:val="32"/>
          <w:szCs w:val="32"/>
          <w:highlight w:val="none"/>
          <w14:textFill>
            <w14:solidFill>
              <w14:schemeClr w14:val="tx1"/>
            </w14:solidFill>
          </w14:textFill>
        </w:rPr>
        <w:t xml:space="preserve"> 合同条款及格式</w:t>
      </w:r>
    </w:p>
    <w:p w14:paraId="2FB22613">
      <w:pPr>
        <w:tabs>
          <w:tab w:val="left" w:pos="420"/>
        </w:tabs>
        <w:spacing w:line="360" w:lineRule="auto"/>
        <w:jc w:val="center"/>
        <w:rPr>
          <w:rFonts w:hint="eastAsia" w:ascii="宋体" w:hAnsi="宋体" w:eastAsia="宋体" w:cs="宋体"/>
          <w:highlight w:val="none"/>
        </w:rPr>
      </w:pPr>
      <w:r>
        <w:rPr>
          <w:rFonts w:hint="eastAsia" w:ascii="宋体" w:hAnsi="宋体" w:eastAsia="宋体" w:cs="宋体"/>
          <w:b/>
          <w:sz w:val="24"/>
          <w:highlight w:val="none"/>
        </w:rPr>
        <w:t>（以具体签订为准）</w:t>
      </w:r>
    </w:p>
    <w:p w14:paraId="7A1750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项目名称：</w:t>
      </w:r>
    </w:p>
    <w:p w14:paraId="15F163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项目编号：</w:t>
      </w:r>
    </w:p>
    <w:p w14:paraId="7DE61D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甲方：（采购人）             </w:t>
      </w:r>
    </w:p>
    <w:p w14:paraId="152D23E2">
      <w:pPr>
        <w:keepNext w:val="0"/>
        <w:keepLines w:val="0"/>
        <w:pageBreakBefore w:val="0"/>
        <w:widowControl w:val="0"/>
        <w:kinsoku/>
        <w:wordWrap/>
        <w:overflowPunct/>
        <w:topLinePunct w:val="0"/>
        <w:autoSpaceDE/>
        <w:autoSpaceDN/>
        <w:bidi w:val="0"/>
        <w:adjustRightInd/>
        <w:snapToGrid/>
        <w:spacing w:line="440" w:lineRule="exact"/>
        <w:ind w:firstLine="315" w:firstLineChars="15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乙方：（</w:t>
      </w:r>
      <w:r>
        <w:rPr>
          <w:rFonts w:hint="eastAsia" w:ascii="宋体" w:hAnsi="宋体" w:eastAsia="宋体" w:cs="宋体"/>
          <w:kern w:val="0"/>
          <w:sz w:val="21"/>
          <w:szCs w:val="21"/>
          <w:highlight w:val="none"/>
          <w:lang w:val="en-US" w:eastAsia="zh-CN"/>
        </w:rPr>
        <w:t>成交供应商</w:t>
      </w:r>
      <w:r>
        <w:rPr>
          <w:rFonts w:hint="eastAsia" w:ascii="宋体" w:hAnsi="宋体" w:eastAsia="宋体" w:cs="宋体"/>
          <w:kern w:val="0"/>
          <w:sz w:val="21"/>
          <w:szCs w:val="21"/>
          <w:highlight w:val="none"/>
        </w:rPr>
        <w:t>）</w:t>
      </w:r>
    </w:p>
    <w:p w14:paraId="5531D09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甲、乙双方根据《中华人民共和国政府采购法》、《中华人民共和国民法典》等法律法规的规定，按照</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lang w:val="en-US" w:eastAsia="zh-CN"/>
        </w:rPr>
        <w:t>项目</w:t>
      </w:r>
      <w:r>
        <w:rPr>
          <w:rFonts w:hint="eastAsia" w:ascii="宋体" w:hAnsi="宋体" w:eastAsia="宋体" w:cs="宋体"/>
          <w:kern w:val="0"/>
          <w:sz w:val="21"/>
          <w:szCs w:val="21"/>
          <w:highlight w:val="none"/>
        </w:rPr>
        <w:t>（项目编号</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结果签订本合同。</w:t>
      </w:r>
    </w:p>
    <w:p w14:paraId="712050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一、买卖标的物</w:t>
      </w:r>
    </w:p>
    <w:tbl>
      <w:tblPr>
        <w:tblStyle w:val="27"/>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050"/>
        <w:gridCol w:w="870"/>
        <w:gridCol w:w="1246"/>
        <w:gridCol w:w="731"/>
        <w:gridCol w:w="633"/>
        <w:gridCol w:w="1140"/>
        <w:gridCol w:w="1147"/>
        <w:gridCol w:w="887"/>
        <w:gridCol w:w="887"/>
      </w:tblGrid>
      <w:tr w14:paraId="2BA67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jc w:val="center"/>
        </w:trPr>
        <w:tc>
          <w:tcPr>
            <w:tcW w:w="908" w:type="dxa"/>
            <w:noWrap/>
            <w:vAlign w:val="center"/>
          </w:tcPr>
          <w:p w14:paraId="525F64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品名</w:t>
            </w:r>
          </w:p>
        </w:tc>
        <w:tc>
          <w:tcPr>
            <w:tcW w:w="1050" w:type="dxa"/>
            <w:tcBorders>
              <w:right w:val="single" w:color="auto" w:sz="4" w:space="0"/>
            </w:tcBorders>
            <w:noWrap/>
            <w:vAlign w:val="center"/>
          </w:tcPr>
          <w:p w14:paraId="0A12D8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品牌</w:t>
            </w:r>
          </w:p>
        </w:tc>
        <w:tc>
          <w:tcPr>
            <w:tcW w:w="870" w:type="dxa"/>
            <w:tcBorders>
              <w:left w:val="single" w:color="auto" w:sz="4" w:space="0"/>
            </w:tcBorders>
            <w:noWrap/>
            <w:vAlign w:val="center"/>
          </w:tcPr>
          <w:p w14:paraId="0F27D6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产地</w:t>
            </w:r>
          </w:p>
        </w:tc>
        <w:tc>
          <w:tcPr>
            <w:tcW w:w="1246" w:type="dxa"/>
            <w:noWrap/>
            <w:vAlign w:val="center"/>
          </w:tcPr>
          <w:p w14:paraId="0ECA9D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规格型号</w:t>
            </w:r>
          </w:p>
        </w:tc>
        <w:tc>
          <w:tcPr>
            <w:tcW w:w="731" w:type="dxa"/>
            <w:noWrap/>
            <w:vAlign w:val="center"/>
          </w:tcPr>
          <w:p w14:paraId="4EC7F7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w:t>
            </w:r>
          </w:p>
        </w:tc>
        <w:tc>
          <w:tcPr>
            <w:tcW w:w="633" w:type="dxa"/>
            <w:noWrap/>
            <w:vAlign w:val="center"/>
          </w:tcPr>
          <w:p w14:paraId="12369B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1140" w:type="dxa"/>
            <w:noWrap/>
            <w:vAlign w:val="center"/>
          </w:tcPr>
          <w:p w14:paraId="26A41A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单价</w:t>
            </w:r>
          </w:p>
          <w:p w14:paraId="738EC1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1147" w:type="dxa"/>
            <w:noWrap/>
            <w:vAlign w:val="center"/>
          </w:tcPr>
          <w:p w14:paraId="019206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总价</w:t>
            </w:r>
          </w:p>
          <w:p w14:paraId="6242E0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（万元）</w:t>
            </w:r>
          </w:p>
        </w:tc>
        <w:tc>
          <w:tcPr>
            <w:tcW w:w="887" w:type="dxa"/>
            <w:noWrap/>
            <w:vAlign w:val="center"/>
          </w:tcPr>
          <w:p w14:paraId="20B8C5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信息接口</w:t>
            </w:r>
          </w:p>
        </w:tc>
        <w:tc>
          <w:tcPr>
            <w:tcW w:w="887" w:type="dxa"/>
            <w:noWrap/>
            <w:vAlign w:val="center"/>
          </w:tcPr>
          <w:p w14:paraId="3BE6A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使用科室</w:t>
            </w:r>
          </w:p>
        </w:tc>
      </w:tr>
      <w:tr w14:paraId="7812E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908" w:type="dxa"/>
            <w:noWrap/>
            <w:vAlign w:val="center"/>
          </w:tcPr>
          <w:p w14:paraId="272305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1050" w:type="dxa"/>
            <w:tcBorders>
              <w:right w:val="single" w:color="auto" w:sz="4" w:space="0"/>
            </w:tcBorders>
            <w:noWrap/>
            <w:vAlign w:val="center"/>
          </w:tcPr>
          <w:p w14:paraId="0705AF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870" w:type="dxa"/>
            <w:tcBorders>
              <w:left w:val="single" w:color="auto" w:sz="4" w:space="0"/>
            </w:tcBorders>
            <w:noWrap/>
            <w:vAlign w:val="center"/>
          </w:tcPr>
          <w:p w14:paraId="7CA211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1246" w:type="dxa"/>
            <w:noWrap/>
            <w:vAlign w:val="center"/>
          </w:tcPr>
          <w:p w14:paraId="7AF145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731" w:type="dxa"/>
            <w:noWrap/>
            <w:vAlign w:val="center"/>
          </w:tcPr>
          <w:p w14:paraId="3DD465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633" w:type="dxa"/>
            <w:noWrap/>
            <w:vAlign w:val="center"/>
          </w:tcPr>
          <w:p w14:paraId="200BBA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1140" w:type="dxa"/>
            <w:noWrap/>
            <w:vAlign w:val="center"/>
          </w:tcPr>
          <w:p w14:paraId="00E0CF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1147" w:type="dxa"/>
            <w:noWrap/>
            <w:vAlign w:val="center"/>
          </w:tcPr>
          <w:p w14:paraId="788DCA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887" w:type="dxa"/>
            <w:noWrap/>
            <w:vAlign w:val="top"/>
          </w:tcPr>
          <w:p w14:paraId="77F829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c>
          <w:tcPr>
            <w:tcW w:w="887" w:type="dxa"/>
            <w:noWrap/>
            <w:vAlign w:val="top"/>
          </w:tcPr>
          <w:p w14:paraId="4657E9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p>
        </w:tc>
      </w:tr>
    </w:tbl>
    <w:p w14:paraId="3A62EE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二、合同价款</w:t>
      </w:r>
    </w:p>
    <w:p w14:paraId="01B9AE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本合同标的物总价款为人民币大写：</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，即RMB￥</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元；该价款已包括标的物设计、材料、制造、运输、安装、调试、培训、验收合格交付使用之前及保修期内保修服务与备用物件等所有其他有关各项的含税费用。本合同履行期间该合同总价款不变，甲方无须向乙方支付本合同约定之外的任何其他费用。</w:t>
      </w:r>
    </w:p>
    <w:p w14:paraId="29BF8E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三、质量标准及相关质量问题的处理</w:t>
      </w:r>
    </w:p>
    <w:p w14:paraId="31449D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1、乙方提供的标的物必须是合格出厂的全新（含零部件、配件等）产品，全部外观表面无划伤、无碰撞痕迹，产品所有权及自身涉及的各项知识产权权属清楚，不得存在侵害他人知识产权和其他权益的情形。</w:t>
      </w:r>
    </w:p>
    <w:p w14:paraId="6AB227E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2、标的物出厂时必须符合或优于国家最新标准（没有国家标准时，按照行业最新标准），同时符合本项目</w:t>
      </w: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文件确定的各项质量要求和技术指标及出厂标准。</w:t>
      </w:r>
    </w:p>
    <w:p w14:paraId="467BED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3、标的物的制造质量存在或出现问题时，乙方必须负责三包（包修、包换、包退），费用由乙方负担，甲方有权亲自派员或委托第三方到乙方生产或仓储现场查验标的物质量或生产进度。</w:t>
      </w:r>
    </w:p>
    <w:p w14:paraId="13CF80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4、标的物交付后由于甲方保管不当造成的质量问题，乙方应负责修理，费用由甲方负担。</w:t>
      </w:r>
    </w:p>
    <w:p w14:paraId="5DFBD8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四、交货、安装及验收</w:t>
      </w:r>
    </w:p>
    <w:p w14:paraId="4EECD7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1、乙方交货期限为合同签订生效后的</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日内，交货到甲方指定地点，并由乙方随即在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日内全部完成安装调试、验收合格，并交付使用（如由于甲方的原因造成合同延迟签订或验收的，交付使用时间顺延）。乙方交货验收时必须要提供该产品的法定质检部门从同类产品中检查合同的检测报告;在安装过程中出现的任何安全事故由乙方负责解决并承担费用，与甲方无关。</w:t>
      </w:r>
    </w:p>
    <w:p w14:paraId="5E5BE7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2、验收由甲方组织，乙方配合进行：</w:t>
      </w:r>
    </w:p>
    <w:p w14:paraId="31A8FA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（1）标的物在乙方通知安装调试完毕后进行初步验收；初步验收合格后，开始进入</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天试用期；试用期间发生重大质量问题，修复后试用期相应顺延；试用期结束后</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日内完成最终验收。</w:t>
      </w:r>
    </w:p>
    <w:p w14:paraId="081E35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（2）验收标准：按国家有关规定以及甲方</w:t>
      </w: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文件的质量要求和技术指标、乙方的</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文件及承诺及合同约定标准进行验收；甲乙双方如对质量要求和技术指标的约定标准有相互抵触或异议的事项，由甲方在</w:t>
      </w:r>
      <w:r>
        <w:rPr>
          <w:rFonts w:hint="eastAsia" w:ascii="宋体" w:hAnsi="宋体" w:eastAsia="宋体" w:cs="宋体"/>
          <w:kern w:val="0"/>
          <w:sz w:val="21"/>
          <w:szCs w:val="21"/>
          <w:highlight w:val="none"/>
          <w:lang w:val="en-US" w:eastAsia="zh-CN"/>
        </w:rPr>
        <w:t>磋商</w:t>
      </w:r>
      <w:r>
        <w:rPr>
          <w:rFonts w:hint="eastAsia" w:ascii="宋体" w:hAnsi="宋体" w:eastAsia="宋体" w:cs="宋体"/>
          <w:kern w:val="0"/>
          <w:sz w:val="21"/>
          <w:szCs w:val="21"/>
          <w:highlight w:val="none"/>
        </w:rPr>
        <w:t>文件中按质量要求和技术指标比较优胜的原则确定标准进行验收。</w:t>
      </w:r>
    </w:p>
    <w:p w14:paraId="5F989A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验收时如发现所交付的标的物有短装、次品、损坏或其它不符合标准及本合同规定之情形者，验收方应做出详尽的现场记录，或由双方签署备忘录。乙方应在7日内，按照甲方的要求，采取补足、更换或退货等处理措施，因此产生后果及时间延误均由乙方承担一切损失和费用。</w:t>
      </w:r>
    </w:p>
    <w:p w14:paraId="5A377A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（4）该设备需要与医院信息系统接口的乙方免费对接，安装调试完成由信息科签字确认。</w:t>
      </w:r>
    </w:p>
    <w:p w14:paraId="151E1E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（5）如质量验收合格，双方签署质量验收手续。</w:t>
      </w:r>
    </w:p>
    <w:p w14:paraId="167C32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3、标的物安装完成后，甲方无故不进行验收工作并已使用标的物的，视同已安装调试完成并验收合格。</w:t>
      </w:r>
    </w:p>
    <w:p w14:paraId="2A2573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4、乙方应将所提供标的物的装箱清单、配件、随机工具、用户使用手册、原厂保修卡、维修手册、维护手册、软件备份、故障代码表、零部件、维修密码等维护维修材料和信息资料交付给甲方；</w:t>
      </w:r>
      <w:bookmarkStart w:id="31" w:name="_Hlk22072260"/>
      <w:r>
        <w:rPr>
          <w:rFonts w:hint="eastAsia" w:ascii="宋体" w:hAnsi="宋体" w:eastAsia="宋体" w:cs="宋体"/>
          <w:kern w:val="0"/>
          <w:sz w:val="21"/>
          <w:szCs w:val="21"/>
          <w:highlight w:val="none"/>
        </w:rPr>
        <w:t>乙方不能完整交付标的物及本款规定的单证和工具的，</w:t>
      </w:r>
      <w:bookmarkEnd w:id="31"/>
      <w:r>
        <w:rPr>
          <w:rFonts w:hint="eastAsia" w:ascii="宋体" w:hAnsi="宋体" w:eastAsia="宋体" w:cs="宋体"/>
          <w:kern w:val="0"/>
          <w:sz w:val="21"/>
          <w:szCs w:val="21"/>
          <w:highlight w:val="none"/>
        </w:rPr>
        <w:t>必须负责补齐，否则视为未按合同约定交货。</w:t>
      </w:r>
    </w:p>
    <w:p w14:paraId="2A93FE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5、如标的物经乙方二次维修仍不能达到合同约定的质量标准，甲方有权退货，并视作乙方不能交付标的物而须支付违约赔偿金给甲方，甲方还可以依法追究乙方的相关法律责任。</w:t>
      </w:r>
    </w:p>
    <w:p w14:paraId="46F828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6、其他未尽事宜应严格按照《中华人民共和国政府采购法》及相关法律法规规定的要求进行。</w:t>
      </w:r>
    </w:p>
    <w:p w14:paraId="186278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五、付款方式</w:t>
      </w:r>
    </w:p>
    <w:p w14:paraId="4CB03D8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六、售后服务</w:t>
      </w:r>
    </w:p>
    <w:p w14:paraId="5441C6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1、质保期为验收合格后</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年（含零配件及工时费），终身维护，质保时间按甲方验收合格之日起计算。质保期内该设备应保证大于95%（含）的开机率，如达不到要求，每少于一天质保期顺延7天，如造成严重损失需赔偿用户经济损失或换货或退货。</w:t>
      </w:r>
    </w:p>
    <w:p w14:paraId="4B59CB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2、质保期内应当为</w:t>
      </w:r>
      <w:r>
        <w:rPr>
          <w:rFonts w:hint="eastAsia" w:ascii="宋体" w:hAnsi="宋体" w:eastAsia="宋体" w:cs="宋体"/>
          <w:kern w:val="0"/>
          <w:sz w:val="21"/>
          <w:szCs w:val="21"/>
          <w:highlight w:val="none"/>
          <w:lang w:val="en-US" w:eastAsia="zh-CN"/>
        </w:rPr>
        <w:t>甲方</w:t>
      </w:r>
      <w:r>
        <w:rPr>
          <w:rFonts w:hint="eastAsia" w:ascii="宋体" w:hAnsi="宋体" w:eastAsia="宋体" w:cs="宋体"/>
          <w:kern w:val="0"/>
          <w:sz w:val="21"/>
          <w:szCs w:val="21"/>
          <w:highlight w:val="none"/>
        </w:rPr>
        <w:t>提供以下技术支持和服务：</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现场响应：</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应保证在12小时内对</w:t>
      </w:r>
      <w:r>
        <w:rPr>
          <w:rFonts w:hint="eastAsia" w:ascii="宋体" w:hAnsi="宋体" w:eastAsia="宋体" w:cs="宋体"/>
          <w:kern w:val="0"/>
          <w:sz w:val="21"/>
          <w:szCs w:val="21"/>
          <w:highlight w:val="none"/>
          <w:lang w:val="en-US" w:eastAsia="zh-CN"/>
        </w:rPr>
        <w:t>甲方</w:t>
      </w:r>
      <w:r>
        <w:rPr>
          <w:rFonts w:hint="eastAsia" w:ascii="宋体" w:hAnsi="宋体" w:eastAsia="宋体" w:cs="宋体"/>
          <w:kern w:val="0"/>
          <w:sz w:val="21"/>
          <w:szCs w:val="21"/>
          <w:highlight w:val="none"/>
        </w:rPr>
        <w:t>提出的问题或故障予以响应及处理。可提供备用设备或核心部件应急使用。</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应每季度对该设备进行保养不少于一次,并出具保养报告。</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技术升级，如果制造商的产品技术升级，</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应及时通知</w:t>
      </w:r>
      <w:r>
        <w:rPr>
          <w:rFonts w:hint="eastAsia" w:ascii="宋体" w:hAnsi="宋体" w:eastAsia="宋体" w:cs="宋体"/>
          <w:kern w:val="0"/>
          <w:sz w:val="21"/>
          <w:szCs w:val="21"/>
          <w:highlight w:val="none"/>
          <w:lang w:val="en-US" w:eastAsia="zh-CN"/>
        </w:rPr>
        <w:t>甲方</w:t>
      </w:r>
      <w:r>
        <w:rPr>
          <w:rFonts w:hint="eastAsia" w:ascii="宋体" w:hAnsi="宋体" w:eastAsia="宋体" w:cs="宋体"/>
          <w:kern w:val="0"/>
          <w:sz w:val="21"/>
          <w:szCs w:val="21"/>
          <w:highlight w:val="none"/>
        </w:rPr>
        <w:t>，如</w:t>
      </w:r>
      <w:r>
        <w:rPr>
          <w:rFonts w:hint="eastAsia" w:ascii="宋体" w:hAnsi="宋体" w:eastAsia="宋体" w:cs="宋体"/>
          <w:kern w:val="0"/>
          <w:sz w:val="21"/>
          <w:szCs w:val="21"/>
          <w:highlight w:val="none"/>
          <w:lang w:val="en-US" w:eastAsia="zh-CN"/>
        </w:rPr>
        <w:t>甲方</w:t>
      </w:r>
      <w:r>
        <w:rPr>
          <w:rFonts w:hint="eastAsia" w:ascii="宋体" w:hAnsi="宋体" w:eastAsia="宋体" w:cs="宋体"/>
          <w:kern w:val="0"/>
          <w:sz w:val="21"/>
          <w:szCs w:val="21"/>
          <w:highlight w:val="none"/>
        </w:rPr>
        <w:t>有相应要求，</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和制造商应对</w:t>
      </w:r>
      <w:r>
        <w:rPr>
          <w:rFonts w:hint="eastAsia" w:ascii="宋体" w:hAnsi="宋体" w:eastAsia="宋体" w:cs="宋体"/>
          <w:kern w:val="0"/>
          <w:sz w:val="21"/>
          <w:szCs w:val="21"/>
          <w:highlight w:val="none"/>
          <w:lang w:val="en-US" w:eastAsia="zh-CN"/>
        </w:rPr>
        <w:t>甲方</w:t>
      </w:r>
      <w:r>
        <w:rPr>
          <w:rFonts w:hint="eastAsia" w:ascii="宋体" w:hAnsi="宋体" w:eastAsia="宋体" w:cs="宋体"/>
          <w:kern w:val="0"/>
          <w:sz w:val="21"/>
          <w:szCs w:val="21"/>
          <w:highlight w:val="none"/>
        </w:rPr>
        <w:t>购买的产品进行免费升级服务。</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交付设备时，应按照《国家食品药品监督管理总局》第18号令第17条的要求提供相应的维护手册、维修手册、软件备份、故障代码表、备件清单、零部件、维修密码等维护维修必需的材料和信息。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除火灾、洪水、地震等天灾外，在保修期内，由于货物故障所产生的所有费用均由</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负责。</w:t>
      </w:r>
    </w:p>
    <w:p w14:paraId="2F0EDA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2、乙方应派专业技术员在项目现场对甲方科室操作使用人员、设备维修人员进行培训、指导，在使用一段时间后可根据甲方的要求另行安排培训时间。</w:t>
      </w:r>
    </w:p>
    <w:p w14:paraId="5B844A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3、乙方须指派专人负责与甲方联系售后服务事宜。</w:t>
      </w:r>
    </w:p>
    <w:p w14:paraId="60E13F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七、保密责任：</w:t>
      </w:r>
    </w:p>
    <w:p w14:paraId="2FEA35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合同履行期间，乙方应当对甲方提供的项目安装、实施等内容开展工作后所产生的相关文档、该设备与医院信息系统接口涉及到的任何信息数据负有保密责任，不得提供给第三方。如有泄露，造成的所有法律责任及经济赔偿由乙方负责。</w:t>
      </w:r>
    </w:p>
    <w:p w14:paraId="0E9EE5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双方对保密信息应当承担的保密责任长期有效。 </w:t>
      </w:r>
    </w:p>
    <w:p w14:paraId="4F4FFD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八、违约责任</w:t>
      </w:r>
    </w:p>
    <w:p w14:paraId="09C165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1、甲方的违约责任</w:t>
      </w:r>
    </w:p>
    <w:p w14:paraId="241063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甲方无正当理由拒收标的物的，</w:t>
      </w:r>
      <w:bookmarkStart w:id="32" w:name="_Hlk22072516"/>
      <w:r>
        <w:rPr>
          <w:rFonts w:hint="eastAsia" w:ascii="宋体" w:hAnsi="宋体" w:eastAsia="宋体" w:cs="宋体"/>
          <w:kern w:val="0"/>
          <w:sz w:val="21"/>
          <w:szCs w:val="21"/>
          <w:highlight w:val="none"/>
        </w:rPr>
        <w:t xml:space="preserve">应向乙方支付合同总价的百分之三的违约金。 </w:t>
      </w:r>
    </w:p>
    <w:bookmarkEnd w:id="32"/>
    <w:p w14:paraId="07FCE4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2、乙方违约责任</w:t>
      </w:r>
    </w:p>
    <w:p w14:paraId="0D8A20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（1）乙方交付的标的物质量不符合合同约定的，乙方应向甲方支付合同总价的百分之三的违约金，并须在合同约定的交货时间内更换合格的标的物给甲方，否则，视作乙方不能交付标的物而违约，</w:t>
      </w:r>
      <w:bookmarkStart w:id="33" w:name="_Hlk22072804"/>
      <w:r>
        <w:rPr>
          <w:rFonts w:hint="eastAsia" w:ascii="宋体" w:hAnsi="宋体" w:eastAsia="宋体" w:cs="宋体"/>
          <w:kern w:val="0"/>
          <w:sz w:val="21"/>
          <w:szCs w:val="21"/>
          <w:highlight w:val="none"/>
        </w:rPr>
        <w:t>按本条第（2）项规定由乙方向甲方支付违约金和赔偿金。</w:t>
      </w:r>
      <w:bookmarkEnd w:id="33"/>
    </w:p>
    <w:p w14:paraId="6E1FA72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（2）乙方不能交付标的物或逾期交付标的物而违约的，除应及时交足标的物外，应向甲方支付逾期交货部分货款总额的万分之五/日的违约金；逾期交货超过 七 天，甲方有权解除合同，乙方则应按合同总价的百分之三的款额向甲方支付赔偿金，并须全额退还甲方已经付给乙方的货款及自甲方付款至退款期间的利息（按同期银行贷款利率）。</w:t>
      </w:r>
    </w:p>
    <w:p w14:paraId="6665CA8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乙方标的物经甲方送交具有法定资格条件的国家食品药品监督管理局、质量技术监督机构检测后，如检测结果认定标的物质量不符合本合同规定标准的，则视为乙方没有按时交货而违约，乙方须在3天内无条件更换合格标的物，如逾期不能更换合格的标的物，甲方有权终止本合同，乙方应另付合同总价的百分之三的赔偿金给甲方，并须全额退还甲方已经付给乙方的货款及自甲方付款至退款期间的利息（按同期银行贷款利率）。</w:t>
      </w:r>
    </w:p>
    <w:p w14:paraId="78436B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（4）乙方保证本合同标的物的权利无瑕疵，包括标的物所有权及知识产权等权利无瑕疵。如任何第三方经法院（或仲裁机构）裁决有权对上述标的物主张权利或国家机关依法对</w:t>
      </w:r>
    </w:p>
    <w:p w14:paraId="139F8F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标的物进行没收查处的，乙方除应向甲方返还已收款项外，还应另按合同总价的百分之五向甲方支付违约金并赔偿因此给甲方造成的一切损失。</w:t>
      </w:r>
    </w:p>
    <w:p w14:paraId="1F10DF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（5）乙方偿付的违约金不足以弥补甲方损失的，还应按甲方损失尚未弥补的部分，支付赔偿金给甲方。</w:t>
      </w:r>
    </w:p>
    <w:p w14:paraId="1455C9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九、争议解决方法</w:t>
      </w:r>
    </w:p>
    <w:p w14:paraId="00FD42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1、因标的物的质量发生争议，由甲方委托法定的质量技术监督部门或监督部门指定的质量鉴定机构进行质量鉴定或检测，鉴定费由乙方承担。</w:t>
      </w:r>
    </w:p>
    <w:p w14:paraId="251C56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2、因本合同发生争议，双方可协商或由有关部门调解解决；协商或调解不成的，应向甲方住所地有管辖权的人民法院法院提起诉讼。</w:t>
      </w:r>
    </w:p>
    <w:p w14:paraId="08001D1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十、本合同未尽事宜，双方可签订补充协议。合同附件、</w:t>
      </w:r>
      <w:r>
        <w:rPr>
          <w:rFonts w:hint="eastAsia" w:ascii="宋体" w:hAnsi="宋体" w:eastAsia="宋体" w:cs="宋体"/>
          <w:color w:val="000000"/>
          <w:sz w:val="21"/>
          <w:szCs w:val="21"/>
          <w:highlight w:val="none"/>
          <w:lang w:val="en-US" w:eastAsia="zh-CN"/>
        </w:rPr>
        <w:t>磋商</w:t>
      </w:r>
      <w:r>
        <w:rPr>
          <w:rFonts w:hint="eastAsia" w:ascii="宋体" w:hAnsi="宋体" w:eastAsia="宋体" w:cs="宋体"/>
          <w:kern w:val="0"/>
          <w:sz w:val="21"/>
          <w:szCs w:val="21"/>
          <w:highlight w:val="none"/>
        </w:rPr>
        <w:t>文件、</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通知书、</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文件及相关澄清确认函、补充协议、备忘录和</w:t>
      </w:r>
      <w:r>
        <w:rPr>
          <w:rFonts w:hint="eastAsia" w:ascii="宋体" w:hAnsi="宋体" w:eastAsia="宋体" w:cs="宋体"/>
          <w:kern w:val="0"/>
          <w:sz w:val="21"/>
          <w:szCs w:val="21"/>
          <w:highlight w:val="none"/>
          <w:lang w:val="en-US" w:eastAsia="zh-CN"/>
        </w:rPr>
        <w:t>乙方</w:t>
      </w:r>
      <w:r>
        <w:rPr>
          <w:rFonts w:hint="eastAsia" w:ascii="宋体" w:hAnsi="宋体" w:eastAsia="宋体" w:cs="宋体"/>
          <w:kern w:val="0"/>
          <w:sz w:val="21"/>
          <w:szCs w:val="21"/>
          <w:highlight w:val="none"/>
        </w:rPr>
        <w:t>所做的其他承诺等均为合同不可分割的一部分，与本合同具有同等法律效力。</w:t>
      </w:r>
    </w:p>
    <w:p w14:paraId="384850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十一、附件：设备配置清单（同时有</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耗材产品的，一并附耗材清单）。</w:t>
      </w:r>
    </w:p>
    <w:p w14:paraId="7644660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十二、进口产品交货时必须提供报关单及商检证明。</w:t>
      </w:r>
    </w:p>
    <w:p w14:paraId="75B28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十三、计量产品交货时必须提供计量检验报告。</w:t>
      </w:r>
    </w:p>
    <w:p w14:paraId="06E3FA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十四、合同签定地:甲方所在地</w:t>
      </w:r>
    </w:p>
    <w:p w14:paraId="24764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十五、其他</w:t>
      </w:r>
    </w:p>
    <w:p w14:paraId="4357B88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1、合同未尽事宜，由双方另行协商订立补充合同。</w:t>
      </w:r>
    </w:p>
    <w:p w14:paraId="1C5FA3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2、本合同一式五份，自双方签章之日起生效。甲方四份，乙方一份。</w:t>
      </w:r>
    </w:p>
    <w:p w14:paraId="7CCF0177">
      <w:pPr>
        <w:spacing w:line="500" w:lineRule="exact"/>
        <w:ind w:firstLine="420" w:firstLineChars="200"/>
        <w:rPr>
          <w:rFonts w:hint="eastAsia" w:ascii="宋体" w:hAnsi="宋体" w:eastAsia="宋体" w:cs="宋体"/>
          <w:kern w:val="0"/>
          <w:sz w:val="21"/>
          <w:szCs w:val="21"/>
          <w:highlight w:val="none"/>
        </w:rPr>
      </w:pPr>
    </w:p>
    <w:p w14:paraId="799FEE87">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    方：（盖章）                乙    方：（盖章）</w:t>
      </w:r>
    </w:p>
    <w:p w14:paraId="63A079AE">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                        法定代表人</w:t>
      </w:r>
    </w:p>
    <w:p w14:paraId="592F5B2E">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（授权代表）：                      （负责人）：</w:t>
      </w:r>
    </w:p>
    <w:p w14:paraId="7154C6C6">
      <w:pPr>
        <w:spacing w:line="500" w:lineRule="exact"/>
        <w:ind w:firstLine="420" w:firstLineChars="200"/>
        <w:rPr>
          <w:rFonts w:hint="eastAsia" w:ascii="宋体" w:hAnsi="宋体" w:eastAsia="宋体" w:cs="宋体"/>
          <w:kern w:val="0"/>
          <w:sz w:val="21"/>
          <w:szCs w:val="21"/>
          <w:highlight w:val="none"/>
        </w:rPr>
      </w:pPr>
    </w:p>
    <w:p w14:paraId="76571013">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合同审核人（签字）：               授权代表：</w:t>
      </w:r>
    </w:p>
    <w:p w14:paraId="1393C070">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地    址：</w:t>
      </w:r>
    </w:p>
    <w:p w14:paraId="710FAEB5">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开户银行：</w:t>
      </w:r>
    </w:p>
    <w:p w14:paraId="682948D2">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账    号：</w:t>
      </w:r>
    </w:p>
    <w:p w14:paraId="02F0C93C">
      <w:pPr>
        <w:spacing w:line="500" w:lineRule="exact"/>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电    话：               </w:t>
      </w:r>
    </w:p>
    <w:p w14:paraId="4BCEA970">
      <w:pPr>
        <w:widowControl/>
        <w:spacing w:line="500" w:lineRule="exact"/>
        <w:jc w:val="both"/>
        <w:outlineLvl w:val="0"/>
        <w:rPr>
          <w:rFonts w:hint="eastAsia" w:ascii="宋体" w:hAnsi="宋体" w:eastAsia="宋体" w:cs="宋体"/>
          <w:color w:val="auto"/>
          <w:kern w:val="0"/>
          <w:sz w:val="21"/>
          <w:szCs w:val="21"/>
          <w:highlight w:val="none"/>
        </w:rPr>
        <w:sectPr>
          <w:pgSz w:w="11906" w:h="16838"/>
          <w:pgMar w:top="1440" w:right="1800" w:bottom="1440" w:left="1800" w:header="851" w:footer="992" w:gutter="0"/>
          <w:pgNumType w:fmt="decimal"/>
          <w:cols w:space="720" w:num="1"/>
          <w:titlePg/>
          <w:rtlGutter w:val="0"/>
          <w:docGrid w:type="lines" w:linePitch="312" w:charSpace="0"/>
        </w:sectPr>
      </w:pPr>
      <w:r>
        <w:rPr>
          <w:rFonts w:hint="eastAsia" w:ascii="宋体" w:hAnsi="宋体" w:eastAsia="宋体" w:cs="宋体"/>
          <w:kern w:val="0"/>
          <w:sz w:val="21"/>
          <w:szCs w:val="21"/>
          <w:highlight w:val="none"/>
        </w:rPr>
        <w:t xml:space="preserve">年   月   日                      </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年    月   日</w:t>
      </w:r>
    </w:p>
    <w:p w14:paraId="473CB1B3">
      <w:pPr>
        <w:ind w:firstLine="630" w:firstLineChars="300"/>
        <w:rPr>
          <w:rFonts w:hint="eastAsia" w:ascii="宋体" w:hAnsi="宋体" w:eastAsia="宋体" w:cs="宋体"/>
          <w:kern w:val="0"/>
          <w:szCs w:val="21"/>
          <w:highlight w:val="none"/>
        </w:rPr>
      </w:pPr>
    </w:p>
    <w:p w14:paraId="5577F377">
      <w:pPr>
        <w:jc w:val="center"/>
        <w:outlineLvl w:val="0"/>
        <w:rPr>
          <w:rStyle w:val="131"/>
          <w:rFonts w:hint="eastAsia" w:ascii="宋体" w:hAnsi="宋体" w:eastAsia="宋体" w:cs="宋体"/>
          <w:color w:val="000000" w:themeColor="text1"/>
          <w:sz w:val="32"/>
          <w:szCs w:val="32"/>
          <w:highlight w:val="none"/>
          <w14:textFill>
            <w14:solidFill>
              <w14:schemeClr w14:val="tx1"/>
            </w14:solidFill>
          </w14:textFill>
        </w:rPr>
      </w:pPr>
      <w:r>
        <w:rPr>
          <w:rStyle w:val="131"/>
          <w:rFonts w:hint="eastAsia" w:ascii="宋体" w:hAnsi="宋体" w:eastAsia="宋体" w:cs="宋体"/>
          <w:color w:val="000000" w:themeColor="text1"/>
          <w:sz w:val="32"/>
          <w:szCs w:val="32"/>
          <w:highlight w:val="none"/>
          <w14:textFill>
            <w14:solidFill>
              <w14:schemeClr w14:val="tx1"/>
            </w14:solidFill>
          </w14:textFill>
        </w:rPr>
        <w:t>第五章  附件--响应文件格式</w:t>
      </w:r>
    </w:p>
    <w:p w14:paraId="5018F265">
      <w:pPr>
        <w:widowControl/>
        <w:spacing w:line="360" w:lineRule="auto"/>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33B389C5">
      <w:pPr>
        <w:widowControl/>
        <w:spacing w:line="360" w:lineRule="auto"/>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 </w:t>
      </w:r>
    </w:p>
    <w:p w14:paraId="33D9FBA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w:t>
      </w:r>
    </w:p>
    <w:tbl>
      <w:tblPr>
        <w:tblStyle w:val="27"/>
        <w:tblW w:w="8190" w:type="dxa"/>
        <w:tblInd w:w="136" w:type="dxa"/>
        <w:tblLayout w:type="fixed"/>
        <w:tblCellMar>
          <w:top w:w="0" w:type="dxa"/>
          <w:left w:w="0" w:type="dxa"/>
          <w:bottom w:w="0" w:type="dxa"/>
          <w:right w:w="0" w:type="dxa"/>
        </w:tblCellMar>
      </w:tblPr>
      <w:tblGrid>
        <w:gridCol w:w="8190"/>
      </w:tblGrid>
      <w:tr w14:paraId="4A40F09C">
        <w:tblPrEx>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037949D1">
            <w:pPr>
              <w:widowControl/>
              <w:spacing w:line="46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注释：</w:t>
            </w:r>
          </w:p>
          <w:p w14:paraId="7F1CC77D">
            <w:pPr>
              <w:widowControl/>
              <w:spacing w:line="24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《响应性文件格式》是供应商的部分响应性文件格式和签订合同时所需文件的格式。供应商应按照这些格式文件制作响应性文件。</w:t>
            </w:r>
          </w:p>
        </w:tc>
      </w:tr>
    </w:tbl>
    <w:p w14:paraId="6134ACCD">
      <w:pPr>
        <w:widowControl/>
        <w:spacing w:line="460" w:lineRule="atLeast"/>
        <w:ind w:firstLine="48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 xml:space="preserve"> </w:t>
      </w:r>
    </w:p>
    <w:p w14:paraId="409C92EA">
      <w:pPr>
        <w:widowControl/>
        <w:spacing w:line="460" w:lineRule="atLeast"/>
        <w:ind w:firstLine="643"/>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目    录</w:t>
      </w:r>
    </w:p>
    <w:p w14:paraId="02B2C4B0">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 响应性文件封面（格式）</w:t>
      </w:r>
    </w:p>
    <w:p w14:paraId="77BBD64F">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附件2 竞争性磋商响应书（格式）</w:t>
      </w:r>
    </w:p>
    <w:p w14:paraId="4AD35925">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附件3 初次报价一览表（格式）</w:t>
      </w:r>
    </w:p>
    <w:p w14:paraId="1E061386">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附件4  报价明细表</w:t>
      </w:r>
    </w:p>
    <w:p w14:paraId="6F68A9A8">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附件5 技术响应表（格式）</w:t>
      </w:r>
    </w:p>
    <w:p w14:paraId="21854C3B">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附件6 商务响应表（格式）</w:t>
      </w:r>
    </w:p>
    <w:p w14:paraId="6EC125DC">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附件7  法定代表人身份证明（格式）</w:t>
      </w:r>
    </w:p>
    <w:p w14:paraId="183CB08F">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附件8 法定代表人授权书（格式）</w:t>
      </w:r>
    </w:p>
    <w:p w14:paraId="0F067724">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附件9  证明文件</w:t>
      </w:r>
    </w:p>
    <w:p w14:paraId="3730A2D8">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附件10 抵制商业贿赂承诺（格式）</w:t>
      </w:r>
    </w:p>
    <w:p w14:paraId="7B2E722E">
      <w:pPr>
        <w:widowControl/>
        <w:spacing w:line="460" w:lineRule="atLeast"/>
        <w:ind w:firstLine="1200" w:firstLineChars="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附件11  供应商认为有必要提供的其他资料</w:t>
      </w:r>
    </w:p>
    <w:p w14:paraId="2FDF0A47">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64BBD573">
      <w:pPr>
        <w:widowControl/>
        <w:spacing w:line="460" w:lineRule="atLeast"/>
        <w:ind w:firstLine="480"/>
        <w:rPr>
          <w:rFonts w:hint="eastAsia" w:ascii="宋体" w:hAnsi="宋体" w:eastAsia="宋体" w:cs="宋体"/>
          <w:color w:val="000000" w:themeColor="text1"/>
          <w:kern w:val="0"/>
          <w:sz w:val="24"/>
          <w:highlight w:val="none"/>
          <w14:textFill>
            <w14:solidFill>
              <w14:schemeClr w14:val="tx1"/>
            </w14:solidFill>
          </w14:textFill>
        </w:rPr>
      </w:pPr>
    </w:p>
    <w:p w14:paraId="6058E2A5">
      <w:pPr>
        <w:widowControl/>
        <w:spacing w:line="460" w:lineRule="atLeast"/>
        <w:jc w:val="left"/>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14:paraId="04A467A5">
      <w:pPr>
        <w:widowControl/>
        <w:spacing w:line="460" w:lineRule="atLeast"/>
        <w:ind w:firstLine="482"/>
        <w:rPr>
          <w:rFonts w:hint="eastAsia" w:ascii="宋体" w:hAnsi="宋体" w:eastAsia="宋体" w:cs="宋体"/>
          <w:b/>
          <w:bCs/>
          <w:color w:val="000000" w:themeColor="text1"/>
          <w:kern w:val="0"/>
          <w:sz w:val="24"/>
          <w:highlight w:val="none"/>
          <w14:textFill>
            <w14:solidFill>
              <w14:schemeClr w14:val="tx1"/>
            </w14:solidFill>
          </w14:textFill>
        </w:rPr>
      </w:pPr>
    </w:p>
    <w:p w14:paraId="2878EA5F">
      <w:pPr>
        <w:pStyle w:val="26"/>
        <w:ind w:firstLine="280"/>
        <w:rPr>
          <w:rFonts w:hint="eastAsia" w:ascii="宋体" w:hAnsi="宋体" w:eastAsia="宋体" w:cs="宋体"/>
          <w:color w:val="000000" w:themeColor="text1"/>
          <w:kern w:val="0"/>
          <w:highlight w:val="none"/>
          <w14:textFill>
            <w14:solidFill>
              <w14:schemeClr w14:val="tx1"/>
            </w14:solidFill>
          </w14:textFill>
        </w:rPr>
      </w:pPr>
    </w:p>
    <w:p w14:paraId="2F4D463C">
      <w:pPr>
        <w:pStyle w:val="26"/>
        <w:ind w:firstLine="280"/>
        <w:rPr>
          <w:rFonts w:hint="eastAsia" w:ascii="宋体" w:hAnsi="宋体" w:eastAsia="宋体" w:cs="宋体"/>
          <w:color w:val="000000" w:themeColor="text1"/>
          <w:kern w:val="0"/>
          <w:highlight w:val="none"/>
          <w14:textFill>
            <w14:solidFill>
              <w14:schemeClr w14:val="tx1"/>
            </w14:solidFill>
          </w14:textFill>
        </w:rPr>
      </w:pPr>
    </w:p>
    <w:p w14:paraId="16E0D8AB">
      <w:pPr>
        <w:pageBreakBefore/>
        <w:widowControl/>
        <w:spacing w:line="460" w:lineRule="atLeast"/>
        <w:jc w:val="left"/>
        <w:rPr>
          <w:rFonts w:hint="eastAsia" w:ascii="宋体" w:hAnsi="宋体" w:eastAsia="宋体" w:cs="宋体"/>
          <w:b/>
          <w:bCs/>
          <w:color w:val="000000" w:themeColor="text1"/>
          <w:kern w:val="0"/>
          <w:sz w:val="28"/>
          <w:szCs w:val="28"/>
          <w:highlight w:val="none"/>
          <w14:textFill>
            <w14:solidFill>
              <w14:schemeClr w14:val="tx1"/>
            </w14:solidFill>
          </w14:textFill>
        </w:rPr>
        <w:sectPr>
          <w:footerReference r:id="rId17" w:type="default"/>
          <w:pgSz w:w="11906" w:h="16838"/>
          <w:pgMar w:top="1418" w:right="1134" w:bottom="1134" w:left="1701" w:header="851" w:footer="992" w:gutter="0"/>
          <w:pgNumType w:fmt="decimal"/>
          <w:cols w:space="720" w:num="1"/>
          <w:docGrid w:type="lines" w:linePitch="312" w:charSpace="0"/>
        </w:sectPr>
      </w:pPr>
    </w:p>
    <w:p w14:paraId="793E7C39">
      <w:pPr>
        <w:pageBreakBefore/>
        <w:widowControl/>
        <w:spacing w:line="460"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附件1</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竞争性磋商文件封面</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0E881FD1">
      <w:pPr>
        <w:pStyle w:val="11"/>
        <w:rPr>
          <w:rFonts w:hint="eastAsia" w:ascii="宋体" w:hAnsi="宋体" w:eastAsia="宋体" w:cs="宋体"/>
          <w:color w:val="000000" w:themeColor="text1"/>
          <w:highlight w:val="none"/>
          <w14:textFill>
            <w14:solidFill>
              <w14:schemeClr w14:val="tx1"/>
            </w14:solidFill>
          </w14:textFill>
        </w:rPr>
      </w:pPr>
    </w:p>
    <w:p w14:paraId="6571DD9E">
      <w:pPr>
        <w:widowControl/>
        <w:spacing w:line="460" w:lineRule="atLeast"/>
        <w:jc w:val="center"/>
        <w:rPr>
          <w:rFonts w:hint="eastAsia" w:ascii="宋体" w:hAnsi="宋体" w:eastAsia="宋体" w:cs="宋体"/>
          <w:b/>
          <w:bCs/>
          <w:color w:val="000000" w:themeColor="text1"/>
          <w:kern w:val="0"/>
          <w:sz w:val="44"/>
          <w:szCs w:val="44"/>
          <w:highlight w:val="none"/>
          <w:lang w:eastAsia="zh-CN"/>
          <w14:textFill>
            <w14:solidFill>
              <w14:schemeClr w14:val="tx1"/>
            </w14:solidFill>
          </w14:textFill>
        </w:rPr>
      </w:pPr>
      <w:r>
        <w:rPr>
          <w:rFonts w:hint="eastAsia" w:ascii="宋体" w:hAnsi="宋体" w:eastAsia="宋体" w:cs="宋体"/>
          <w:b/>
          <w:bCs/>
          <w:color w:val="000000" w:themeColor="text1"/>
          <w:kern w:val="0"/>
          <w:sz w:val="44"/>
          <w:szCs w:val="44"/>
          <w:highlight w:val="none"/>
          <w:lang w:eastAsia="zh-CN"/>
          <w14:textFill>
            <w14:solidFill>
              <w14:schemeClr w14:val="tx1"/>
            </w14:solidFill>
          </w14:textFill>
        </w:rPr>
        <w:t>驻马店市中心医院全自动酶免分析仪（工作站）采购项目</w:t>
      </w:r>
    </w:p>
    <w:p w14:paraId="31478916">
      <w:pPr>
        <w:widowControl/>
        <w:spacing w:line="460" w:lineRule="atLeast"/>
        <w:jc w:val="center"/>
        <w:rPr>
          <w:rFonts w:hint="eastAsia" w:ascii="宋体" w:hAnsi="宋体" w:eastAsia="宋体" w:cs="宋体"/>
          <w:b/>
          <w:bCs/>
          <w:color w:val="000000" w:themeColor="text1"/>
          <w:kern w:val="0"/>
          <w:sz w:val="44"/>
          <w:szCs w:val="44"/>
          <w:highlight w:val="none"/>
          <w14:textFill>
            <w14:solidFill>
              <w14:schemeClr w14:val="tx1"/>
            </w14:solidFill>
          </w14:textFill>
        </w:rPr>
      </w:pPr>
    </w:p>
    <w:p w14:paraId="2C79EC35">
      <w:pPr>
        <w:widowControl/>
        <w:spacing w:line="460" w:lineRule="atLeast"/>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响应文件</w:t>
      </w:r>
    </w:p>
    <w:p w14:paraId="5C8BB859">
      <w:pPr>
        <w:pStyle w:val="11"/>
        <w:rPr>
          <w:rFonts w:hint="eastAsia" w:ascii="宋体" w:hAnsi="宋体" w:eastAsia="宋体" w:cs="宋体"/>
          <w:color w:val="000000" w:themeColor="text1"/>
          <w:kern w:val="0"/>
          <w:sz w:val="32"/>
          <w:szCs w:val="44"/>
          <w:highlight w:val="none"/>
          <w14:textFill>
            <w14:solidFill>
              <w14:schemeClr w14:val="tx1"/>
            </w14:solidFill>
          </w14:textFill>
        </w:rPr>
      </w:pPr>
    </w:p>
    <w:p w14:paraId="3B2E804F">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56F23DD1">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1F7FC673">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1D60489D">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7400932C">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685D0701">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37EEC7F5">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09AC6AB3">
      <w:pPr>
        <w:pStyle w:val="23"/>
        <w:rPr>
          <w:rFonts w:hint="eastAsia" w:ascii="宋体" w:hAnsi="宋体" w:eastAsia="宋体" w:cs="宋体"/>
          <w:b/>
          <w:bCs/>
          <w:color w:val="000000" w:themeColor="text1"/>
          <w:kern w:val="0"/>
          <w:sz w:val="24"/>
          <w:highlight w:val="none"/>
          <w14:textFill>
            <w14:solidFill>
              <w14:schemeClr w14:val="tx1"/>
            </w14:solidFill>
          </w14:textFill>
        </w:rPr>
      </w:pPr>
    </w:p>
    <w:p w14:paraId="58368894">
      <w:pPr>
        <w:widowControl/>
        <w:spacing w:line="460" w:lineRule="atLeast"/>
        <w:ind w:firstLine="1190"/>
        <w:jc w:val="left"/>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 目 名 称：</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14:paraId="4393E248">
      <w:pPr>
        <w:widowControl/>
        <w:spacing w:line="460" w:lineRule="atLeast"/>
        <w:ind w:firstLine="1190"/>
        <w:jc w:val="left"/>
        <w:rPr>
          <w:rFonts w:hint="eastAsia" w:ascii="宋体" w:hAnsi="宋体" w:eastAsia="宋体" w:cs="宋体"/>
          <w:color w:val="000000" w:themeColor="text1"/>
          <w:kern w:val="0"/>
          <w:sz w:val="24"/>
          <w:highlight w:val="none"/>
          <w14:textFill>
            <w14:solidFill>
              <w14:schemeClr w14:val="tx1"/>
            </w14:solidFill>
          </w14:textFill>
        </w:rPr>
      </w:pPr>
    </w:p>
    <w:p w14:paraId="3ED00A52">
      <w:pPr>
        <w:widowControl/>
        <w:spacing w:line="460" w:lineRule="atLeast"/>
        <w:ind w:firstLine="1190"/>
        <w:jc w:val="left"/>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项 目 编 号：</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14:paraId="26B4F2A0">
      <w:pPr>
        <w:widowControl/>
        <w:spacing w:line="460" w:lineRule="atLeast"/>
        <w:ind w:firstLine="1190"/>
        <w:jc w:val="left"/>
        <w:rPr>
          <w:rFonts w:hint="eastAsia" w:ascii="宋体" w:hAnsi="宋体" w:eastAsia="宋体" w:cs="宋体"/>
          <w:color w:val="000000" w:themeColor="text1"/>
          <w:kern w:val="0"/>
          <w:sz w:val="24"/>
          <w:highlight w:val="none"/>
          <w14:textFill>
            <w14:solidFill>
              <w14:schemeClr w14:val="tx1"/>
            </w14:solidFill>
          </w14:textFill>
        </w:rPr>
      </w:pPr>
    </w:p>
    <w:p w14:paraId="4A3A17D2">
      <w:pPr>
        <w:widowControl/>
        <w:spacing w:line="460" w:lineRule="atLeast"/>
        <w:ind w:firstLine="482"/>
        <w:jc w:val="left"/>
        <w:rPr>
          <w:rFonts w:hint="eastAsia" w:ascii="宋体" w:hAnsi="宋体" w:eastAsia="宋体" w:cs="宋体"/>
          <w:b/>
          <w:bCs/>
          <w:color w:val="000000" w:themeColor="text1"/>
          <w:kern w:val="0"/>
          <w:sz w:val="24"/>
          <w:highlight w:val="none"/>
          <w:u w:val="singl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供应商名称 ：</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14:paraId="4C7E6031">
      <w:pPr>
        <w:widowControl/>
        <w:spacing w:line="460" w:lineRule="atLeast"/>
        <w:ind w:firstLine="482"/>
        <w:jc w:val="left"/>
        <w:rPr>
          <w:rFonts w:hint="eastAsia" w:ascii="宋体" w:hAnsi="宋体" w:eastAsia="宋体" w:cs="宋体"/>
          <w:color w:val="000000" w:themeColor="text1"/>
          <w:kern w:val="0"/>
          <w:sz w:val="24"/>
          <w:highlight w:val="none"/>
          <w14:textFill>
            <w14:solidFill>
              <w14:schemeClr w14:val="tx1"/>
            </w14:solidFill>
          </w14:textFill>
        </w:rPr>
      </w:pPr>
    </w:p>
    <w:p w14:paraId="08AFF6AA">
      <w:pPr>
        <w:widowControl/>
        <w:spacing w:line="460" w:lineRule="atLeast"/>
        <w:ind w:firstLine="482"/>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日      期 ：</w:t>
      </w:r>
      <w:r>
        <w:rPr>
          <w:rFonts w:hint="eastAsia" w:ascii="宋体" w:hAnsi="宋体" w:eastAsia="宋体" w:cs="宋体"/>
          <w:b/>
          <w:bCs/>
          <w:color w:val="000000" w:themeColor="text1"/>
          <w:kern w:val="0"/>
          <w:sz w:val="24"/>
          <w:highlight w:val="none"/>
          <w:u w:val="single"/>
          <w14:textFill>
            <w14:solidFill>
              <w14:schemeClr w14:val="tx1"/>
            </w14:solidFill>
          </w14:textFill>
        </w:rPr>
        <w:t xml:space="preserve">              </w:t>
      </w:r>
    </w:p>
    <w:p w14:paraId="5B88FF12">
      <w:pPr>
        <w:pageBreakBefore/>
        <w:widowControl/>
        <w:spacing w:line="460"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附件2 </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竞争性磋商响应书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5DE797AC">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（采购人）：</w:t>
      </w:r>
    </w:p>
    <w:p w14:paraId="76411BD8">
      <w:pPr>
        <w:widowControl/>
        <w:spacing w:line="460" w:lineRule="atLeast"/>
        <w:ind w:firstLine="6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（供应商名称）现委托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）的竞争性磋商</w:t>
      </w:r>
      <w:r>
        <w:rPr>
          <w:rFonts w:hint="eastAsia" w:ascii="宋体" w:hAnsi="宋体" w:eastAsia="宋体" w:cs="宋体"/>
          <w:color w:val="000000" w:themeColor="text1"/>
          <w:kern w:val="0"/>
          <w:sz w:val="24"/>
          <w:highlight w:val="none"/>
          <w:lang w:val="en-US" w:eastAsia="zh-CN"/>
          <w14:textFill>
            <w14:solidFill>
              <w14:schemeClr w14:val="tx1"/>
            </w14:solidFill>
          </w14:textFill>
        </w:rPr>
        <w:t>活动</w:t>
      </w:r>
      <w:r>
        <w:rPr>
          <w:rFonts w:hint="eastAsia" w:ascii="宋体" w:hAnsi="宋体" w:eastAsia="宋体" w:cs="宋体"/>
          <w:color w:val="000000" w:themeColor="text1"/>
          <w:kern w:val="0"/>
          <w:sz w:val="24"/>
          <w:highlight w:val="none"/>
          <w14:textFill>
            <w14:solidFill>
              <w14:schemeClr w14:val="tx1"/>
            </w14:solidFill>
          </w14:textFill>
        </w:rPr>
        <w:t>。现正式提交下述1份：</w:t>
      </w:r>
    </w:p>
    <w:p w14:paraId="4B00811A">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1、初次报价一览表。</w:t>
      </w:r>
    </w:p>
    <w:p w14:paraId="7CB78F7A">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2、技术响应表。</w:t>
      </w:r>
    </w:p>
    <w:p w14:paraId="6CB3BC36">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3、商务响应表。</w:t>
      </w:r>
    </w:p>
    <w:p w14:paraId="2E3589A5">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4、证明文件。</w:t>
      </w:r>
    </w:p>
    <w:p w14:paraId="747498F2">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5、抵制商业贿赂承诺</w:t>
      </w:r>
    </w:p>
    <w:p w14:paraId="38509F96">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为便于贵方公正、择优地确定</w:t>
      </w:r>
      <w:r>
        <w:rPr>
          <w:rFonts w:hint="eastAsia" w:ascii="宋体" w:hAnsi="宋体" w:eastAsia="宋体" w:cs="宋体"/>
          <w:color w:val="000000" w:themeColor="text1"/>
          <w:kern w:val="0"/>
          <w:sz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highlight w:val="none"/>
          <w14:textFill>
            <w14:solidFill>
              <w14:schemeClr w14:val="tx1"/>
            </w14:solidFill>
          </w14:textFill>
        </w:rPr>
        <w:t>及其提供产品和服务，我方就本次竞争性磋商有关事项郑重声明并宣布同意如下：</w:t>
      </w:r>
    </w:p>
    <w:p w14:paraId="50057243">
      <w:pPr>
        <w:widowControl/>
        <w:spacing w:line="42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我方承诺已经具备竞争性磋商文件中规定的参加政府采购活动的供应商应当具备的条件。我方愿意向贵方提供任何与本竞争性磋商项目有关的数据、情况和技术资料，并根据需要提供一切承诺的证明材料，并保证其真实、合法、有效。</w:t>
      </w:r>
    </w:p>
    <w:p w14:paraId="400DB1BC">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2、我方承诺在竞争性磋商活动中提供的各种材料真实有效。</w:t>
      </w:r>
    </w:p>
    <w:p w14:paraId="60FE12A2">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3、我方已详细审查全部竞争性磋商文件，包括修改文件（如有的话）和有关附件，将自行承担因对全部竞争性磋商文件理解不正确或误解而产生的相应后果。</w:t>
      </w:r>
    </w:p>
    <w:p w14:paraId="724BC257">
      <w:pPr>
        <w:widowControl/>
        <w:spacing w:line="420" w:lineRule="atLeast"/>
        <w:ind w:firstLine="480" w:firstLineChars="2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4、我方保证尊重磋商小组的评审结果，完全理解本采购项目最低报价不作为成交的保证。</w:t>
      </w:r>
    </w:p>
    <w:p w14:paraId="17326D10">
      <w:pPr>
        <w:widowControl/>
        <w:spacing w:line="42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5、如果发生供应商人须知第24.2.1、24.2.2项所述情况，同意我方被认定为未实质性响应竞争性磋商文件。</w:t>
      </w:r>
    </w:p>
    <w:p w14:paraId="6C1275AA">
      <w:pPr>
        <w:widowControl/>
        <w:spacing w:line="42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6、如果发生供应商人须知第24.3、31.2项所述情况，同意磋商小组认定我方的行为属于恶意串通行为，并自愿接受监管部门的处罚。</w:t>
      </w:r>
    </w:p>
    <w:p w14:paraId="296AF071">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7、如果发生供应商人须知第27.2项所述情况，同意我方被认定为丧失参加磋商的资格，并承担相应的法律责任。</w:t>
      </w:r>
    </w:p>
    <w:p w14:paraId="62E0065B">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8、如果被确定为</w:t>
      </w:r>
      <w:r>
        <w:rPr>
          <w:rFonts w:hint="eastAsia" w:ascii="宋体" w:hAnsi="宋体" w:eastAsia="宋体" w:cs="宋体"/>
          <w:color w:val="000000" w:themeColor="text1"/>
          <w:kern w:val="0"/>
          <w:sz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highlight w:val="none"/>
          <w14:textFill>
            <w14:solidFill>
              <w14:schemeClr w14:val="tx1"/>
            </w14:solidFill>
          </w14:textFill>
        </w:rPr>
        <w:t>，我方同意按竞争性磋商文件的规定领取成交通知书并缴纳服务费。否则，视为我方成交后自动放弃成交资格，承担由此引起的一切后果。</w:t>
      </w:r>
    </w:p>
    <w:p w14:paraId="44C1E80B">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9、如果被确定为</w:t>
      </w:r>
      <w:r>
        <w:rPr>
          <w:rFonts w:hint="eastAsia" w:ascii="宋体" w:hAnsi="宋体" w:eastAsia="宋体" w:cs="宋体"/>
          <w:color w:val="000000" w:themeColor="text1"/>
          <w:kern w:val="0"/>
          <w:sz w:val="24"/>
          <w:highlight w:val="none"/>
          <w:lang w:eastAsia="zh-CN"/>
          <w14:textFill>
            <w14:solidFill>
              <w14:schemeClr w14:val="tx1"/>
            </w14:solidFill>
          </w14:textFill>
        </w:rPr>
        <w:t>成交供应商</w:t>
      </w:r>
      <w:r>
        <w:rPr>
          <w:rFonts w:hint="eastAsia" w:ascii="宋体" w:hAnsi="宋体" w:eastAsia="宋体" w:cs="宋体"/>
          <w:color w:val="000000" w:themeColor="text1"/>
          <w:kern w:val="0"/>
          <w:sz w:val="24"/>
          <w:highlight w:val="none"/>
          <w14:textFill>
            <w14:solidFill>
              <w14:schemeClr w14:val="tx1"/>
            </w14:solidFill>
          </w14:textFill>
        </w:rPr>
        <w:t>，我方同意在领取成交通知书</w:t>
      </w:r>
      <w:r>
        <w:rPr>
          <w:rFonts w:hint="eastAsia" w:ascii="宋体" w:hAnsi="宋体" w:eastAsia="宋体" w:cs="宋体"/>
          <w:color w:val="000000" w:themeColor="text1"/>
          <w:kern w:val="0"/>
          <w:sz w:val="24"/>
          <w:highlight w:val="none"/>
          <w:lang w:val="en-US" w:eastAsia="zh-CN"/>
          <w14:textFill>
            <w14:solidFill>
              <w14:schemeClr w14:val="tx1"/>
            </w14:solidFill>
          </w14:textFill>
        </w:rPr>
        <w:t>后2个工作日</w:t>
      </w:r>
      <w:r>
        <w:rPr>
          <w:rFonts w:hint="eastAsia" w:ascii="宋体" w:hAnsi="宋体" w:eastAsia="宋体" w:cs="宋体"/>
          <w:color w:val="000000" w:themeColor="text1"/>
          <w:kern w:val="0"/>
          <w:sz w:val="24"/>
          <w:highlight w:val="none"/>
          <w14:textFill>
            <w14:solidFill>
              <w14:schemeClr w14:val="tx1"/>
            </w14:solidFill>
          </w14:textFill>
        </w:rPr>
        <w:t>内，按照竞争性磋商文件的规定与采购人签订采购合同。否则，视为我方成交后无正当理由不与采购人签订合同并承担相应法律责任。</w:t>
      </w:r>
    </w:p>
    <w:p w14:paraId="3A670AC0">
      <w:pPr>
        <w:widowControl/>
        <w:spacing w:line="460" w:lineRule="atLeast"/>
        <w:ind w:firstLine="464"/>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10、我方最近3年内的被公开披露或查处的违法违规行为有：</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若无，则填无；若有，逐一列明</w:t>
      </w:r>
      <w:r>
        <w:rPr>
          <w:rFonts w:hint="eastAsia" w:ascii="宋体" w:hAnsi="宋体" w:eastAsia="宋体" w:cs="宋体"/>
          <w:b/>
          <w:bCs/>
          <w:kern w:val="0"/>
          <w:sz w:val="24"/>
          <w:highlight w:val="none"/>
          <w:lang w:eastAsia="zh-CN"/>
        </w:rPr>
        <w:t>）</w:t>
      </w:r>
      <w:r>
        <w:rPr>
          <w:rFonts w:hint="eastAsia" w:ascii="宋体" w:hAnsi="宋体" w:eastAsia="宋体" w:cs="宋体"/>
          <w:color w:val="000000" w:themeColor="text1"/>
          <w:kern w:val="0"/>
          <w:sz w:val="24"/>
          <w:highlight w:val="none"/>
          <w14:textFill>
            <w14:solidFill>
              <w14:schemeClr w14:val="tx1"/>
            </w14:solidFill>
          </w14:textFill>
        </w:rPr>
        <w:t>。</w:t>
      </w:r>
    </w:p>
    <w:p w14:paraId="593D8668">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11、以上事项如有虚假或隐瞒，我方愿意承担一切后果和责任。</w:t>
      </w:r>
    </w:p>
    <w:p w14:paraId="51BE6790">
      <w:pPr>
        <w:widowControl/>
        <w:spacing w:line="460" w:lineRule="atLeast"/>
        <w:ind w:firstLine="48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12、与本响应有关的一切正式往来通讯请寄：</w:t>
      </w:r>
    </w:p>
    <w:p w14:paraId="51A9DE4B">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678CEB87">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地址：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邮编：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8783618">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电话：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传真：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0B9A73C">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EF13C07">
      <w:pPr>
        <w:widowControl/>
        <w:spacing w:line="460" w:lineRule="atLeast"/>
        <w:ind w:firstLine="84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highlight w:val="none"/>
          <w14:textFill>
            <w14:solidFill>
              <w14:schemeClr w14:val="tx1"/>
            </w14:solidFill>
          </w14:textFill>
        </w:rPr>
        <w:t xml:space="preserve">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5F7D611">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A38CE5D">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5F02B39">
      <w:pPr>
        <w:widowControl/>
        <w:spacing w:line="460" w:lineRule="atLeast"/>
        <w:ind w:firstLine="2400" w:firstLineChars="1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325D8A27">
      <w:pPr>
        <w:widowControl/>
        <w:spacing w:line="460" w:lineRule="atLeast"/>
        <w:ind w:firstLine="4920" w:firstLineChars="2050"/>
        <w:jc w:val="left"/>
        <w:rPr>
          <w:rFonts w:hint="eastAsia" w:ascii="宋体" w:hAnsi="宋体" w:eastAsia="宋体" w:cs="宋体"/>
          <w:color w:val="000000" w:themeColor="text1"/>
          <w:kern w:val="0"/>
          <w:sz w:val="24"/>
          <w:highlight w:val="none"/>
          <w14:textFill>
            <w14:solidFill>
              <w14:schemeClr w14:val="tx1"/>
            </w14:solidFill>
          </w14:textFill>
        </w:rPr>
      </w:pPr>
    </w:p>
    <w:p w14:paraId="6A547576">
      <w:pPr>
        <w:pageBreakBefore/>
        <w:widowControl/>
        <w:spacing w:line="405"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附件3</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初次报价一览表</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12C678E9">
      <w:pPr>
        <w:widowControl/>
        <w:wordWrap w:val="0"/>
        <w:snapToGrid w:val="0"/>
        <w:spacing w:before="50" w:after="50" w:line="48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货币单位：元</w:t>
      </w:r>
    </w:p>
    <w:tbl>
      <w:tblPr>
        <w:tblStyle w:val="27"/>
        <w:tblpPr w:leftFromText="180" w:rightFromText="180" w:vertAnchor="text" w:horzAnchor="page" w:tblpX="1593" w:tblpY="162"/>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645"/>
        <w:gridCol w:w="5974"/>
      </w:tblGrid>
      <w:tr w14:paraId="69957A7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645" w:type="dxa"/>
            <w:tcBorders>
              <w:top w:val="single" w:color="auto" w:sz="6" w:space="0"/>
              <w:left w:val="single" w:color="auto" w:sz="6" w:space="0"/>
              <w:bottom w:val="single" w:color="auto" w:sz="6" w:space="0"/>
              <w:right w:val="single" w:color="auto" w:sz="6" w:space="0"/>
            </w:tcBorders>
            <w:vAlign w:val="center"/>
          </w:tcPr>
          <w:p w14:paraId="5FC6E830">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项目名称</w:t>
            </w:r>
          </w:p>
        </w:tc>
        <w:tc>
          <w:tcPr>
            <w:tcW w:w="5974" w:type="dxa"/>
            <w:tcBorders>
              <w:top w:val="single" w:color="auto" w:sz="6" w:space="0"/>
              <w:left w:val="single" w:color="auto" w:sz="6" w:space="0"/>
              <w:bottom w:val="single" w:color="auto" w:sz="6" w:space="0"/>
              <w:right w:val="single" w:color="auto" w:sz="6" w:space="0"/>
            </w:tcBorders>
            <w:vAlign w:val="center"/>
          </w:tcPr>
          <w:p w14:paraId="47A97B8F">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0CD4B1D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645" w:type="dxa"/>
            <w:tcBorders>
              <w:top w:val="single" w:color="auto" w:sz="6" w:space="0"/>
              <w:left w:val="single" w:color="auto" w:sz="6" w:space="0"/>
              <w:bottom w:val="single" w:color="auto" w:sz="4" w:space="0"/>
              <w:right w:val="single" w:color="auto" w:sz="6" w:space="0"/>
            </w:tcBorders>
            <w:vAlign w:val="center"/>
          </w:tcPr>
          <w:p w14:paraId="7EF07D3E">
            <w:pPr>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lang w:val="en-US" w:eastAsia="zh-CN"/>
                <w14:textFill>
                  <w14:solidFill>
                    <w14:schemeClr w14:val="tx1"/>
                  </w14:solidFill>
                </w14:textFill>
              </w:rPr>
              <w:t>名称</w:t>
            </w:r>
          </w:p>
        </w:tc>
        <w:tc>
          <w:tcPr>
            <w:tcW w:w="5974" w:type="dxa"/>
            <w:tcBorders>
              <w:top w:val="single" w:color="auto" w:sz="6" w:space="0"/>
              <w:left w:val="single" w:color="auto" w:sz="6" w:space="0"/>
              <w:bottom w:val="single" w:color="auto" w:sz="4" w:space="0"/>
              <w:right w:val="single" w:color="auto" w:sz="6" w:space="0"/>
            </w:tcBorders>
            <w:vAlign w:val="center"/>
          </w:tcPr>
          <w:p w14:paraId="5200C347">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7B63869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2645" w:type="dxa"/>
            <w:tcBorders>
              <w:top w:val="single" w:color="auto" w:sz="4" w:space="0"/>
              <w:left w:val="single" w:color="auto" w:sz="6" w:space="0"/>
              <w:bottom w:val="single" w:color="auto" w:sz="6" w:space="0"/>
              <w:right w:val="single" w:color="auto" w:sz="6" w:space="0"/>
            </w:tcBorders>
            <w:vAlign w:val="center"/>
          </w:tcPr>
          <w:p w14:paraId="2FCB4C38">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磋商报价</w:t>
            </w:r>
          </w:p>
        </w:tc>
        <w:tc>
          <w:tcPr>
            <w:tcW w:w="5974" w:type="dxa"/>
            <w:tcBorders>
              <w:top w:val="single" w:color="auto" w:sz="4" w:space="0"/>
              <w:left w:val="single" w:color="auto" w:sz="6" w:space="0"/>
              <w:bottom w:val="single" w:color="auto" w:sz="6" w:space="0"/>
              <w:right w:val="single" w:color="auto" w:sz="6" w:space="0"/>
            </w:tcBorders>
            <w:vAlign w:val="center"/>
          </w:tcPr>
          <w:p w14:paraId="0E95F554">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小写：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BFC8D88">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大写：          </w:t>
            </w:r>
          </w:p>
        </w:tc>
      </w:tr>
      <w:tr w14:paraId="2C5FDD8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2645" w:type="dxa"/>
            <w:tcBorders>
              <w:top w:val="single" w:color="auto" w:sz="4" w:space="0"/>
              <w:left w:val="single" w:color="auto" w:sz="6" w:space="0"/>
              <w:bottom w:val="single" w:color="auto" w:sz="6" w:space="0"/>
              <w:right w:val="single" w:color="auto" w:sz="6" w:space="0"/>
            </w:tcBorders>
            <w:vAlign w:val="center"/>
          </w:tcPr>
          <w:p w14:paraId="6B3A75D8">
            <w:pPr>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响应文件有效期</w:t>
            </w:r>
          </w:p>
        </w:tc>
        <w:tc>
          <w:tcPr>
            <w:tcW w:w="5974" w:type="dxa"/>
            <w:tcBorders>
              <w:top w:val="single" w:color="auto" w:sz="4" w:space="0"/>
              <w:left w:val="single" w:color="auto" w:sz="6" w:space="0"/>
              <w:bottom w:val="single" w:color="auto" w:sz="6" w:space="0"/>
              <w:right w:val="single" w:color="auto" w:sz="6" w:space="0"/>
            </w:tcBorders>
            <w:vAlign w:val="center"/>
          </w:tcPr>
          <w:p w14:paraId="440572CB">
            <w:pPr>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递交响应性文件截止期结束后60日</w:t>
            </w:r>
          </w:p>
        </w:tc>
      </w:tr>
      <w:tr w14:paraId="77F4E2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2645" w:type="dxa"/>
            <w:tcBorders>
              <w:top w:val="single" w:color="auto" w:sz="4" w:space="0"/>
              <w:left w:val="single" w:color="auto" w:sz="6" w:space="0"/>
              <w:bottom w:val="single" w:color="auto" w:sz="6" w:space="0"/>
              <w:right w:val="single" w:color="auto" w:sz="6" w:space="0"/>
            </w:tcBorders>
            <w:vAlign w:val="center"/>
          </w:tcPr>
          <w:p w14:paraId="4635F164">
            <w:pPr>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质量</w:t>
            </w:r>
          </w:p>
        </w:tc>
        <w:tc>
          <w:tcPr>
            <w:tcW w:w="5974" w:type="dxa"/>
            <w:tcBorders>
              <w:top w:val="single" w:color="auto" w:sz="4" w:space="0"/>
              <w:left w:val="single" w:color="auto" w:sz="6" w:space="0"/>
              <w:bottom w:val="single" w:color="auto" w:sz="6" w:space="0"/>
              <w:right w:val="single" w:color="auto" w:sz="6" w:space="0"/>
            </w:tcBorders>
            <w:vAlign w:val="center"/>
          </w:tcPr>
          <w:p w14:paraId="1F3224BF">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627B500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735" w:hRule="atLeast"/>
        </w:trPr>
        <w:tc>
          <w:tcPr>
            <w:tcW w:w="2645" w:type="dxa"/>
            <w:tcBorders>
              <w:top w:val="single" w:color="auto" w:sz="4" w:space="0"/>
              <w:left w:val="single" w:color="auto" w:sz="6" w:space="0"/>
              <w:bottom w:val="single" w:color="auto" w:sz="6" w:space="0"/>
              <w:right w:val="single" w:color="auto" w:sz="6" w:space="0"/>
            </w:tcBorders>
            <w:vAlign w:val="center"/>
          </w:tcPr>
          <w:p w14:paraId="714C57DB">
            <w:pPr>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交货期</w:t>
            </w:r>
          </w:p>
        </w:tc>
        <w:tc>
          <w:tcPr>
            <w:tcW w:w="5974" w:type="dxa"/>
            <w:tcBorders>
              <w:top w:val="single" w:color="auto" w:sz="4" w:space="0"/>
              <w:left w:val="single" w:color="auto" w:sz="6" w:space="0"/>
              <w:bottom w:val="single" w:color="auto" w:sz="6" w:space="0"/>
              <w:right w:val="single" w:color="auto" w:sz="6" w:space="0"/>
            </w:tcBorders>
            <w:vAlign w:val="center"/>
          </w:tcPr>
          <w:p w14:paraId="0DE5C7F5">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35E8289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625" w:hRule="atLeast"/>
        </w:trPr>
        <w:tc>
          <w:tcPr>
            <w:tcW w:w="2645" w:type="dxa"/>
            <w:tcBorders>
              <w:top w:val="single" w:color="auto" w:sz="4" w:space="0"/>
              <w:left w:val="single" w:color="auto" w:sz="6" w:space="0"/>
              <w:bottom w:val="single" w:color="auto" w:sz="6" w:space="0"/>
              <w:right w:val="single" w:color="auto" w:sz="6" w:space="0"/>
            </w:tcBorders>
            <w:vAlign w:val="center"/>
          </w:tcPr>
          <w:p w14:paraId="30034ED9">
            <w:pPr>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质保期</w:t>
            </w:r>
          </w:p>
        </w:tc>
        <w:tc>
          <w:tcPr>
            <w:tcW w:w="5974" w:type="dxa"/>
            <w:tcBorders>
              <w:top w:val="single" w:color="auto" w:sz="4" w:space="0"/>
              <w:left w:val="single" w:color="auto" w:sz="6" w:space="0"/>
              <w:bottom w:val="single" w:color="auto" w:sz="6" w:space="0"/>
              <w:right w:val="single" w:color="auto" w:sz="6" w:space="0"/>
            </w:tcBorders>
            <w:vAlign w:val="center"/>
          </w:tcPr>
          <w:p w14:paraId="517C2BA7">
            <w:pPr>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tc>
      </w:tr>
      <w:tr w14:paraId="3F7159E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619" w:type="dxa"/>
            <w:gridSpan w:val="2"/>
            <w:tcBorders>
              <w:top w:val="single" w:color="auto" w:sz="6" w:space="0"/>
              <w:left w:val="single" w:color="auto" w:sz="6" w:space="0"/>
              <w:bottom w:val="single" w:color="auto" w:sz="6" w:space="0"/>
              <w:right w:val="single" w:color="auto" w:sz="6" w:space="0"/>
            </w:tcBorders>
            <w:vAlign w:val="center"/>
          </w:tcPr>
          <w:p w14:paraId="23755CAD">
            <w:pPr>
              <w:autoSpaceDE w:val="0"/>
              <w:autoSpaceDN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备注：</w:t>
            </w:r>
          </w:p>
        </w:tc>
      </w:tr>
    </w:tbl>
    <w:p w14:paraId="2ED9530A">
      <w:pPr>
        <w:widowControl/>
        <w:spacing w:before="50" w:after="50" w:line="405" w:lineRule="atLeas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0721581">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680EA414">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29B2349B">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5BA414AF">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4C864464">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71BF2EBC">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1C5038E5">
      <w:pPr>
        <w:widowControl/>
        <w:spacing w:before="50" w:after="50"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25C0C33B">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18C8B96D">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4E4A3228">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23B6845B">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16A84475">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31B450E7">
      <w:pPr>
        <w:widowControl/>
        <w:spacing w:before="50" w:after="50"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注: </w:t>
      </w:r>
    </w:p>
    <w:p w14:paraId="07B56B15">
      <w:pPr>
        <w:widowControl/>
        <w:spacing w:before="50" w:after="50" w:line="460" w:lineRule="atLeast"/>
        <w:ind w:firstLine="48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1、报价一经涂改，应在涂改处加盖单位公章或供应商代表签字或盖章，否则其响应作无效响应处理。</w:t>
      </w:r>
    </w:p>
    <w:p w14:paraId="74AD81F0">
      <w:pPr>
        <w:widowControl/>
        <w:spacing w:before="50" w:after="50" w:line="460" w:lineRule="atLeast"/>
        <w:ind w:firstLine="48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的磋商报价，包括人员工资、机械费、服务费、工装费、保险费、售后服务、税金及其他与本项目相关的费用的总和。</w:t>
      </w:r>
    </w:p>
    <w:p w14:paraId="51AF3F8A">
      <w:pPr>
        <w:widowControl/>
        <w:wordWrap w:val="0"/>
        <w:snapToGrid w:val="0"/>
        <w:spacing w:before="50" w:after="50"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3、凡认为符合价格折扣条件的，在 “备注”栏内注明符合何种折扣条件。</w:t>
      </w:r>
    </w:p>
    <w:p w14:paraId="2118ADE6">
      <w:pPr>
        <w:widowControl/>
        <w:spacing w:before="50" w:after="50" w:line="460" w:lineRule="atLeas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4、供应商按格式填列，不得自行更改，否则引起的不利后果由供应商承担。</w:t>
      </w:r>
    </w:p>
    <w:p w14:paraId="5084A10E">
      <w:pPr>
        <w:widowControl/>
        <w:spacing w:line="460" w:lineRule="atLeas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EB67D73">
      <w:pPr>
        <w:widowControl/>
        <w:spacing w:line="460" w:lineRule="atLeast"/>
        <w:ind w:firstLine="3240" w:firstLineChars="135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highlight w:val="none"/>
          <w14:textFill>
            <w14:solidFill>
              <w14:schemeClr w14:val="tx1"/>
            </w14:solidFill>
          </w14:textFill>
        </w:rPr>
        <w:t>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     </w:t>
      </w:r>
    </w:p>
    <w:p w14:paraId="4362422D">
      <w:pPr>
        <w:widowControl/>
        <w:spacing w:line="460" w:lineRule="atLeast"/>
        <w:ind w:firstLine="48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供应商：</w:t>
      </w:r>
      <w:r>
        <w:rPr>
          <w:rFonts w:hint="eastAsia" w:ascii="宋体" w:hAnsi="宋体" w:eastAsia="宋体" w:cs="宋体"/>
          <w:color w:val="000000" w:themeColor="text1"/>
          <w:kern w:val="0"/>
          <w:sz w:val="24"/>
          <w:highlight w:val="none"/>
          <w:u w:val="single"/>
          <w14:textFill>
            <w14:solidFill>
              <w14:schemeClr w14:val="tx1"/>
            </w14:solidFill>
          </w14:textFill>
        </w:rPr>
        <w:t>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08EEAA1">
      <w:pPr>
        <w:widowControl/>
        <w:spacing w:line="460" w:lineRule="atLeast"/>
        <w:ind w:firstLine="4080" w:firstLineChars="1700"/>
        <w:jc w:val="left"/>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17CEA1CE">
      <w:pPr>
        <w:widowControl/>
        <w:spacing w:line="432" w:lineRule="auto"/>
        <w:jc w:val="left"/>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p>
    <w:p w14:paraId="08AA4422">
      <w:pPr>
        <w:pageBreakBefore/>
        <w:widowControl/>
        <w:spacing w:line="405" w:lineRule="atLeast"/>
        <w:jc w:val="cente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附件4 </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初次报价明细表</w:t>
      </w:r>
    </w:p>
    <w:p w14:paraId="241D8C64">
      <w:pPr>
        <w:pStyle w:val="11"/>
        <w:jc w:val="left"/>
        <w:rPr>
          <w:rFonts w:hint="eastAsia" w:ascii="宋体" w:hAnsi="宋体" w:eastAsia="宋体" w:cs="宋体"/>
          <w:highlight w:val="none"/>
        </w:rPr>
      </w:pPr>
      <w:r>
        <w:rPr>
          <w:rFonts w:hint="eastAsia" w:ascii="宋体" w:hAnsi="宋体" w:eastAsia="宋体" w:cs="宋体"/>
          <w:color w:val="000000" w:themeColor="text1"/>
          <w:kern w:val="0"/>
          <w:sz w:val="24"/>
          <w:highlight w:val="none"/>
          <w14:textFill>
            <w14:solidFill>
              <w14:schemeClr w14:val="tx1"/>
            </w14:solidFill>
          </w14:textFill>
        </w:rPr>
        <w:t>项目编号：                                                    货币单位：元</w:t>
      </w:r>
    </w:p>
    <w:tbl>
      <w:tblPr>
        <w:tblStyle w:val="27"/>
        <w:tblW w:w="9435"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4"/>
        <w:gridCol w:w="1414"/>
        <w:gridCol w:w="942"/>
        <w:gridCol w:w="1558"/>
        <w:gridCol w:w="1508"/>
        <w:gridCol w:w="1038"/>
        <w:gridCol w:w="1038"/>
        <w:gridCol w:w="1193"/>
      </w:tblGrid>
      <w:tr w14:paraId="56FE0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4" w:type="dxa"/>
            <w:tcBorders>
              <w:top w:val="single" w:color="auto" w:sz="4" w:space="0"/>
              <w:left w:val="single" w:color="auto" w:sz="4" w:space="0"/>
              <w:bottom w:val="nil"/>
              <w:right w:val="single" w:color="auto" w:sz="4" w:space="0"/>
            </w:tcBorders>
            <w:noWrap w:val="0"/>
            <w:vAlign w:val="center"/>
          </w:tcPr>
          <w:p w14:paraId="241425D2">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序号</w:t>
            </w:r>
          </w:p>
        </w:tc>
        <w:tc>
          <w:tcPr>
            <w:tcW w:w="1414" w:type="dxa"/>
            <w:tcBorders>
              <w:top w:val="single" w:color="auto" w:sz="4" w:space="0"/>
              <w:left w:val="single" w:color="auto" w:sz="4" w:space="0"/>
              <w:bottom w:val="nil"/>
              <w:right w:val="single" w:color="auto" w:sz="4" w:space="0"/>
            </w:tcBorders>
            <w:noWrap w:val="0"/>
            <w:vAlign w:val="center"/>
          </w:tcPr>
          <w:p w14:paraId="60C0E809">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货物名称</w:t>
            </w:r>
          </w:p>
        </w:tc>
        <w:tc>
          <w:tcPr>
            <w:tcW w:w="942" w:type="dxa"/>
            <w:tcBorders>
              <w:top w:val="single" w:color="auto" w:sz="4" w:space="0"/>
              <w:left w:val="single" w:color="auto" w:sz="4" w:space="0"/>
              <w:bottom w:val="nil"/>
              <w:right w:val="single" w:color="auto" w:sz="4" w:space="0"/>
            </w:tcBorders>
            <w:noWrap w:val="0"/>
            <w:vAlign w:val="center"/>
          </w:tcPr>
          <w:p w14:paraId="62040A2A">
            <w:pPr>
              <w:widowControl/>
              <w:snapToGrid w:val="0"/>
              <w:spacing w:before="50" w:after="50" w:line="5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品牌</w:t>
            </w:r>
          </w:p>
        </w:tc>
        <w:tc>
          <w:tcPr>
            <w:tcW w:w="1558" w:type="dxa"/>
            <w:tcBorders>
              <w:top w:val="single" w:color="auto" w:sz="4" w:space="0"/>
              <w:left w:val="single" w:color="auto" w:sz="4" w:space="0"/>
              <w:bottom w:val="nil"/>
              <w:right w:val="single" w:color="auto" w:sz="4" w:space="0"/>
            </w:tcBorders>
            <w:noWrap w:val="0"/>
            <w:vAlign w:val="center"/>
          </w:tcPr>
          <w:p w14:paraId="484B6099">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规格型号</w:t>
            </w:r>
          </w:p>
        </w:tc>
        <w:tc>
          <w:tcPr>
            <w:tcW w:w="1508" w:type="dxa"/>
            <w:tcBorders>
              <w:top w:val="single" w:color="auto" w:sz="4" w:space="0"/>
              <w:left w:val="single" w:color="auto" w:sz="4" w:space="0"/>
              <w:bottom w:val="nil"/>
              <w:right w:val="single" w:color="auto" w:sz="4" w:space="0"/>
            </w:tcBorders>
            <w:noWrap w:val="0"/>
            <w:vAlign w:val="center"/>
          </w:tcPr>
          <w:p w14:paraId="0D283757">
            <w:pPr>
              <w:widowControl/>
              <w:tabs>
                <w:tab w:val="left" w:pos="1418"/>
              </w:tabs>
              <w:snapToGrid w:val="0"/>
              <w:spacing w:before="50" w:after="50" w:line="3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1038" w:type="dxa"/>
            <w:tcBorders>
              <w:top w:val="single" w:color="auto" w:sz="4" w:space="0"/>
              <w:left w:val="single" w:color="auto" w:sz="4" w:space="0"/>
              <w:bottom w:val="nil"/>
              <w:right w:val="single" w:color="auto" w:sz="4" w:space="0"/>
            </w:tcBorders>
            <w:noWrap w:val="0"/>
            <w:vAlign w:val="center"/>
          </w:tcPr>
          <w:p w14:paraId="59F60C85">
            <w:pPr>
              <w:widowControl/>
              <w:tabs>
                <w:tab w:val="left" w:pos="1418"/>
              </w:tabs>
              <w:snapToGrid w:val="0"/>
              <w:spacing w:before="50" w:after="50" w:line="36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单位</w:t>
            </w:r>
          </w:p>
        </w:tc>
        <w:tc>
          <w:tcPr>
            <w:tcW w:w="1038" w:type="dxa"/>
            <w:tcBorders>
              <w:top w:val="single" w:color="auto" w:sz="4" w:space="0"/>
              <w:left w:val="single" w:color="auto" w:sz="4" w:space="0"/>
              <w:bottom w:val="nil"/>
              <w:right w:val="single" w:color="auto" w:sz="4" w:space="0"/>
            </w:tcBorders>
            <w:noWrap w:val="0"/>
            <w:vAlign w:val="center"/>
          </w:tcPr>
          <w:p w14:paraId="40D8BA3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单价</w:t>
            </w:r>
          </w:p>
        </w:tc>
        <w:tc>
          <w:tcPr>
            <w:tcW w:w="1193" w:type="dxa"/>
            <w:tcBorders>
              <w:top w:val="single" w:color="auto" w:sz="4" w:space="0"/>
              <w:left w:val="single" w:color="auto" w:sz="4" w:space="0"/>
              <w:bottom w:val="nil"/>
              <w:right w:val="single" w:color="auto" w:sz="4" w:space="0"/>
            </w:tcBorders>
            <w:noWrap w:val="0"/>
            <w:vAlign w:val="center"/>
          </w:tcPr>
          <w:p w14:paraId="26A03369">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kern w:val="0"/>
                <w:sz w:val="24"/>
                <w:highlight w:val="none"/>
              </w:rPr>
              <w:t>金额</w:t>
            </w:r>
          </w:p>
        </w:tc>
      </w:tr>
      <w:tr w14:paraId="30DF0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noWrap w:val="0"/>
            <w:vAlign w:val="top"/>
          </w:tcPr>
          <w:p w14:paraId="593364D6">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3D2DE2B2">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1027169B">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6903F8D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01F32BC4">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03B0AEB1">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1F99E4C8">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4CE5F1A4">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3880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noWrap w:val="0"/>
            <w:vAlign w:val="top"/>
          </w:tcPr>
          <w:p w14:paraId="41C4E5E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7866E104">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723800FD">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05D0C57B">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429B286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31DFBBDD">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76C782E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17FBACB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29C72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noWrap w:val="0"/>
            <w:vAlign w:val="top"/>
          </w:tcPr>
          <w:p w14:paraId="0AA331D0">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5F1F6344">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6B5027F5">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0A43D1B0">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4D748A8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61B88E6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2ECBAA22">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4E41E2E1">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11EB2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noWrap w:val="0"/>
            <w:vAlign w:val="top"/>
          </w:tcPr>
          <w:p w14:paraId="0A645B27">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243218A1">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2AEF6E08">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6D0D0952">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439B29CB">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406D1DF6">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5B37236C">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06EA9593">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4604E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noWrap w:val="0"/>
            <w:vAlign w:val="top"/>
          </w:tcPr>
          <w:p w14:paraId="4E67EC74">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36BDC76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54C05C0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7784D730">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3C4C81A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18C06A58">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38F0C278">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059C1E55">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10A00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D09F83D">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414" w:type="dxa"/>
            <w:tcBorders>
              <w:top w:val="single" w:color="auto" w:sz="4" w:space="0"/>
              <w:left w:val="single" w:color="auto" w:sz="4" w:space="0"/>
              <w:bottom w:val="single" w:color="auto" w:sz="4" w:space="0"/>
              <w:right w:val="single" w:color="auto" w:sz="4" w:space="0"/>
            </w:tcBorders>
            <w:noWrap w:val="0"/>
            <w:vAlign w:val="top"/>
          </w:tcPr>
          <w:p w14:paraId="52F0133B">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942" w:type="dxa"/>
            <w:tcBorders>
              <w:top w:val="single" w:color="auto" w:sz="4" w:space="0"/>
              <w:left w:val="single" w:color="auto" w:sz="4" w:space="0"/>
              <w:bottom w:val="single" w:color="auto" w:sz="4" w:space="0"/>
              <w:right w:val="single" w:color="auto" w:sz="4" w:space="0"/>
            </w:tcBorders>
            <w:noWrap w:val="0"/>
            <w:vAlign w:val="top"/>
          </w:tcPr>
          <w:p w14:paraId="049D97E3">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58" w:type="dxa"/>
            <w:tcBorders>
              <w:top w:val="single" w:color="auto" w:sz="4" w:space="0"/>
              <w:left w:val="single" w:color="auto" w:sz="4" w:space="0"/>
              <w:bottom w:val="single" w:color="auto" w:sz="4" w:space="0"/>
              <w:right w:val="single" w:color="auto" w:sz="4" w:space="0"/>
            </w:tcBorders>
            <w:noWrap w:val="0"/>
            <w:vAlign w:val="top"/>
          </w:tcPr>
          <w:p w14:paraId="57190FD7">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5E60E71E">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78B3D459">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5B1DA24B">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457D57AD">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243CB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93917EA">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3914" w:type="dxa"/>
            <w:gridSpan w:val="3"/>
            <w:tcBorders>
              <w:top w:val="single" w:color="auto" w:sz="4" w:space="0"/>
              <w:left w:val="single" w:color="auto" w:sz="4" w:space="0"/>
              <w:bottom w:val="single" w:color="auto" w:sz="4" w:space="0"/>
              <w:right w:val="single" w:color="auto" w:sz="4" w:space="0"/>
            </w:tcBorders>
            <w:noWrap w:val="0"/>
            <w:vAlign w:val="top"/>
          </w:tcPr>
          <w:p w14:paraId="186341B1">
            <w:pPr>
              <w:widowControl/>
              <w:tabs>
                <w:tab w:val="left" w:pos="1418"/>
              </w:tabs>
              <w:snapToGrid w:val="0"/>
              <w:spacing w:before="50" w:after="50" w:line="500" w:lineRule="exact"/>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运输费、安装调试费、其他</w:t>
            </w:r>
          </w:p>
        </w:tc>
        <w:tc>
          <w:tcPr>
            <w:tcW w:w="1508" w:type="dxa"/>
            <w:tcBorders>
              <w:top w:val="single" w:color="auto" w:sz="4" w:space="0"/>
              <w:left w:val="single" w:color="auto" w:sz="4" w:space="0"/>
              <w:bottom w:val="single" w:color="auto" w:sz="4" w:space="0"/>
              <w:right w:val="single" w:color="auto" w:sz="4" w:space="0"/>
            </w:tcBorders>
            <w:noWrap w:val="0"/>
            <w:vAlign w:val="top"/>
          </w:tcPr>
          <w:p w14:paraId="1C90C8FF">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038" w:type="dxa"/>
            <w:tcBorders>
              <w:top w:val="single" w:color="auto" w:sz="4" w:space="0"/>
              <w:left w:val="single" w:color="auto" w:sz="4" w:space="0"/>
              <w:bottom w:val="single" w:color="auto" w:sz="4" w:space="0"/>
              <w:right w:val="single" w:color="auto" w:sz="4" w:space="0"/>
            </w:tcBorders>
            <w:noWrap w:val="0"/>
            <w:vAlign w:val="top"/>
          </w:tcPr>
          <w:p w14:paraId="7B77E2F6">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top"/>
          </w:tcPr>
          <w:p w14:paraId="515905D3">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35F366D2">
            <w:pPr>
              <w:widowControl/>
              <w:tabs>
                <w:tab w:val="left" w:pos="1418"/>
              </w:tabs>
              <w:snapToGrid w:val="0"/>
              <w:spacing w:before="50" w:after="50" w:line="500" w:lineRule="exact"/>
              <w:jc w:val="center"/>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 xml:space="preserve"> </w:t>
            </w:r>
          </w:p>
        </w:tc>
      </w:tr>
      <w:tr w14:paraId="57752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242" w:type="dxa"/>
            <w:gridSpan w:val="7"/>
            <w:tcBorders>
              <w:top w:val="single" w:color="auto" w:sz="4" w:space="0"/>
              <w:left w:val="single" w:color="auto" w:sz="4" w:space="0"/>
              <w:bottom w:val="single" w:color="auto" w:sz="4" w:space="0"/>
              <w:right w:val="single" w:color="auto" w:sz="4" w:space="0"/>
            </w:tcBorders>
            <w:noWrap w:val="0"/>
            <w:vAlign w:val="top"/>
          </w:tcPr>
          <w:p w14:paraId="3FB2A3AC">
            <w:pPr>
              <w:widowControl/>
              <w:tabs>
                <w:tab w:val="left" w:pos="1418"/>
              </w:tabs>
              <w:snapToGrid w:val="0"/>
              <w:spacing w:before="50" w:after="50" w:line="500" w:lineRule="exact"/>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lang w:val="en-US" w:eastAsia="zh-CN"/>
              </w:rPr>
              <w:t>磋商</w:t>
            </w:r>
            <w:r>
              <w:rPr>
                <w:rFonts w:hint="eastAsia" w:ascii="宋体" w:hAnsi="宋体" w:eastAsia="宋体" w:cs="宋体"/>
                <w:spacing w:val="20"/>
                <w:kern w:val="0"/>
                <w:sz w:val="24"/>
                <w:highlight w:val="none"/>
              </w:rPr>
              <w:t>总价(</w:t>
            </w:r>
            <w:r>
              <w:rPr>
                <w:rFonts w:hint="eastAsia" w:ascii="宋体" w:hAnsi="宋体" w:eastAsia="宋体" w:cs="宋体"/>
                <w:kern w:val="0"/>
                <w:sz w:val="24"/>
                <w:highlight w:val="none"/>
              </w:rPr>
              <w:t>大写)：</w:t>
            </w:r>
          </w:p>
        </w:tc>
        <w:tc>
          <w:tcPr>
            <w:tcW w:w="1193" w:type="dxa"/>
            <w:tcBorders>
              <w:top w:val="single" w:color="auto" w:sz="4" w:space="0"/>
              <w:left w:val="single" w:color="auto" w:sz="4" w:space="0"/>
              <w:bottom w:val="single" w:color="auto" w:sz="4" w:space="0"/>
              <w:right w:val="single" w:color="auto" w:sz="4" w:space="0"/>
            </w:tcBorders>
            <w:noWrap w:val="0"/>
            <w:vAlign w:val="top"/>
          </w:tcPr>
          <w:p w14:paraId="79FAB676">
            <w:pPr>
              <w:widowControl/>
              <w:tabs>
                <w:tab w:val="left" w:pos="1418"/>
              </w:tabs>
              <w:snapToGrid w:val="0"/>
              <w:spacing w:before="50" w:after="50" w:line="500" w:lineRule="exact"/>
              <w:rPr>
                <w:rFonts w:hint="eastAsia" w:ascii="宋体" w:hAnsi="宋体" w:eastAsia="宋体" w:cs="宋体"/>
                <w:spacing w:val="20"/>
                <w:kern w:val="0"/>
                <w:sz w:val="24"/>
                <w:highlight w:val="none"/>
              </w:rPr>
            </w:pPr>
            <w:r>
              <w:rPr>
                <w:rFonts w:hint="eastAsia" w:ascii="宋体" w:hAnsi="宋体" w:eastAsia="宋体" w:cs="宋体"/>
                <w:spacing w:val="20"/>
                <w:kern w:val="0"/>
                <w:sz w:val="24"/>
                <w:highlight w:val="none"/>
              </w:rPr>
              <w:t>￥</w:t>
            </w:r>
          </w:p>
        </w:tc>
      </w:tr>
    </w:tbl>
    <w:p w14:paraId="18714AE7">
      <w:pPr>
        <w:pStyle w:val="11"/>
        <w:rPr>
          <w:rFonts w:hint="eastAsia" w:ascii="宋体" w:hAnsi="宋体" w:eastAsia="宋体" w:cs="宋体"/>
          <w:color w:val="000000" w:themeColor="text1"/>
          <w:kern w:val="0"/>
          <w:highlight w:val="none"/>
          <w14:textFill>
            <w14:solidFill>
              <w14:schemeClr w14:val="tx1"/>
            </w14:solidFill>
          </w14:textFill>
        </w:rPr>
      </w:pPr>
    </w:p>
    <w:p w14:paraId="36CA43CB">
      <w:pPr>
        <w:pStyle w:val="23"/>
        <w:rPr>
          <w:rFonts w:hint="eastAsia" w:ascii="宋体" w:hAnsi="宋体" w:eastAsia="宋体" w:cs="宋体"/>
          <w:color w:val="000000" w:themeColor="text1"/>
          <w:kern w:val="0"/>
          <w:sz w:val="24"/>
          <w:highlight w:val="none"/>
          <w14:textFill>
            <w14:solidFill>
              <w14:schemeClr w14:val="tx1"/>
            </w14:solidFill>
          </w14:textFill>
        </w:rPr>
      </w:pPr>
    </w:p>
    <w:p w14:paraId="05294A9D">
      <w:pPr>
        <w:pStyle w:val="23"/>
        <w:rPr>
          <w:rFonts w:hint="eastAsia" w:ascii="宋体" w:hAnsi="宋体" w:eastAsia="宋体" w:cs="宋体"/>
          <w:color w:val="000000" w:themeColor="text1"/>
          <w:kern w:val="0"/>
          <w:sz w:val="24"/>
          <w:highlight w:val="none"/>
          <w14:textFill>
            <w14:solidFill>
              <w14:schemeClr w14:val="tx1"/>
            </w14:solidFill>
          </w14:textFill>
        </w:rPr>
      </w:pPr>
    </w:p>
    <w:p w14:paraId="0E974969">
      <w:pPr>
        <w:pStyle w:val="26"/>
        <w:ind w:firstLine="280"/>
        <w:rPr>
          <w:rFonts w:hint="eastAsia" w:ascii="宋体" w:hAnsi="宋体" w:eastAsia="宋体" w:cs="宋体"/>
          <w:color w:val="000000" w:themeColor="text1"/>
          <w:highlight w:val="none"/>
          <w14:textFill>
            <w14:solidFill>
              <w14:schemeClr w14:val="tx1"/>
            </w14:solidFill>
          </w14:textFill>
        </w:rPr>
      </w:pPr>
    </w:p>
    <w:p w14:paraId="3CDCDF19">
      <w:pPr>
        <w:widowControl/>
        <w:wordWrap w:val="0"/>
        <w:spacing w:line="460" w:lineRule="exact"/>
        <w:ind w:firstLine="2760" w:firstLineChars="115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highlight w:val="none"/>
          <w14:textFill>
            <w14:solidFill>
              <w14:schemeClr w14:val="tx1"/>
            </w14:solidFill>
          </w14:textFill>
        </w:rPr>
        <w:t xml:space="preserve">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9DEE199">
      <w:pPr>
        <w:widowControl/>
        <w:wordWrap w:val="0"/>
        <w:snapToGrid w:val="0"/>
        <w:spacing w:line="460" w:lineRule="exact"/>
        <w:ind w:firstLine="2760" w:firstLineChars="1150"/>
        <w:jc w:val="left"/>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6F4640E2">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B619536">
      <w:pPr>
        <w:pageBreakBefore/>
        <w:widowControl/>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footerReference r:id="rId18" w:type="default"/>
          <w:pgSz w:w="11906" w:h="16838"/>
          <w:pgMar w:top="1418" w:right="1134" w:bottom="1134" w:left="1701" w:header="851" w:footer="992" w:gutter="0"/>
          <w:pgNumType w:fmt="decimal"/>
          <w:cols w:space="720" w:num="1"/>
          <w:docGrid w:type="lines" w:linePitch="312" w:charSpace="0"/>
        </w:sectPr>
      </w:pPr>
    </w:p>
    <w:p w14:paraId="4179F896">
      <w:pPr>
        <w:keepNext w:val="0"/>
        <w:keepLines w:val="0"/>
        <w:pageBreakBefore w:val="0"/>
        <w:widowControl/>
        <w:shd w:val="clear" w:color="auto" w:fill="auto"/>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kern w:val="0"/>
          <w:sz w:val="24"/>
          <w:highlight w:val="none"/>
        </w:rPr>
      </w:pPr>
    </w:p>
    <w:p w14:paraId="5656D032">
      <w:pPr>
        <w:bidi w:val="0"/>
        <w:rPr>
          <w:rFonts w:hint="eastAsia" w:ascii="宋体" w:hAnsi="宋体" w:eastAsia="宋体" w:cs="宋体"/>
          <w:highlight w:val="none"/>
          <w:lang w:val="en-US" w:eastAsia="zh-CN"/>
        </w:rPr>
      </w:pPr>
    </w:p>
    <w:p w14:paraId="6E407BAD">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w:t>
      </w:r>
    </w:p>
    <w:tbl>
      <w:tblPr>
        <w:tblStyle w:val="2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44BA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B0DB5D">
            <w:pPr>
              <w:widowControl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447" w:type="dxa"/>
            <w:vAlign w:val="center"/>
          </w:tcPr>
          <w:p w14:paraId="3F5D07C4">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检测项目</w:t>
            </w:r>
          </w:p>
        </w:tc>
        <w:tc>
          <w:tcPr>
            <w:tcW w:w="1447" w:type="dxa"/>
            <w:vAlign w:val="center"/>
          </w:tcPr>
          <w:p w14:paraId="65DD73B4">
            <w:pPr>
              <w:keepNext w:val="0"/>
              <w:keepLines w:val="0"/>
              <w:widowControl/>
              <w:suppressLineNumbers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商品名称</w:t>
            </w:r>
          </w:p>
        </w:tc>
        <w:tc>
          <w:tcPr>
            <w:tcW w:w="1046" w:type="dxa"/>
            <w:vAlign w:val="center"/>
          </w:tcPr>
          <w:p w14:paraId="2C83B653">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注册</w:t>
            </w:r>
          </w:p>
          <w:p w14:paraId="59EF826E">
            <w:pPr>
              <w:keepNext w:val="0"/>
              <w:keepLines w:val="0"/>
              <w:widowControl/>
              <w:suppressLineNumbers w:val="0"/>
              <w:jc w:val="center"/>
              <w:rPr>
                <w:rFonts w:hint="eastAsia" w:ascii="宋体" w:hAnsi="宋体" w:eastAsia="宋体" w:cs="宋体"/>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证名称及注册证号</w:t>
            </w:r>
          </w:p>
        </w:tc>
        <w:tc>
          <w:tcPr>
            <w:tcW w:w="1046" w:type="dxa"/>
            <w:vAlign w:val="center"/>
          </w:tcPr>
          <w:p w14:paraId="5E81357C">
            <w:pPr>
              <w:keepNext w:val="0"/>
              <w:keepLines w:val="0"/>
              <w:widowControl/>
              <w:suppressLineNumbers w:val="0"/>
              <w:jc w:val="center"/>
              <w:rPr>
                <w:rFonts w:hint="eastAsia" w:ascii="宋体" w:hAnsi="宋体" w:eastAsia="宋体" w:cs="宋体"/>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品牌</w:t>
            </w:r>
          </w:p>
          <w:p w14:paraId="1930FA02">
            <w:pPr>
              <w:keepNext w:val="0"/>
              <w:keepLines w:val="0"/>
              <w:widowControl/>
              <w:suppressLineNumbers w:val="0"/>
              <w:jc w:val="center"/>
              <w:rPr>
                <w:rFonts w:hint="eastAsia" w:ascii="宋体" w:hAnsi="宋体" w:eastAsia="宋体" w:cs="宋体"/>
                <w:sz w:val="21"/>
                <w:szCs w:val="21"/>
                <w:highlight w:val="none"/>
                <w:vertAlign w:val="baseline"/>
              </w:rPr>
            </w:pPr>
          </w:p>
        </w:tc>
        <w:tc>
          <w:tcPr>
            <w:tcW w:w="1046" w:type="dxa"/>
            <w:vAlign w:val="center"/>
          </w:tcPr>
          <w:p w14:paraId="06BAAFED">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规格型号</w:t>
            </w:r>
          </w:p>
        </w:tc>
        <w:tc>
          <w:tcPr>
            <w:tcW w:w="1164" w:type="dxa"/>
            <w:vAlign w:val="center"/>
          </w:tcPr>
          <w:p w14:paraId="13AE0DE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生产企业</w:t>
            </w:r>
          </w:p>
        </w:tc>
        <w:tc>
          <w:tcPr>
            <w:tcW w:w="929" w:type="dxa"/>
            <w:vAlign w:val="center"/>
          </w:tcPr>
          <w:p w14:paraId="2159F83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试验方法</w:t>
            </w:r>
          </w:p>
        </w:tc>
        <w:tc>
          <w:tcPr>
            <w:tcW w:w="929" w:type="dxa"/>
            <w:vAlign w:val="center"/>
          </w:tcPr>
          <w:p w14:paraId="14579E27">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计价</w:t>
            </w:r>
          </w:p>
          <w:p w14:paraId="7F8A3881">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单位</w:t>
            </w:r>
          </w:p>
        </w:tc>
        <w:tc>
          <w:tcPr>
            <w:tcW w:w="1046" w:type="dxa"/>
            <w:vAlign w:val="center"/>
          </w:tcPr>
          <w:p w14:paraId="0BA84A9C">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单价</w:t>
            </w:r>
          </w:p>
          <w:p w14:paraId="49230F8E">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（元/每人份）</w:t>
            </w:r>
          </w:p>
        </w:tc>
        <w:tc>
          <w:tcPr>
            <w:tcW w:w="1609" w:type="dxa"/>
            <w:vAlign w:val="center"/>
          </w:tcPr>
          <w:p w14:paraId="22487D42">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网采号</w:t>
            </w:r>
          </w:p>
        </w:tc>
        <w:tc>
          <w:tcPr>
            <w:tcW w:w="1908" w:type="dxa"/>
            <w:vAlign w:val="center"/>
          </w:tcPr>
          <w:p w14:paraId="128A9DEC">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省、市、县</w:t>
            </w:r>
          </w:p>
          <w:p w14:paraId="5F6E52A9">
            <w:pPr>
              <w:widowControl w:val="0"/>
              <w:spacing w:line="320" w:lineRule="exact"/>
              <w:jc w:val="center"/>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收费编码</w:t>
            </w:r>
          </w:p>
          <w:p w14:paraId="61A09AE3">
            <w:pPr>
              <w:widowControl w:val="0"/>
              <w:spacing w:line="320" w:lineRule="exact"/>
              <w:jc w:val="center"/>
              <w:outlineLvl w:val="0"/>
              <w:rPr>
                <w:rFonts w:hint="eastAsia" w:ascii="宋体" w:hAnsi="宋体" w:eastAsia="宋体" w:cs="宋体"/>
                <w:sz w:val="21"/>
                <w:szCs w:val="21"/>
                <w:highlight w:val="none"/>
                <w:vertAlign w:val="baseline"/>
              </w:rPr>
            </w:pPr>
            <w:r>
              <w:rPr>
                <w:rFonts w:hint="eastAsia" w:ascii="宋体" w:hAnsi="宋体" w:eastAsia="宋体" w:cs="宋体"/>
                <w:b/>
                <w:sz w:val="21"/>
                <w:szCs w:val="21"/>
                <w:highlight w:val="none"/>
              </w:rPr>
              <w:t>收费标准</w:t>
            </w:r>
          </w:p>
        </w:tc>
      </w:tr>
      <w:tr w14:paraId="19B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7B3A85">
            <w:pPr>
              <w:widowControl w:val="0"/>
              <w:rPr>
                <w:rFonts w:hint="eastAsia" w:ascii="宋体" w:hAnsi="宋体" w:eastAsia="宋体" w:cs="宋体"/>
                <w:highlight w:val="none"/>
                <w:vertAlign w:val="baseline"/>
              </w:rPr>
            </w:pPr>
          </w:p>
        </w:tc>
        <w:tc>
          <w:tcPr>
            <w:tcW w:w="1447" w:type="dxa"/>
            <w:vMerge w:val="restart"/>
          </w:tcPr>
          <w:p w14:paraId="52DDAA0B">
            <w:pPr>
              <w:widowControl w:val="0"/>
              <w:rPr>
                <w:rFonts w:hint="eastAsia" w:ascii="宋体" w:hAnsi="宋体" w:eastAsia="宋体" w:cs="宋体"/>
                <w:highlight w:val="none"/>
                <w:vertAlign w:val="baseline"/>
              </w:rPr>
            </w:pPr>
          </w:p>
        </w:tc>
        <w:tc>
          <w:tcPr>
            <w:tcW w:w="1447" w:type="dxa"/>
          </w:tcPr>
          <w:p w14:paraId="6A69C71A">
            <w:pPr>
              <w:widowControl w:val="0"/>
              <w:rPr>
                <w:rFonts w:hint="eastAsia" w:ascii="宋体" w:hAnsi="宋体" w:eastAsia="宋体" w:cs="宋体"/>
                <w:highlight w:val="none"/>
                <w:vertAlign w:val="baseline"/>
              </w:rPr>
            </w:pPr>
          </w:p>
        </w:tc>
        <w:tc>
          <w:tcPr>
            <w:tcW w:w="1046" w:type="dxa"/>
          </w:tcPr>
          <w:p w14:paraId="6B04CC71">
            <w:pPr>
              <w:widowControl w:val="0"/>
              <w:rPr>
                <w:rFonts w:hint="eastAsia" w:ascii="宋体" w:hAnsi="宋体" w:eastAsia="宋体" w:cs="宋体"/>
                <w:highlight w:val="none"/>
                <w:vertAlign w:val="baseline"/>
              </w:rPr>
            </w:pPr>
          </w:p>
        </w:tc>
        <w:tc>
          <w:tcPr>
            <w:tcW w:w="1046" w:type="dxa"/>
          </w:tcPr>
          <w:p w14:paraId="7F801CF7">
            <w:pPr>
              <w:widowControl w:val="0"/>
              <w:rPr>
                <w:rFonts w:hint="eastAsia" w:ascii="宋体" w:hAnsi="宋体" w:eastAsia="宋体" w:cs="宋体"/>
                <w:highlight w:val="none"/>
                <w:vertAlign w:val="baseline"/>
              </w:rPr>
            </w:pPr>
          </w:p>
        </w:tc>
        <w:tc>
          <w:tcPr>
            <w:tcW w:w="1046" w:type="dxa"/>
          </w:tcPr>
          <w:p w14:paraId="7C23672E">
            <w:pPr>
              <w:widowControl w:val="0"/>
              <w:rPr>
                <w:rFonts w:hint="eastAsia" w:ascii="宋体" w:hAnsi="宋体" w:eastAsia="宋体" w:cs="宋体"/>
                <w:highlight w:val="none"/>
                <w:vertAlign w:val="baseline"/>
              </w:rPr>
            </w:pPr>
          </w:p>
        </w:tc>
        <w:tc>
          <w:tcPr>
            <w:tcW w:w="1164" w:type="dxa"/>
          </w:tcPr>
          <w:p w14:paraId="49A4C3C1">
            <w:pPr>
              <w:widowControl w:val="0"/>
              <w:rPr>
                <w:rFonts w:hint="eastAsia" w:ascii="宋体" w:hAnsi="宋体" w:eastAsia="宋体" w:cs="宋体"/>
                <w:highlight w:val="none"/>
                <w:vertAlign w:val="baseline"/>
              </w:rPr>
            </w:pPr>
          </w:p>
        </w:tc>
        <w:tc>
          <w:tcPr>
            <w:tcW w:w="929" w:type="dxa"/>
          </w:tcPr>
          <w:p w14:paraId="5992A546">
            <w:pPr>
              <w:widowControl w:val="0"/>
              <w:rPr>
                <w:rFonts w:hint="eastAsia" w:ascii="宋体" w:hAnsi="宋体" w:eastAsia="宋体" w:cs="宋体"/>
                <w:highlight w:val="none"/>
                <w:vertAlign w:val="baseline"/>
              </w:rPr>
            </w:pPr>
          </w:p>
        </w:tc>
        <w:tc>
          <w:tcPr>
            <w:tcW w:w="929" w:type="dxa"/>
          </w:tcPr>
          <w:p w14:paraId="11EC4CEB">
            <w:pPr>
              <w:widowControl w:val="0"/>
              <w:rPr>
                <w:rFonts w:hint="eastAsia" w:ascii="宋体" w:hAnsi="宋体" w:eastAsia="宋体" w:cs="宋体"/>
                <w:highlight w:val="none"/>
                <w:vertAlign w:val="baseline"/>
              </w:rPr>
            </w:pPr>
          </w:p>
        </w:tc>
        <w:tc>
          <w:tcPr>
            <w:tcW w:w="1046" w:type="dxa"/>
          </w:tcPr>
          <w:p w14:paraId="528856C3">
            <w:pPr>
              <w:widowControl w:val="0"/>
              <w:rPr>
                <w:rFonts w:hint="eastAsia" w:ascii="宋体" w:hAnsi="宋体" w:eastAsia="宋体" w:cs="宋体"/>
                <w:highlight w:val="none"/>
                <w:vertAlign w:val="baseline"/>
              </w:rPr>
            </w:pPr>
          </w:p>
        </w:tc>
        <w:tc>
          <w:tcPr>
            <w:tcW w:w="1609" w:type="dxa"/>
          </w:tcPr>
          <w:p w14:paraId="0CAC4221">
            <w:pPr>
              <w:widowControl w:val="0"/>
              <w:rPr>
                <w:rFonts w:hint="eastAsia" w:ascii="宋体" w:hAnsi="宋体" w:eastAsia="宋体" w:cs="宋体"/>
                <w:highlight w:val="none"/>
                <w:vertAlign w:val="baseline"/>
              </w:rPr>
            </w:pPr>
          </w:p>
        </w:tc>
        <w:tc>
          <w:tcPr>
            <w:tcW w:w="1908" w:type="dxa"/>
          </w:tcPr>
          <w:p w14:paraId="043D9D61">
            <w:pPr>
              <w:widowControl w:val="0"/>
              <w:rPr>
                <w:rFonts w:hint="eastAsia" w:ascii="宋体" w:hAnsi="宋体" w:eastAsia="宋体" w:cs="宋体"/>
                <w:highlight w:val="none"/>
                <w:vertAlign w:val="baseline"/>
              </w:rPr>
            </w:pPr>
          </w:p>
        </w:tc>
      </w:tr>
      <w:tr w14:paraId="512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78877D2">
            <w:pPr>
              <w:widowControl w:val="0"/>
              <w:rPr>
                <w:rFonts w:hint="eastAsia" w:ascii="宋体" w:hAnsi="宋体" w:eastAsia="宋体" w:cs="宋体"/>
                <w:highlight w:val="none"/>
                <w:vertAlign w:val="baseline"/>
              </w:rPr>
            </w:pPr>
          </w:p>
        </w:tc>
        <w:tc>
          <w:tcPr>
            <w:tcW w:w="1447" w:type="dxa"/>
            <w:vMerge w:val="continue"/>
          </w:tcPr>
          <w:p w14:paraId="55CBC890">
            <w:pPr>
              <w:widowControl w:val="0"/>
              <w:rPr>
                <w:rFonts w:hint="eastAsia" w:ascii="宋体" w:hAnsi="宋体" w:eastAsia="宋体" w:cs="宋体"/>
                <w:highlight w:val="none"/>
                <w:vertAlign w:val="baseline"/>
              </w:rPr>
            </w:pPr>
          </w:p>
        </w:tc>
        <w:tc>
          <w:tcPr>
            <w:tcW w:w="1447" w:type="dxa"/>
          </w:tcPr>
          <w:p w14:paraId="181C8706">
            <w:pPr>
              <w:widowControl w:val="0"/>
              <w:rPr>
                <w:rFonts w:hint="eastAsia" w:ascii="宋体" w:hAnsi="宋体" w:eastAsia="宋体" w:cs="宋体"/>
                <w:highlight w:val="none"/>
                <w:vertAlign w:val="baseline"/>
              </w:rPr>
            </w:pPr>
          </w:p>
        </w:tc>
        <w:tc>
          <w:tcPr>
            <w:tcW w:w="1046" w:type="dxa"/>
          </w:tcPr>
          <w:p w14:paraId="3FCD5877">
            <w:pPr>
              <w:widowControl w:val="0"/>
              <w:rPr>
                <w:rFonts w:hint="eastAsia" w:ascii="宋体" w:hAnsi="宋体" w:eastAsia="宋体" w:cs="宋体"/>
                <w:highlight w:val="none"/>
                <w:vertAlign w:val="baseline"/>
              </w:rPr>
            </w:pPr>
          </w:p>
        </w:tc>
        <w:tc>
          <w:tcPr>
            <w:tcW w:w="1046" w:type="dxa"/>
          </w:tcPr>
          <w:p w14:paraId="63D559BE">
            <w:pPr>
              <w:widowControl w:val="0"/>
              <w:rPr>
                <w:rFonts w:hint="eastAsia" w:ascii="宋体" w:hAnsi="宋体" w:eastAsia="宋体" w:cs="宋体"/>
                <w:highlight w:val="none"/>
                <w:vertAlign w:val="baseline"/>
              </w:rPr>
            </w:pPr>
          </w:p>
        </w:tc>
        <w:tc>
          <w:tcPr>
            <w:tcW w:w="1046" w:type="dxa"/>
          </w:tcPr>
          <w:p w14:paraId="6288F88D">
            <w:pPr>
              <w:widowControl w:val="0"/>
              <w:rPr>
                <w:rFonts w:hint="eastAsia" w:ascii="宋体" w:hAnsi="宋体" w:eastAsia="宋体" w:cs="宋体"/>
                <w:highlight w:val="none"/>
                <w:vertAlign w:val="baseline"/>
              </w:rPr>
            </w:pPr>
          </w:p>
        </w:tc>
        <w:tc>
          <w:tcPr>
            <w:tcW w:w="1164" w:type="dxa"/>
          </w:tcPr>
          <w:p w14:paraId="6F708B27">
            <w:pPr>
              <w:widowControl w:val="0"/>
              <w:rPr>
                <w:rFonts w:hint="eastAsia" w:ascii="宋体" w:hAnsi="宋体" w:eastAsia="宋体" w:cs="宋体"/>
                <w:highlight w:val="none"/>
                <w:vertAlign w:val="baseline"/>
              </w:rPr>
            </w:pPr>
          </w:p>
        </w:tc>
        <w:tc>
          <w:tcPr>
            <w:tcW w:w="929" w:type="dxa"/>
          </w:tcPr>
          <w:p w14:paraId="33277F51">
            <w:pPr>
              <w:widowControl w:val="0"/>
              <w:rPr>
                <w:rFonts w:hint="eastAsia" w:ascii="宋体" w:hAnsi="宋体" w:eastAsia="宋体" w:cs="宋体"/>
                <w:highlight w:val="none"/>
                <w:vertAlign w:val="baseline"/>
              </w:rPr>
            </w:pPr>
          </w:p>
        </w:tc>
        <w:tc>
          <w:tcPr>
            <w:tcW w:w="929" w:type="dxa"/>
          </w:tcPr>
          <w:p w14:paraId="5E45CCE8">
            <w:pPr>
              <w:widowControl w:val="0"/>
              <w:rPr>
                <w:rFonts w:hint="eastAsia" w:ascii="宋体" w:hAnsi="宋体" w:eastAsia="宋体" w:cs="宋体"/>
                <w:highlight w:val="none"/>
                <w:vertAlign w:val="baseline"/>
              </w:rPr>
            </w:pPr>
          </w:p>
        </w:tc>
        <w:tc>
          <w:tcPr>
            <w:tcW w:w="1046" w:type="dxa"/>
          </w:tcPr>
          <w:p w14:paraId="45E0489D">
            <w:pPr>
              <w:widowControl w:val="0"/>
              <w:rPr>
                <w:rFonts w:hint="eastAsia" w:ascii="宋体" w:hAnsi="宋体" w:eastAsia="宋体" w:cs="宋体"/>
                <w:highlight w:val="none"/>
                <w:vertAlign w:val="baseline"/>
              </w:rPr>
            </w:pPr>
          </w:p>
        </w:tc>
        <w:tc>
          <w:tcPr>
            <w:tcW w:w="1609" w:type="dxa"/>
          </w:tcPr>
          <w:p w14:paraId="1041B720">
            <w:pPr>
              <w:widowControl w:val="0"/>
              <w:rPr>
                <w:rFonts w:hint="eastAsia" w:ascii="宋体" w:hAnsi="宋体" w:eastAsia="宋体" w:cs="宋体"/>
                <w:highlight w:val="none"/>
                <w:vertAlign w:val="baseline"/>
              </w:rPr>
            </w:pPr>
          </w:p>
        </w:tc>
        <w:tc>
          <w:tcPr>
            <w:tcW w:w="1908" w:type="dxa"/>
          </w:tcPr>
          <w:p w14:paraId="3B2D1F90">
            <w:pPr>
              <w:widowControl w:val="0"/>
              <w:rPr>
                <w:rFonts w:hint="eastAsia" w:ascii="宋体" w:hAnsi="宋体" w:eastAsia="宋体" w:cs="宋体"/>
                <w:highlight w:val="none"/>
                <w:vertAlign w:val="baseline"/>
              </w:rPr>
            </w:pPr>
          </w:p>
        </w:tc>
      </w:tr>
      <w:tr w14:paraId="5FFF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73D1C309">
            <w:pPr>
              <w:widowControl w:val="0"/>
              <w:rPr>
                <w:rFonts w:hint="eastAsia" w:ascii="宋体" w:hAnsi="宋体" w:eastAsia="宋体" w:cs="宋体"/>
                <w:highlight w:val="none"/>
                <w:vertAlign w:val="baseline"/>
              </w:rPr>
            </w:pPr>
          </w:p>
        </w:tc>
        <w:tc>
          <w:tcPr>
            <w:tcW w:w="1447" w:type="dxa"/>
            <w:vMerge w:val="restart"/>
          </w:tcPr>
          <w:p w14:paraId="5E5675A5">
            <w:pPr>
              <w:widowControl w:val="0"/>
              <w:rPr>
                <w:rFonts w:hint="eastAsia" w:ascii="宋体" w:hAnsi="宋体" w:eastAsia="宋体" w:cs="宋体"/>
                <w:highlight w:val="none"/>
                <w:vertAlign w:val="baseline"/>
              </w:rPr>
            </w:pPr>
          </w:p>
        </w:tc>
        <w:tc>
          <w:tcPr>
            <w:tcW w:w="1447" w:type="dxa"/>
          </w:tcPr>
          <w:p w14:paraId="24488D02">
            <w:pPr>
              <w:widowControl w:val="0"/>
              <w:rPr>
                <w:rFonts w:hint="eastAsia" w:ascii="宋体" w:hAnsi="宋体" w:eastAsia="宋体" w:cs="宋体"/>
                <w:highlight w:val="none"/>
                <w:vertAlign w:val="baseline"/>
              </w:rPr>
            </w:pPr>
          </w:p>
        </w:tc>
        <w:tc>
          <w:tcPr>
            <w:tcW w:w="1046" w:type="dxa"/>
          </w:tcPr>
          <w:p w14:paraId="29EB72B0">
            <w:pPr>
              <w:widowControl w:val="0"/>
              <w:rPr>
                <w:rFonts w:hint="eastAsia" w:ascii="宋体" w:hAnsi="宋体" w:eastAsia="宋体" w:cs="宋体"/>
                <w:highlight w:val="none"/>
                <w:vertAlign w:val="baseline"/>
              </w:rPr>
            </w:pPr>
          </w:p>
        </w:tc>
        <w:tc>
          <w:tcPr>
            <w:tcW w:w="1046" w:type="dxa"/>
          </w:tcPr>
          <w:p w14:paraId="43CD23A8">
            <w:pPr>
              <w:widowControl w:val="0"/>
              <w:rPr>
                <w:rFonts w:hint="eastAsia" w:ascii="宋体" w:hAnsi="宋体" w:eastAsia="宋体" w:cs="宋体"/>
                <w:highlight w:val="none"/>
                <w:vertAlign w:val="baseline"/>
              </w:rPr>
            </w:pPr>
          </w:p>
        </w:tc>
        <w:tc>
          <w:tcPr>
            <w:tcW w:w="1046" w:type="dxa"/>
          </w:tcPr>
          <w:p w14:paraId="066A36B6">
            <w:pPr>
              <w:widowControl w:val="0"/>
              <w:rPr>
                <w:rFonts w:hint="eastAsia" w:ascii="宋体" w:hAnsi="宋体" w:eastAsia="宋体" w:cs="宋体"/>
                <w:highlight w:val="none"/>
                <w:vertAlign w:val="baseline"/>
              </w:rPr>
            </w:pPr>
          </w:p>
        </w:tc>
        <w:tc>
          <w:tcPr>
            <w:tcW w:w="1164" w:type="dxa"/>
          </w:tcPr>
          <w:p w14:paraId="317633BD">
            <w:pPr>
              <w:widowControl w:val="0"/>
              <w:rPr>
                <w:rFonts w:hint="eastAsia" w:ascii="宋体" w:hAnsi="宋体" w:eastAsia="宋体" w:cs="宋体"/>
                <w:highlight w:val="none"/>
                <w:vertAlign w:val="baseline"/>
              </w:rPr>
            </w:pPr>
          </w:p>
        </w:tc>
        <w:tc>
          <w:tcPr>
            <w:tcW w:w="929" w:type="dxa"/>
          </w:tcPr>
          <w:p w14:paraId="20D4C0C8">
            <w:pPr>
              <w:widowControl w:val="0"/>
              <w:rPr>
                <w:rFonts w:hint="eastAsia" w:ascii="宋体" w:hAnsi="宋体" w:eastAsia="宋体" w:cs="宋体"/>
                <w:highlight w:val="none"/>
                <w:vertAlign w:val="baseline"/>
              </w:rPr>
            </w:pPr>
          </w:p>
        </w:tc>
        <w:tc>
          <w:tcPr>
            <w:tcW w:w="929" w:type="dxa"/>
          </w:tcPr>
          <w:p w14:paraId="07D7ADE7">
            <w:pPr>
              <w:widowControl w:val="0"/>
              <w:rPr>
                <w:rFonts w:hint="eastAsia" w:ascii="宋体" w:hAnsi="宋体" w:eastAsia="宋体" w:cs="宋体"/>
                <w:highlight w:val="none"/>
                <w:vertAlign w:val="baseline"/>
              </w:rPr>
            </w:pPr>
          </w:p>
        </w:tc>
        <w:tc>
          <w:tcPr>
            <w:tcW w:w="1046" w:type="dxa"/>
          </w:tcPr>
          <w:p w14:paraId="66A2A7A6">
            <w:pPr>
              <w:widowControl w:val="0"/>
              <w:rPr>
                <w:rFonts w:hint="eastAsia" w:ascii="宋体" w:hAnsi="宋体" w:eastAsia="宋体" w:cs="宋体"/>
                <w:highlight w:val="none"/>
                <w:vertAlign w:val="baseline"/>
              </w:rPr>
            </w:pPr>
          </w:p>
        </w:tc>
        <w:tc>
          <w:tcPr>
            <w:tcW w:w="1609" w:type="dxa"/>
          </w:tcPr>
          <w:p w14:paraId="048C5011">
            <w:pPr>
              <w:widowControl w:val="0"/>
              <w:rPr>
                <w:rFonts w:hint="eastAsia" w:ascii="宋体" w:hAnsi="宋体" w:eastAsia="宋体" w:cs="宋体"/>
                <w:highlight w:val="none"/>
                <w:vertAlign w:val="baseline"/>
              </w:rPr>
            </w:pPr>
          </w:p>
        </w:tc>
        <w:tc>
          <w:tcPr>
            <w:tcW w:w="1908" w:type="dxa"/>
          </w:tcPr>
          <w:p w14:paraId="76069696">
            <w:pPr>
              <w:widowControl w:val="0"/>
              <w:rPr>
                <w:rFonts w:hint="eastAsia" w:ascii="宋体" w:hAnsi="宋体" w:eastAsia="宋体" w:cs="宋体"/>
                <w:highlight w:val="none"/>
                <w:vertAlign w:val="baseline"/>
              </w:rPr>
            </w:pPr>
          </w:p>
        </w:tc>
      </w:tr>
      <w:tr w14:paraId="2F7B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6E3AD41F">
            <w:pPr>
              <w:widowControl w:val="0"/>
              <w:rPr>
                <w:rFonts w:hint="eastAsia" w:ascii="宋体" w:hAnsi="宋体" w:eastAsia="宋体" w:cs="宋体"/>
                <w:highlight w:val="none"/>
                <w:vertAlign w:val="baseline"/>
              </w:rPr>
            </w:pPr>
          </w:p>
        </w:tc>
        <w:tc>
          <w:tcPr>
            <w:tcW w:w="1447" w:type="dxa"/>
            <w:vMerge w:val="continue"/>
          </w:tcPr>
          <w:p w14:paraId="706CFE8B">
            <w:pPr>
              <w:widowControl w:val="0"/>
              <w:rPr>
                <w:rFonts w:hint="eastAsia" w:ascii="宋体" w:hAnsi="宋体" w:eastAsia="宋体" w:cs="宋体"/>
                <w:highlight w:val="none"/>
                <w:vertAlign w:val="baseline"/>
              </w:rPr>
            </w:pPr>
          </w:p>
        </w:tc>
        <w:tc>
          <w:tcPr>
            <w:tcW w:w="1447" w:type="dxa"/>
          </w:tcPr>
          <w:p w14:paraId="2BB5F98D">
            <w:pPr>
              <w:widowControl w:val="0"/>
              <w:rPr>
                <w:rFonts w:hint="eastAsia" w:ascii="宋体" w:hAnsi="宋体" w:eastAsia="宋体" w:cs="宋体"/>
                <w:highlight w:val="none"/>
                <w:vertAlign w:val="baseline"/>
              </w:rPr>
            </w:pPr>
          </w:p>
        </w:tc>
        <w:tc>
          <w:tcPr>
            <w:tcW w:w="1046" w:type="dxa"/>
          </w:tcPr>
          <w:p w14:paraId="1480EC1E">
            <w:pPr>
              <w:widowControl w:val="0"/>
              <w:rPr>
                <w:rFonts w:hint="eastAsia" w:ascii="宋体" w:hAnsi="宋体" w:eastAsia="宋体" w:cs="宋体"/>
                <w:highlight w:val="none"/>
                <w:vertAlign w:val="baseline"/>
              </w:rPr>
            </w:pPr>
          </w:p>
        </w:tc>
        <w:tc>
          <w:tcPr>
            <w:tcW w:w="1046" w:type="dxa"/>
          </w:tcPr>
          <w:p w14:paraId="245392ED">
            <w:pPr>
              <w:widowControl w:val="0"/>
              <w:rPr>
                <w:rFonts w:hint="eastAsia" w:ascii="宋体" w:hAnsi="宋体" w:eastAsia="宋体" w:cs="宋体"/>
                <w:highlight w:val="none"/>
                <w:vertAlign w:val="baseline"/>
              </w:rPr>
            </w:pPr>
          </w:p>
        </w:tc>
        <w:tc>
          <w:tcPr>
            <w:tcW w:w="1046" w:type="dxa"/>
          </w:tcPr>
          <w:p w14:paraId="645E935B">
            <w:pPr>
              <w:widowControl w:val="0"/>
              <w:rPr>
                <w:rFonts w:hint="eastAsia" w:ascii="宋体" w:hAnsi="宋体" w:eastAsia="宋体" w:cs="宋体"/>
                <w:highlight w:val="none"/>
                <w:vertAlign w:val="baseline"/>
              </w:rPr>
            </w:pPr>
          </w:p>
        </w:tc>
        <w:tc>
          <w:tcPr>
            <w:tcW w:w="1164" w:type="dxa"/>
          </w:tcPr>
          <w:p w14:paraId="29394A35">
            <w:pPr>
              <w:widowControl w:val="0"/>
              <w:rPr>
                <w:rFonts w:hint="eastAsia" w:ascii="宋体" w:hAnsi="宋体" w:eastAsia="宋体" w:cs="宋体"/>
                <w:highlight w:val="none"/>
                <w:vertAlign w:val="baseline"/>
              </w:rPr>
            </w:pPr>
          </w:p>
        </w:tc>
        <w:tc>
          <w:tcPr>
            <w:tcW w:w="929" w:type="dxa"/>
          </w:tcPr>
          <w:p w14:paraId="16EE7910">
            <w:pPr>
              <w:widowControl w:val="0"/>
              <w:rPr>
                <w:rFonts w:hint="eastAsia" w:ascii="宋体" w:hAnsi="宋体" w:eastAsia="宋体" w:cs="宋体"/>
                <w:highlight w:val="none"/>
                <w:vertAlign w:val="baseline"/>
              </w:rPr>
            </w:pPr>
          </w:p>
        </w:tc>
        <w:tc>
          <w:tcPr>
            <w:tcW w:w="929" w:type="dxa"/>
          </w:tcPr>
          <w:p w14:paraId="6B9795EA">
            <w:pPr>
              <w:widowControl w:val="0"/>
              <w:rPr>
                <w:rFonts w:hint="eastAsia" w:ascii="宋体" w:hAnsi="宋体" w:eastAsia="宋体" w:cs="宋体"/>
                <w:highlight w:val="none"/>
                <w:vertAlign w:val="baseline"/>
              </w:rPr>
            </w:pPr>
          </w:p>
        </w:tc>
        <w:tc>
          <w:tcPr>
            <w:tcW w:w="1046" w:type="dxa"/>
          </w:tcPr>
          <w:p w14:paraId="744EA36B">
            <w:pPr>
              <w:widowControl w:val="0"/>
              <w:rPr>
                <w:rFonts w:hint="eastAsia" w:ascii="宋体" w:hAnsi="宋体" w:eastAsia="宋体" w:cs="宋体"/>
                <w:highlight w:val="none"/>
                <w:vertAlign w:val="baseline"/>
              </w:rPr>
            </w:pPr>
          </w:p>
        </w:tc>
        <w:tc>
          <w:tcPr>
            <w:tcW w:w="1609" w:type="dxa"/>
          </w:tcPr>
          <w:p w14:paraId="3B17B651">
            <w:pPr>
              <w:widowControl w:val="0"/>
              <w:rPr>
                <w:rFonts w:hint="eastAsia" w:ascii="宋体" w:hAnsi="宋体" w:eastAsia="宋体" w:cs="宋体"/>
                <w:highlight w:val="none"/>
                <w:vertAlign w:val="baseline"/>
              </w:rPr>
            </w:pPr>
          </w:p>
        </w:tc>
        <w:tc>
          <w:tcPr>
            <w:tcW w:w="1908" w:type="dxa"/>
          </w:tcPr>
          <w:p w14:paraId="5EFE56A2">
            <w:pPr>
              <w:widowControl w:val="0"/>
              <w:rPr>
                <w:rFonts w:hint="eastAsia" w:ascii="宋体" w:hAnsi="宋体" w:eastAsia="宋体" w:cs="宋体"/>
                <w:highlight w:val="none"/>
                <w:vertAlign w:val="baseline"/>
              </w:rPr>
            </w:pPr>
          </w:p>
        </w:tc>
      </w:tr>
    </w:tbl>
    <w:p w14:paraId="644712BE">
      <w:pPr>
        <w:rPr>
          <w:rFonts w:hint="eastAsia" w:ascii="宋体" w:hAnsi="宋体" w:eastAsia="宋体" w:cs="宋体"/>
          <w:highlight w:val="none"/>
        </w:rPr>
      </w:pPr>
    </w:p>
    <w:p w14:paraId="5BB80BD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051A36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23BD8016">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1B2500E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请按照</w:t>
      </w:r>
      <w:r>
        <w:rPr>
          <w:rFonts w:hint="eastAsia" w:ascii="宋体" w:hAnsi="宋体" w:eastAsia="宋体" w:cs="宋体"/>
          <w:b/>
          <w:bCs/>
          <w:color w:val="auto"/>
          <w:sz w:val="24"/>
          <w:szCs w:val="24"/>
          <w:highlight w:val="none"/>
          <w:lang w:val="en-US" w:eastAsia="zh-CN"/>
        </w:rPr>
        <w:t>检测项目填写试剂</w:t>
      </w:r>
      <w:r>
        <w:rPr>
          <w:rFonts w:hint="eastAsia" w:ascii="宋体" w:hAnsi="宋体" w:eastAsia="宋体" w:cs="宋体"/>
          <w:b/>
          <w:bCs/>
          <w:color w:val="auto"/>
          <w:sz w:val="24"/>
          <w:szCs w:val="24"/>
          <w:highlight w:val="none"/>
          <w:lang w:eastAsia="zh-CN"/>
        </w:rPr>
        <w:t>。</w:t>
      </w:r>
    </w:p>
    <w:p w14:paraId="2E5D9A34">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2.试剂以“每人份”为单位进行报价。</w:t>
      </w:r>
    </w:p>
    <w:p w14:paraId="6D80C9FB">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kern w:val="0"/>
          <w:sz w:val="24"/>
          <w:szCs w:val="24"/>
          <w:highlight w:val="none"/>
          <w:lang w:val="en-US" w:eastAsia="zh-CN" w:bidi="ar"/>
        </w:rPr>
        <w:t>备注: 此表为产品配套试剂报价表，如没有，本项可自行删除。</w:t>
      </w:r>
    </w:p>
    <w:p w14:paraId="16C44E96">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50001881">
      <w:pPr>
        <w:bidi w:val="0"/>
        <w:rPr>
          <w:rFonts w:hint="eastAsia" w:ascii="宋体" w:hAnsi="宋体" w:eastAsia="宋体" w:cs="宋体"/>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5F2D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94C976E">
            <w:pPr>
              <w:widowControl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序号</w:t>
            </w:r>
          </w:p>
        </w:tc>
        <w:tc>
          <w:tcPr>
            <w:tcW w:w="1543" w:type="dxa"/>
            <w:vAlign w:val="center"/>
          </w:tcPr>
          <w:p w14:paraId="51A3CFCE">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检测项目</w:t>
            </w:r>
          </w:p>
        </w:tc>
        <w:tc>
          <w:tcPr>
            <w:tcW w:w="1393" w:type="dxa"/>
            <w:vAlign w:val="center"/>
          </w:tcPr>
          <w:p w14:paraId="3EF9530C">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商品名（通用名）</w:t>
            </w:r>
          </w:p>
        </w:tc>
        <w:tc>
          <w:tcPr>
            <w:tcW w:w="1060" w:type="dxa"/>
            <w:vAlign w:val="center"/>
          </w:tcPr>
          <w:p w14:paraId="68A0166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投标产</w:t>
            </w:r>
          </w:p>
          <w:p w14:paraId="7D12FD81">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napToGrid w:val="0"/>
                <w:color w:val="000000"/>
                <w:kern w:val="0"/>
                <w:sz w:val="21"/>
                <w:szCs w:val="21"/>
                <w:highlight w:val="none"/>
                <w:lang w:val="en-US" w:eastAsia="zh-CN" w:bidi="ar"/>
              </w:rPr>
              <w:t>品注册</w:t>
            </w:r>
          </w:p>
          <w:p w14:paraId="3AEF9CE7">
            <w:pPr>
              <w:keepNext w:val="0"/>
              <w:keepLines w:val="0"/>
              <w:widowControl/>
              <w:suppressLineNumbers w:val="0"/>
              <w:jc w:val="center"/>
              <w:rPr>
                <w:rFonts w:hint="eastAsia" w:ascii="宋体" w:hAnsi="宋体" w:eastAsia="宋体" w:cs="宋体"/>
                <w:b/>
                <w:bCs/>
                <w:sz w:val="21"/>
                <w:szCs w:val="21"/>
                <w:highlight w:val="none"/>
                <w:vertAlign w:val="baseline"/>
              </w:rPr>
            </w:pPr>
            <w:r>
              <w:rPr>
                <w:rFonts w:hint="eastAsia" w:ascii="宋体" w:hAnsi="宋体" w:eastAsia="宋体" w:cs="宋体"/>
                <w:b/>
                <w:bCs/>
                <w:snapToGrid w:val="0"/>
                <w:color w:val="000000"/>
                <w:kern w:val="0"/>
                <w:sz w:val="21"/>
                <w:szCs w:val="21"/>
                <w:highlight w:val="none"/>
                <w:lang w:val="en-US" w:eastAsia="zh-CN" w:bidi="ar"/>
              </w:rPr>
              <w:t>证名称</w:t>
            </w:r>
          </w:p>
        </w:tc>
        <w:tc>
          <w:tcPr>
            <w:tcW w:w="1060" w:type="dxa"/>
            <w:vAlign w:val="center"/>
          </w:tcPr>
          <w:p w14:paraId="1EFE7C54">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制造商</w:t>
            </w:r>
          </w:p>
        </w:tc>
        <w:tc>
          <w:tcPr>
            <w:tcW w:w="1060" w:type="dxa"/>
            <w:vAlign w:val="center"/>
          </w:tcPr>
          <w:p w14:paraId="3D98700F">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品牌</w:t>
            </w:r>
          </w:p>
        </w:tc>
        <w:tc>
          <w:tcPr>
            <w:tcW w:w="1060" w:type="dxa"/>
            <w:vAlign w:val="center"/>
          </w:tcPr>
          <w:p w14:paraId="79969205">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产地</w:t>
            </w:r>
          </w:p>
        </w:tc>
        <w:tc>
          <w:tcPr>
            <w:tcW w:w="1060" w:type="dxa"/>
            <w:vAlign w:val="top"/>
          </w:tcPr>
          <w:p w14:paraId="42EC2E10">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规格型号</w:t>
            </w:r>
          </w:p>
          <w:p w14:paraId="1A605241">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（注册证型号）</w:t>
            </w:r>
          </w:p>
        </w:tc>
        <w:tc>
          <w:tcPr>
            <w:tcW w:w="1277" w:type="dxa"/>
            <w:vAlign w:val="center"/>
          </w:tcPr>
          <w:p w14:paraId="0DEE5766">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计价单位</w:t>
            </w:r>
          </w:p>
        </w:tc>
        <w:tc>
          <w:tcPr>
            <w:tcW w:w="1486" w:type="dxa"/>
            <w:vAlign w:val="center"/>
          </w:tcPr>
          <w:p w14:paraId="2BEB3621">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单价</w:t>
            </w:r>
          </w:p>
          <w:p w14:paraId="4D1EB599">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（元/单位）</w:t>
            </w:r>
          </w:p>
        </w:tc>
        <w:tc>
          <w:tcPr>
            <w:tcW w:w="1560" w:type="dxa"/>
            <w:vAlign w:val="center"/>
          </w:tcPr>
          <w:p w14:paraId="11BF88A9">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投标产品</w:t>
            </w:r>
          </w:p>
          <w:p w14:paraId="6BB6446B">
            <w:pPr>
              <w:keepNext w:val="0"/>
              <w:keepLines w:val="0"/>
              <w:widowControl/>
              <w:suppressLineNumbers w:val="0"/>
              <w:jc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napToGrid w:val="0"/>
                <w:color w:val="000000"/>
                <w:kern w:val="0"/>
                <w:sz w:val="21"/>
                <w:szCs w:val="21"/>
                <w:highlight w:val="none"/>
                <w:lang w:val="en-US" w:eastAsia="zh-CN" w:bidi="ar"/>
              </w:rPr>
              <w:t>注册证号</w:t>
            </w:r>
          </w:p>
        </w:tc>
        <w:tc>
          <w:tcPr>
            <w:tcW w:w="1080" w:type="dxa"/>
            <w:vAlign w:val="center"/>
          </w:tcPr>
          <w:p w14:paraId="7FB0FAD4">
            <w:pPr>
              <w:keepNext w:val="0"/>
              <w:keepLines w:val="0"/>
              <w:widowControl/>
              <w:suppressLineNumbers w:val="0"/>
              <w:jc w:val="center"/>
              <w:rPr>
                <w:rFonts w:hint="eastAsia" w:ascii="宋体" w:hAnsi="宋体" w:eastAsia="宋体" w:cs="宋体"/>
                <w:b/>
                <w:bCs/>
                <w:snapToGrid w:val="0"/>
                <w:color w:val="000000"/>
                <w:kern w:val="0"/>
                <w:sz w:val="21"/>
                <w:szCs w:val="21"/>
                <w:highlight w:val="none"/>
                <w:lang w:val="en-US" w:eastAsia="zh-CN" w:bidi="ar"/>
              </w:rPr>
            </w:pPr>
            <w:r>
              <w:rPr>
                <w:rFonts w:hint="eastAsia" w:ascii="宋体" w:hAnsi="宋体" w:eastAsia="宋体" w:cs="宋体"/>
                <w:b/>
                <w:bCs/>
                <w:snapToGrid w:val="0"/>
                <w:color w:val="000000"/>
                <w:kern w:val="0"/>
                <w:sz w:val="21"/>
                <w:szCs w:val="21"/>
                <w:highlight w:val="none"/>
                <w:lang w:val="en-US" w:eastAsia="zh-CN" w:bidi="ar"/>
              </w:rPr>
              <w:t>备注</w:t>
            </w:r>
          </w:p>
        </w:tc>
      </w:tr>
      <w:tr w14:paraId="1D1D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6AB756F8">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1</w:t>
            </w:r>
          </w:p>
        </w:tc>
        <w:tc>
          <w:tcPr>
            <w:tcW w:w="1543" w:type="dxa"/>
            <w:vMerge w:val="restart"/>
          </w:tcPr>
          <w:p w14:paraId="5882F6C7">
            <w:pPr>
              <w:widowControl w:val="0"/>
              <w:rPr>
                <w:rFonts w:hint="eastAsia" w:ascii="宋体" w:hAnsi="宋体" w:eastAsia="宋体" w:cs="宋体"/>
                <w:highlight w:val="none"/>
                <w:vertAlign w:val="baseline"/>
              </w:rPr>
            </w:pPr>
          </w:p>
        </w:tc>
        <w:tc>
          <w:tcPr>
            <w:tcW w:w="1393" w:type="dxa"/>
          </w:tcPr>
          <w:p w14:paraId="419733C9">
            <w:pPr>
              <w:widowControl w:val="0"/>
              <w:rPr>
                <w:rFonts w:hint="eastAsia" w:ascii="宋体" w:hAnsi="宋体" w:eastAsia="宋体" w:cs="宋体"/>
                <w:highlight w:val="none"/>
                <w:vertAlign w:val="baseline"/>
              </w:rPr>
            </w:pPr>
          </w:p>
        </w:tc>
        <w:tc>
          <w:tcPr>
            <w:tcW w:w="1060" w:type="dxa"/>
          </w:tcPr>
          <w:p w14:paraId="2893B324">
            <w:pPr>
              <w:widowControl w:val="0"/>
              <w:rPr>
                <w:rFonts w:hint="eastAsia" w:ascii="宋体" w:hAnsi="宋体" w:eastAsia="宋体" w:cs="宋体"/>
                <w:highlight w:val="none"/>
                <w:vertAlign w:val="baseline"/>
              </w:rPr>
            </w:pPr>
          </w:p>
        </w:tc>
        <w:tc>
          <w:tcPr>
            <w:tcW w:w="1060" w:type="dxa"/>
          </w:tcPr>
          <w:p w14:paraId="5C7AA6E2">
            <w:pPr>
              <w:widowControl w:val="0"/>
              <w:rPr>
                <w:rFonts w:hint="eastAsia" w:ascii="宋体" w:hAnsi="宋体" w:eastAsia="宋体" w:cs="宋体"/>
                <w:highlight w:val="none"/>
                <w:vertAlign w:val="baseline"/>
              </w:rPr>
            </w:pPr>
          </w:p>
        </w:tc>
        <w:tc>
          <w:tcPr>
            <w:tcW w:w="1060" w:type="dxa"/>
          </w:tcPr>
          <w:p w14:paraId="6D2FA22A">
            <w:pPr>
              <w:widowControl w:val="0"/>
              <w:rPr>
                <w:rFonts w:hint="eastAsia" w:ascii="宋体" w:hAnsi="宋体" w:eastAsia="宋体" w:cs="宋体"/>
                <w:highlight w:val="none"/>
                <w:vertAlign w:val="baseline"/>
              </w:rPr>
            </w:pPr>
          </w:p>
        </w:tc>
        <w:tc>
          <w:tcPr>
            <w:tcW w:w="1060" w:type="dxa"/>
          </w:tcPr>
          <w:p w14:paraId="735BC9BF">
            <w:pPr>
              <w:widowControl w:val="0"/>
              <w:rPr>
                <w:rFonts w:hint="eastAsia" w:ascii="宋体" w:hAnsi="宋体" w:eastAsia="宋体" w:cs="宋体"/>
                <w:highlight w:val="none"/>
                <w:vertAlign w:val="baseline"/>
              </w:rPr>
            </w:pPr>
          </w:p>
        </w:tc>
        <w:tc>
          <w:tcPr>
            <w:tcW w:w="1060" w:type="dxa"/>
          </w:tcPr>
          <w:p w14:paraId="778575D5">
            <w:pPr>
              <w:widowControl w:val="0"/>
              <w:rPr>
                <w:rFonts w:hint="eastAsia" w:ascii="宋体" w:hAnsi="宋体" w:eastAsia="宋体" w:cs="宋体"/>
                <w:highlight w:val="none"/>
                <w:vertAlign w:val="baseline"/>
              </w:rPr>
            </w:pPr>
          </w:p>
        </w:tc>
        <w:tc>
          <w:tcPr>
            <w:tcW w:w="1277" w:type="dxa"/>
          </w:tcPr>
          <w:p w14:paraId="6A737E2B">
            <w:pPr>
              <w:widowControl w:val="0"/>
              <w:rPr>
                <w:rFonts w:hint="eastAsia" w:ascii="宋体" w:hAnsi="宋体" w:eastAsia="宋体" w:cs="宋体"/>
                <w:highlight w:val="none"/>
                <w:vertAlign w:val="baseline"/>
              </w:rPr>
            </w:pPr>
          </w:p>
        </w:tc>
        <w:tc>
          <w:tcPr>
            <w:tcW w:w="1486" w:type="dxa"/>
          </w:tcPr>
          <w:p w14:paraId="6C60A89B">
            <w:pPr>
              <w:widowControl w:val="0"/>
              <w:rPr>
                <w:rFonts w:hint="eastAsia" w:ascii="宋体" w:hAnsi="宋体" w:eastAsia="宋体" w:cs="宋体"/>
                <w:highlight w:val="none"/>
                <w:vertAlign w:val="baseline"/>
              </w:rPr>
            </w:pPr>
          </w:p>
        </w:tc>
        <w:tc>
          <w:tcPr>
            <w:tcW w:w="1560" w:type="dxa"/>
          </w:tcPr>
          <w:p w14:paraId="52B3B3A5">
            <w:pPr>
              <w:widowControl w:val="0"/>
              <w:rPr>
                <w:rFonts w:hint="eastAsia" w:ascii="宋体" w:hAnsi="宋体" w:eastAsia="宋体" w:cs="宋体"/>
                <w:highlight w:val="none"/>
                <w:vertAlign w:val="baseline"/>
              </w:rPr>
            </w:pPr>
          </w:p>
        </w:tc>
        <w:tc>
          <w:tcPr>
            <w:tcW w:w="1080" w:type="dxa"/>
          </w:tcPr>
          <w:p w14:paraId="5ED5462D">
            <w:pPr>
              <w:widowControl w:val="0"/>
              <w:rPr>
                <w:rFonts w:hint="eastAsia" w:ascii="宋体" w:hAnsi="宋体" w:eastAsia="宋体" w:cs="宋体"/>
                <w:highlight w:val="none"/>
                <w:vertAlign w:val="baseline"/>
              </w:rPr>
            </w:pPr>
          </w:p>
        </w:tc>
      </w:tr>
      <w:tr w14:paraId="2331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5B1CE8E6">
            <w:pPr>
              <w:widowControl w:val="0"/>
              <w:jc w:val="center"/>
              <w:rPr>
                <w:rFonts w:hint="eastAsia" w:ascii="宋体" w:hAnsi="宋体" w:eastAsia="宋体" w:cs="宋体"/>
                <w:highlight w:val="none"/>
                <w:vertAlign w:val="baseline"/>
              </w:rPr>
            </w:pPr>
          </w:p>
        </w:tc>
        <w:tc>
          <w:tcPr>
            <w:tcW w:w="1543" w:type="dxa"/>
            <w:vMerge w:val="continue"/>
          </w:tcPr>
          <w:p w14:paraId="0C5AA60A">
            <w:pPr>
              <w:widowControl w:val="0"/>
              <w:rPr>
                <w:rFonts w:hint="eastAsia" w:ascii="宋体" w:hAnsi="宋体" w:eastAsia="宋体" w:cs="宋体"/>
                <w:highlight w:val="none"/>
                <w:vertAlign w:val="baseline"/>
              </w:rPr>
            </w:pPr>
          </w:p>
        </w:tc>
        <w:tc>
          <w:tcPr>
            <w:tcW w:w="1393" w:type="dxa"/>
          </w:tcPr>
          <w:p w14:paraId="4FCE01E8">
            <w:pPr>
              <w:widowControl w:val="0"/>
              <w:rPr>
                <w:rFonts w:hint="eastAsia" w:ascii="宋体" w:hAnsi="宋体" w:eastAsia="宋体" w:cs="宋体"/>
                <w:highlight w:val="none"/>
                <w:vertAlign w:val="baseline"/>
              </w:rPr>
            </w:pPr>
          </w:p>
        </w:tc>
        <w:tc>
          <w:tcPr>
            <w:tcW w:w="1060" w:type="dxa"/>
          </w:tcPr>
          <w:p w14:paraId="0F287C0E">
            <w:pPr>
              <w:widowControl w:val="0"/>
              <w:rPr>
                <w:rFonts w:hint="eastAsia" w:ascii="宋体" w:hAnsi="宋体" w:eastAsia="宋体" w:cs="宋体"/>
                <w:highlight w:val="none"/>
                <w:vertAlign w:val="baseline"/>
              </w:rPr>
            </w:pPr>
          </w:p>
        </w:tc>
        <w:tc>
          <w:tcPr>
            <w:tcW w:w="1060" w:type="dxa"/>
          </w:tcPr>
          <w:p w14:paraId="0F28919B">
            <w:pPr>
              <w:widowControl w:val="0"/>
              <w:rPr>
                <w:rFonts w:hint="eastAsia" w:ascii="宋体" w:hAnsi="宋体" w:eastAsia="宋体" w:cs="宋体"/>
                <w:highlight w:val="none"/>
                <w:vertAlign w:val="baseline"/>
              </w:rPr>
            </w:pPr>
          </w:p>
        </w:tc>
        <w:tc>
          <w:tcPr>
            <w:tcW w:w="1060" w:type="dxa"/>
          </w:tcPr>
          <w:p w14:paraId="02AEB91A">
            <w:pPr>
              <w:widowControl w:val="0"/>
              <w:rPr>
                <w:rFonts w:hint="eastAsia" w:ascii="宋体" w:hAnsi="宋体" w:eastAsia="宋体" w:cs="宋体"/>
                <w:highlight w:val="none"/>
                <w:vertAlign w:val="baseline"/>
              </w:rPr>
            </w:pPr>
          </w:p>
        </w:tc>
        <w:tc>
          <w:tcPr>
            <w:tcW w:w="1060" w:type="dxa"/>
          </w:tcPr>
          <w:p w14:paraId="12D20C5B">
            <w:pPr>
              <w:widowControl w:val="0"/>
              <w:rPr>
                <w:rFonts w:hint="eastAsia" w:ascii="宋体" w:hAnsi="宋体" w:eastAsia="宋体" w:cs="宋体"/>
                <w:highlight w:val="none"/>
                <w:vertAlign w:val="baseline"/>
              </w:rPr>
            </w:pPr>
          </w:p>
        </w:tc>
        <w:tc>
          <w:tcPr>
            <w:tcW w:w="1060" w:type="dxa"/>
          </w:tcPr>
          <w:p w14:paraId="1E8C7613">
            <w:pPr>
              <w:widowControl w:val="0"/>
              <w:rPr>
                <w:rFonts w:hint="eastAsia" w:ascii="宋体" w:hAnsi="宋体" w:eastAsia="宋体" w:cs="宋体"/>
                <w:highlight w:val="none"/>
                <w:vertAlign w:val="baseline"/>
              </w:rPr>
            </w:pPr>
          </w:p>
        </w:tc>
        <w:tc>
          <w:tcPr>
            <w:tcW w:w="1277" w:type="dxa"/>
          </w:tcPr>
          <w:p w14:paraId="3D6E2883">
            <w:pPr>
              <w:widowControl w:val="0"/>
              <w:rPr>
                <w:rFonts w:hint="eastAsia" w:ascii="宋体" w:hAnsi="宋体" w:eastAsia="宋体" w:cs="宋体"/>
                <w:highlight w:val="none"/>
                <w:vertAlign w:val="baseline"/>
              </w:rPr>
            </w:pPr>
          </w:p>
        </w:tc>
        <w:tc>
          <w:tcPr>
            <w:tcW w:w="1486" w:type="dxa"/>
          </w:tcPr>
          <w:p w14:paraId="61BFDC82">
            <w:pPr>
              <w:widowControl w:val="0"/>
              <w:rPr>
                <w:rFonts w:hint="eastAsia" w:ascii="宋体" w:hAnsi="宋体" w:eastAsia="宋体" w:cs="宋体"/>
                <w:highlight w:val="none"/>
                <w:vertAlign w:val="baseline"/>
              </w:rPr>
            </w:pPr>
          </w:p>
        </w:tc>
        <w:tc>
          <w:tcPr>
            <w:tcW w:w="1560" w:type="dxa"/>
          </w:tcPr>
          <w:p w14:paraId="313EA62F">
            <w:pPr>
              <w:widowControl w:val="0"/>
              <w:rPr>
                <w:rFonts w:hint="eastAsia" w:ascii="宋体" w:hAnsi="宋体" w:eastAsia="宋体" w:cs="宋体"/>
                <w:highlight w:val="none"/>
                <w:vertAlign w:val="baseline"/>
              </w:rPr>
            </w:pPr>
          </w:p>
        </w:tc>
        <w:tc>
          <w:tcPr>
            <w:tcW w:w="1080" w:type="dxa"/>
          </w:tcPr>
          <w:p w14:paraId="0E6C63AE">
            <w:pPr>
              <w:widowControl w:val="0"/>
              <w:rPr>
                <w:rFonts w:hint="eastAsia" w:ascii="宋体" w:hAnsi="宋体" w:eastAsia="宋体" w:cs="宋体"/>
                <w:highlight w:val="none"/>
                <w:vertAlign w:val="baseline"/>
              </w:rPr>
            </w:pPr>
          </w:p>
        </w:tc>
      </w:tr>
      <w:tr w14:paraId="4974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0880A19">
            <w:pPr>
              <w:widowControl w:val="0"/>
              <w:jc w:val="center"/>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val="en-US" w:eastAsia="zh-CN"/>
              </w:rPr>
              <w:t>2</w:t>
            </w:r>
          </w:p>
        </w:tc>
        <w:tc>
          <w:tcPr>
            <w:tcW w:w="1543" w:type="dxa"/>
            <w:vMerge w:val="restart"/>
          </w:tcPr>
          <w:p w14:paraId="2EF74770">
            <w:pPr>
              <w:widowControl w:val="0"/>
              <w:rPr>
                <w:rFonts w:hint="eastAsia" w:ascii="宋体" w:hAnsi="宋体" w:eastAsia="宋体" w:cs="宋体"/>
                <w:highlight w:val="none"/>
                <w:vertAlign w:val="baseline"/>
              </w:rPr>
            </w:pPr>
          </w:p>
        </w:tc>
        <w:tc>
          <w:tcPr>
            <w:tcW w:w="1393" w:type="dxa"/>
          </w:tcPr>
          <w:p w14:paraId="18C9F2D1">
            <w:pPr>
              <w:widowControl w:val="0"/>
              <w:rPr>
                <w:rFonts w:hint="eastAsia" w:ascii="宋体" w:hAnsi="宋体" w:eastAsia="宋体" w:cs="宋体"/>
                <w:highlight w:val="none"/>
                <w:vertAlign w:val="baseline"/>
              </w:rPr>
            </w:pPr>
          </w:p>
        </w:tc>
        <w:tc>
          <w:tcPr>
            <w:tcW w:w="1060" w:type="dxa"/>
          </w:tcPr>
          <w:p w14:paraId="02A9CF95">
            <w:pPr>
              <w:widowControl w:val="0"/>
              <w:rPr>
                <w:rFonts w:hint="eastAsia" w:ascii="宋体" w:hAnsi="宋体" w:eastAsia="宋体" w:cs="宋体"/>
                <w:highlight w:val="none"/>
                <w:vertAlign w:val="baseline"/>
              </w:rPr>
            </w:pPr>
          </w:p>
        </w:tc>
        <w:tc>
          <w:tcPr>
            <w:tcW w:w="1060" w:type="dxa"/>
          </w:tcPr>
          <w:p w14:paraId="4B33538E">
            <w:pPr>
              <w:widowControl w:val="0"/>
              <w:rPr>
                <w:rFonts w:hint="eastAsia" w:ascii="宋体" w:hAnsi="宋体" w:eastAsia="宋体" w:cs="宋体"/>
                <w:highlight w:val="none"/>
                <w:vertAlign w:val="baseline"/>
              </w:rPr>
            </w:pPr>
          </w:p>
        </w:tc>
        <w:tc>
          <w:tcPr>
            <w:tcW w:w="1060" w:type="dxa"/>
          </w:tcPr>
          <w:p w14:paraId="395E7453">
            <w:pPr>
              <w:widowControl w:val="0"/>
              <w:rPr>
                <w:rFonts w:hint="eastAsia" w:ascii="宋体" w:hAnsi="宋体" w:eastAsia="宋体" w:cs="宋体"/>
                <w:highlight w:val="none"/>
                <w:vertAlign w:val="baseline"/>
              </w:rPr>
            </w:pPr>
          </w:p>
        </w:tc>
        <w:tc>
          <w:tcPr>
            <w:tcW w:w="1060" w:type="dxa"/>
          </w:tcPr>
          <w:p w14:paraId="6962C07B">
            <w:pPr>
              <w:widowControl w:val="0"/>
              <w:rPr>
                <w:rFonts w:hint="eastAsia" w:ascii="宋体" w:hAnsi="宋体" w:eastAsia="宋体" w:cs="宋体"/>
                <w:highlight w:val="none"/>
                <w:vertAlign w:val="baseline"/>
              </w:rPr>
            </w:pPr>
          </w:p>
        </w:tc>
        <w:tc>
          <w:tcPr>
            <w:tcW w:w="1060" w:type="dxa"/>
          </w:tcPr>
          <w:p w14:paraId="58A499E1">
            <w:pPr>
              <w:widowControl w:val="0"/>
              <w:rPr>
                <w:rFonts w:hint="eastAsia" w:ascii="宋体" w:hAnsi="宋体" w:eastAsia="宋体" w:cs="宋体"/>
                <w:highlight w:val="none"/>
                <w:vertAlign w:val="baseline"/>
              </w:rPr>
            </w:pPr>
          </w:p>
        </w:tc>
        <w:tc>
          <w:tcPr>
            <w:tcW w:w="1277" w:type="dxa"/>
          </w:tcPr>
          <w:p w14:paraId="41264719">
            <w:pPr>
              <w:widowControl w:val="0"/>
              <w:rPr>
                <w:rFonts w:hint="eastAsia" w:ascii="宋体" w:hAnsi="宋体" w:eastAsia="宋体" w:cs="宋体"/>
                <w:highlight w:val="none"/>
                <w:vertAlign w:val="baseline"/>
              </w:rPr>
            </w:pPr>
          </w:p>
        </w:tc>
        <w:tc>
          <w:tcPr>
            <w:tcW w:w="1486" w:type="dxa"/>
          </w:tcPr>
          <w:p w14:paraId="0F58D35D">
            <w:pPr>
              <w:widowControl w:val="0"/>
              <w:rPr>
                <w:rFonts w:hint="eastAsia" w:ascii="宋体" w:hAnsi="宋体" w:eastAsia="宋体" w:cs="宋体"/>
                <w:highlight w:val="none"/>
                <w:vertAlign w:val="baseline"/>
              </w:rPr>
            </w:pPr>
          </w:p>
        </w:tc>
        <w:tc>
          <w:tcPr>
            <w:tcW w:w="1560" w:type="dxa"/>
          </w:tcPr>
          <w:p w14:paraId="5472141F">
            <w:pPr>
              <w:widowControl w:val="0"/>
              <w:rPr>
                <w:rFonts w:hint="eastAsia" w:ascii="宋体" w:hAnsi="宋体" w:eastAsia="宋体" w:cs="宋体"/>
                <w:highlight w:val="none"/>
                <w:vertAlign w:val="baseline"/>
              </w:rPr>
            </w:pPr>
          </w:p>
        </w:tc>
        <w:tc>
          <w:tcPr>
            <w:tcW w:w="1080" w:type="dxa"/>
          </w:tcPr>
          <w:p w14:paraId="74F63800">
            <w:pPr>
              <w:widowControl w:val="0"/>
              <w:rPr>
                <w:rFonts w:hint="eastAsia" w:ascii="宋体" w:hAnsi="宋体" w:eastAsia="宋体" w:cs="宋体"/>
                <w:highlight w:val="none"/>
                <w:vertAlign w:val="baseline"/>
              </w:rPr>
            </w:pPr>
          </w:p>
        </w:tc>
      </w:tr>
      <w:tr w14:paraId="377F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3B0CF3F">
            <w:pPr>
              <w:widowControl w:val="0"/>
              <w:rPr>
                <w:rFonts w:hint="eastAsia" w:ascii="宋体" w:hAnsi="宋体" w:eastAsia="宋体" w:cs="宋体"/>
                <w:highlight w:val="none"/>
                <w:vertAlign w:val="baseline"/>
              </w:rPr>
            </w:pPr>
          </w:p>
        </w:tc>
        <w:tc>
          <w:tcPr>
            <w:tcW w:w="1543" w:type="dxa"/>
            <w:vMerge w:val="continue"/>
          </w:tcPr>
          <w:p w14:paraId="1201E6C7">
            <w:pPr>
              <w:widowControl w:val="0"/>
              <w:rPr>
                <w:rFonts w:hint="eastAsia" w:ascii="宋体" w:hAnsi="宋体" w:eastAsia="宋体" w:cs="宋体"/>
                <w:highlight w:val="none"/>
                <w:vertAlign w:val="baseline"/>
              </w:rPr>
            </w:pPr>
          </w:p>
        </w:tc>
        <w:tc>
          <w:tcPr>
            <w:tcW w:w="1393" w:type="dxa"/>
          </w:tcPr>
          <w:p w14:paraId="567297D9">
            <w:pPr>
              <w:widowControl w:val="0"/>
              <w:rPr>
                <w:rFonts w:hint="eastAsia" w:ascii="宋体" w:hAnsi="宋体" w:eastAsia="宋体" w:cs="宋体"/>
                <w:highlight w:val="none"/>
                <w:vertAlign w:val="baseline"/>
              </w:rPr>
            </w:pPr>
          </w:p>
        </w:tc>
        <w:tc>
          <w:tcPr>
            <w:tcW w:w="1060" w:type="dxa"/>
          </w:tcPr>
          <w:p w14:paraId="432011CD">
            <w:pPr>
              <w:widowControl w:val="0"/>
              <w:rPr>
                <w:rFonts w:hint="eastAsia" w:ascii="宋体" w:hAnsi="宋体" w:eastAsia="宋体" w:cs="宋体"/>
                <w:highlight w:val="none"/>
                <w:vertAlign w:val="baseline"/>
              </w:rPr>
            </w:pPr>
          </w:p>
        </w:tc>
        <w:tc>
          <w:tcPr>
            <w:tcW w:w="1060" w:type="dxa"/>
          </w:tcPr>
          <w:p w14:paraId="15D470B8">
            <w:pPr>
              <w:widowControl w:val="0"/>
              <w:rPr>
                <w:rFonts w:hint="eastAsia" w:ascii="宋体" w:hAnsi="宋体" w:eastAsia="宋体" w:cs="宋体"/>
                <w:highlight w:val="none"/>
                <w:vertAlign w:val="baseline"/>
              </w:rPr>
            </w:pPr>
          </w:p>
        </w:tc>
        <w:tc>
          <w:tcPr>
            <w:tcW w:w="1060" w:type="dxa"/>
          </w:tcPr>
          <w:p w14:paraId="6BE9BA0F">
            <w:pPr>
              <w:widowControl w:val="0"/>
              <w:rPr>
                <w:rFonts w:hint="eastAsia" w:ascii="宋体" w:hAnsi="宋体" w:eastAsia="宋体" w:cs="宋体"/>
                <w:highlight w:val="none"/>
                <w:vertAlign w:val="baseline"/>
              </w:rPr>
            </w:pPr>
          </w:p>
        </w:tc>
        <w:tc>
          <w:tcPr>
            <w:tcW w:w="1060" w:type="dxa"/>
          </w:tcPr>
          <w:p w14:paraId="6D75FC6F">
            <w:pPr>
              <w:widowControl w:val="0"/>
              <w:rPr>
                <w:rFonts w:hint="eastAsia" w:ascii="宋体" w:hAnsi="宋体" w:eastAsia="宋体" w:cs="宋体"/>
                <w:highlight w:val="none"/>
                <w:vertAlign w:val="baseline"/>
              </w:rPr>
            </w:pPr>
          </w:p>
        </w:tc>
        <w:tc>
          <w:tcPr>
            <w:tcW w:w="1060" w:type="dxa"/>
          </w:tcPr>
          <w:p w14:paraId="45920C6A">
            <w:pPr>
              <w:widowControl w:val="0"/>
              <w:rPr>
                <w:rFonts w:hint="eastAsia" w:ascii="宋体" w:hAnsi="宋体" w:eastAsia="宋体" w:cs="宋体"/>
                <w:highlight w:val="none"/>
                <w:vertAlign w:val="baseline"/>
              </w:rPr>
            </w:pPr>
          </w:p>
        </w:tc>
        <w:tc>
          <w:tcPr>
            <w:tcW w:w="1277" w:type="dxa"/>
          </w:tcPr>
          <w:p w14:paraId="300B86B8">
            <w:pPr>
              <w:widowControl w:val="0"/>
              <w:rPr>
                <w:rFonts w:hint="eastAsia" w:ascii="宋体" w:hAnsi="宋体" w:eastAsia="宋体" w:cs="宋体"/>
                <w:highlight w:val="none"/>
                <w:vertAlign w:val="baseline"/>
              </w:rPr>
            </w:pPr>
          </w:p>
        </w:tc>
        <w:tc>
          <w:tcPr>
            <w:tcW w:w="1486" w:type="dxa"/>
          </w:tcPr>
          <w:p w14:paraId="25B3B62A">
            <w:pPr>
              <w:widowControl w:val="0"/>
              <w:rPr>
                <w:rFonts w:hint="eastAsia" w:ascii="宋体" w:hAnsi="宋体" w:eastAsia="宋体" w:cs="宋体"/>
                <w:highlight w:val="none"/>
                <w:vertAlign w:val="baseline"/>
              </w:rPr>
            </w:pPr>
          </w:p>
        </w:tc>
        <w:tc>
          <w:tcPr>
            <w:tcW w:w="1560" w:type="dxa"/>
          </w:tcPr>
          <w:p w14:paraId="23DB3A91">
            <w:pPr>
              <w:widowControl w:val="0"/>
              <w:rPr>
                <w:rFonts w:hint="eastAsia" w:ascii="宋体" w:hAnsi="宋体" w:eastAsia="宋体" w:cs="宋体"/>
                <w:highlight w:val="none"/>
                <w:vertAlign w:val="baseline"/>
              </w:rPr>
            </w:pPr>
          </w:p>
        </w:tc>
        <w:tc>
          <w:tcPr>
            <w:tcW w:w="1080" w:type="dxa"/>
          </w:tcPr>
          <w:p w14:paraId="0CEBF698">
            <w:pPr>
              <w:widowControl w:val="0"/>
              <w:rPr>
                <w:rFonts w:hint="eastAsia" w:ascii="宋体" w:hAnsi="宋体" w:eastAsia="宋体" w:cs="宋体"/>
                <w:highlight w:val="none"/>
                <w:vertAlign w:val="baseline"/>
              </w:rPr>
            </w:pPr>
          </w:p>
        </w:tc>
      </w:tr>
    </w:tbl>
    <w:p w14:paraId="79F2E6B3">
      <w:pPr>
        <w:rPr>
          <w:rFonts w:hint="eastAsia" w:ascii="宋体" w:hAnsi="宋体" w:eastAsia="宋体" w:cs="宋体"/>
          <w:highlight w:val="none"/>
        </w:rPr>
      </w:pPr>
    </w:p>
    <w:p w14:paraId="0FE5F4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1AA93E6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7212BC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51EC7DFD">
      <w:pPr>
        <w:bidi w:val="0"/>
        <w:rPr>
          <w:rFonts w:hint="eastAsia" w:ascii="宋体" w:hAnsi="宋体" w:eastAsia="宋体" w:cs="宋体"/>
          <w:highlight w:val="none"/>
          <w:lang w:val="en-US" w:eastAsia="zh-CN"/>
        </w:rPr>
      </w:pPr>
    </w:p>
    <w:p w14:paraId="2B6EAEBB">
      <w:pPr>
        <w:bidi w:val="0"/>
        <w:rPr>
          <w:rFonts w:hint="eastAsia" w:ascii="宋体" w:hAnsi="宋体" w:eastAsia="宋体" w:cs="宋体"/>
          <w:highlight w:val="none"/>
          <w:lang w:val="en-US" w:eastAsia="zh-CN"/>
        </w:rPr>
      </w:pPr>
    </w:p>
    <w:p w14:paraId="6F5A4724">
      <w:pPr>
        <w:bidi w:val="0"/>
        <w:rPr>
          <w:rFonts w:hint="eastAsia" w:ascii="宋体" w:hAnsi="宋体" w:eastAsia="宋体" w:cs="宋体"/>
          <w:highlight w:val="none"/>
          <w:lang w:val="en-US" w:eastAsia="zh-CN"/>
        </w:rPr>
      </w:pPr>
    </w:p>
    <w:p w14:paraId="6CF156CA">
      <w:pPr>
        <w:tabs>
          <w:tab w:val="left" w:pos="3753"/>
        </w:tabs>
        <w:bidi w:val="0"/>
        <w:ind w:firstLine="482" w:firstLineChars="200"/>
        <w:jc w:val="left"/>
        <w:rPr>
          <w:rFonts w:hint="eastAsia" w:ascii="宋体" w:hAnsi="宋体" w:eastAsia="宋体" w:cs="宋体"/>
          <w:b/>
          <w:bCs/>
          <w:color w:val="000000" w:themeColor="text1"/>
          <w:kern w:val="0"/>
          <w:sz w:val="28"/>
          <w:szCs w:val="28"/>
          <w:highlight w:val="none"/>
          <w14:textFill>
            <w14:solidFill>
              <w14:schemeClr w14:val="tx1"/>
            </w14:solidFill>
          </w14:textFill>
        </w:rPr>
        <w:sectPr>
          <w:pgSz w:w="16838" w:h="11906" w:orient="landscape"/>
          <w:pgMar w:top="1701" w:right="1418" w:bottom="1134" w:left="1134" w:header="851" w:footer="992" w:gutter="0"/>
          <w:pgNumType w:fmt="decimal"/>
          <w:cols w:space="720" w:num="1"/>
          <w:docGrid w:type="lines" w:linePitch="312" w:charSpace="0"/>
        </w:sectPr>
      </w:pPr>
      <w:r>
        <w:rPr>
          <w:rFonts w:hint="eastAsia" w:ascii="宋体" w:hAnsi="宋体" w:eastAsia="宋体" w:cs="宋体"/>
          <w:b/>
          <w:bCs/>
          <w:snapToGrid w:val="0"/>
          <w:color w:val="000000"/>
          <w:kern w:val="0"/>
          <w:sz w:val="24"/>
          <w:szCs w:val="24"/>
          <w:highlight w:val="none"/>
          <w:lang w:val="en-US" w:eastAsia="zh-CN" w:bidi="ar"/>
        </w:rPr>
        <w:t>备注: 此表为产品配套耗材报价表，如没有，本项可自行删除。</w:t>
      </w:r>
    </w:p>
    <w:p w14:paraId="0549784A">
      <w:pPr>
        <w:pStyle w:val="3"/>
        <w:pageBreakBefore w:val="0"/>
        <w:widowControl/>
        <w:tabs>
          <w:tab w:val="left" w:pos="840"/>
        </w:tabs>
        <w:wordWrap/>
        <w:overflowPunct/>
        <w:topLinePunct w:val="0"/>
        <w:bidi w:val="0"/>
        <w:spacing w:before="0" w:beforeAutospacing="0" w:line="360" w:lineRule="auto"/>
        <w:jc w:val="center"/>
        <w:textAlignment w:val="baseline"/>
        <w:rPr>
          <w:rFonts w:hint="eastAsia" w:ascii="宋体" w:hAnsi="宋体" w:eastAsia="宋体" w:cs="宋体"/>
          <w:color w:val="auto"/>
          <w:sz w:val="28"/>
          <w:szCs w:val="28"/>
          <w:highlight w:val="none"/>
          <w:lang w:val="en-US" w:eastAsia="zh-CN"/>
        </w:rPr>
      </w:pPr>
      <w:bookmarkStart w:id="34" w:name="_Toc15484"/>
      <w:r>
        <w:rPr>
          <w:rFonts w:hint="eastAsia" w:ascii="宋体" w:hAnsi="宋体" w:eastAsia="宋体" w:cs="宋体"/>
          <w:b/>
          <w:bCs w:val="0"/>
          <w:kern w:val="0"/>
          <w:sz w:val="28"/>
          <w:szCs w:val="28"/>
          <w:highlight w:val="none"/>
          <w:lang w:val="en-US" w:eastAsia="zh-CN" w:bidi="ar-SA"/>
        </w:rPr>
        <w:t>4.3 产品配置清单一览表</w:t>
      </w:r>
      <w:bookmarkEnd w:id="34"/>
    </w:p>
    <w:p w14:paraId="7822F2A0">
      <w:pPr>
        <w:jc w:val="both"/>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bCs/>
          <w:sz w:val="24"/>
          <w:szCs w:val="24"/>
          <w:highlight w:val="none"/>
          <w:lang w:val="en-US" w:eastAsia="zh-CN"/>
        </w:rPr>
        <w:t>产品名称：</w:t>
      </w:r>
      <w:r>
        <w:rPr>
          <w:rFonts w:hint="eastAsia" w:ascii="宋体" w:hAnsi="宋体" w:eastAsia="宋体" w:cs="宋体"/>
          <w:b w:val="0"/>
          <w:bCs w:val="0"/>
          <w:color w:val="auto"/>
          <w:spacing w:val="-4"/>
          <w:kern w:val="0"/>
          <w:sz w:val="24"/>
          <w:szCs w:val="24"/>
          <w:highlight w:val="none"/>
          <w:lang w:val="en-US" w:eastAsia="zh-CN"/>
        </w:rPr>
        <w:t>（产品注册证名称）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48"/>
        <w:gridCol w:w="933"/>
        <w:gridCol w:w="1191"/>
        <w:gridCol w:w="1062"/>
        <w:gridCol w:w="1062"/>
        <w:gridCol w:w="1063"/>
        <w:gridCol w:w="1063"/>
      </w:tblGrid>
      <w:tr w14:paraId="0303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66" w:type="dxa"/>
            <w:noWrap w:val="0"/>
            <w:vAlign w:val="center"/>
          </w:tcPr>
          <w:p w14:paraId="4E90C17D">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序号</w:t>
            </w:r>
          </w:p>
        </w:tc>
        <w:tc>
          <w:tcPr>
            <w:tcW w:w="2156" w:type="dxa"/>
            <w:noWrap w:val="0"/>
            <w:vAlign w:val="center"/>
          </w:tcPr>
          <w:p w14:paraId="17E8F3F1">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物品名称</w:t>
            </w:r>
          </w:p>
        </w:tc>
        <w:tc>
          <w:tcPr>
            <w:tcW w:w="935" w:type="dxa"/>
            <w:noWrap w:val="0"/>
            <w:vAlign w:val="center"/>
          </w:tcPr>
          <w:p w14:paraId="098C6DCE">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品牌</w:t>
            </w:r>
          </w:p>
        </w:tc>
        <w:tc>
          <w:tcPr>
            <w:tcW w:w="1195" w:type="dxa"/>
            <w:noWrap w:val="0"/>
            <w:vAlign w:val="center"/>
          </w:tcPr>
          <w:p w14:paraId="00CC2143">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规格型号</w:t>
            </w:r>
          </w:p>
        </w:tc>
        <w:tc>
          <w:tcPr>
            <w:tcW w:w="1065" w:type="dxa"/>
            <w:noWrap w:val="0"/>
            <w:vAlign w:val="center"/>
          </w:tcPr>
          <w:p w14:paraId="4C8A9F20">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产地</w:t>
            </w:r>
          </w:p>
        </w:tc>
        <w:tc>
          <w:tcPr>
            <w:tcW w:w="1065" w:type="dxa"/>
            <w:noWrap w:val="0"/>
            <w:vAlign w:val="center"/>
          </w:tcPr>
          <w:p w14:paraId="308B3C7B">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数量</w:t>
            </w:r>
          </w:p>
        </w:tc>
        <w:tc>
          <w:tcPr>
            <w:tcW w:w="1066" w:type="dxa"/>
            <w:noWrap w:val="0"/>
            <w:vAlign w:val="center"/>
          </w:tcPr>
          <w:p w14:paraId="724518A0">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单位</w:t>
            </w:r>
          </w:p>
        </w:tc>
        <w:tc>
          <w:tcPr>
            <w:tcW w:w="1066" w:type="dxa"/>
            <w:noWrap w:val="0"/>
            <w:vAlign w:val="center"/>
          </w:tcPr>
          <w:p w14:paraId="6D7F6C42">
            <w:pPr>
              <w:widowControl w:val="0"/>
              <w:jc w:val="center"/>
              <w:rPr>
                <w:rFonts w:hint="eastAsia" w:ascii="宋体" w:hAnsi="宋体" w:eastAsia="宋体" w:cs="宋体"/>
                <w:b/>
                <w:bCs/>
                <w:color w:val="auto"/>
                <w:spacing w:val="-4"/>
                <w:kern w:val="0"/>
                <w:sz w:val="24"/>
                <w:szCs w:val="24"/>
                <w:highlight w:val="none"/>
                <w:vertAlign w:val="baseline"/>
                <w:lang w:val="en-US" w:eastAsia="zh-CN"/>
              </w:rPr>
            </w:pPr>
            <w:r>
              <w:rPr>
                <w:rFonts w:hint="eastAsia" w:ascii="宋体" w:hAnsi="宋体" w:eastAsia="宋体" w:cs="宋体"/>
                <w:b/>
                <w:bCs/>
                <w:color w:val="auto"/>
                <w:spacing w:val="-4"/>
                <w:kern w:val="0"/>
                <w:sz w:val="24"/>
                <w:szCs w:val="24"/>
                <w:highlight w:val="none"/>
                <w:vertAlign w:val="baseline"/>
                <w:lang w:val="en-US" w:eastAsia="zh-CN"/>
              </w:rPr>
              <w:t>备注</w:t>
            </w:r>
          </w:p>
        </w:tc>
      </w:tr>
      <w:tr w14:paraId="7AE5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75AD0E0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1</w:t>
            </w:r>
          </w:p>
        </w:tc>
        <w:tc>
          <w:tcPr>
            <w:tcW w:w="2156" w:type="dxa"/>
            <w:noWrap w:val="0"/>
            <w:vAlign w:val="center"/>
          </w:tcPr>
          <w:p w14:paraId="6CE9810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7963473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7F9BB2D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6B283EB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49E203D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370E7F4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7664A3E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22DC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29B83581">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2</w:t>
            </w:r>
          </w:p>
        </w:tc>
        <w:tc>
          <w:tcPr>
            <w:tcW w:w="2156" w:type="dxa"/>
            <w:noWrap w:val="0"/>
            <w:vAlign w:val="center"/>
          </w:tcPr>
          <w:p w14:paraId="46A3FA2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5216123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3D277A5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127A39E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4F11C66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109F0DE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383EC278">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6D1B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167517A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3</w:t>
            </w:r>
          </w:p>
        </w:tc>
        <w:tc>
          <w:tcPr>
            <w:tcW w:w="2156" w:type="dxa"/>
            <w:noWrap w:val="0"/>
            <w:vAlign w:val="center"/>
          </w:tcPr>
          <w:p w14:paraId="1B03E86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58C9C3B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32A9263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28F6CAA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6CB0465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29C3118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20C75E3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1154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017B571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r>
              <w:rPr>
                <w:rFonts w:hint="eastAsia" w:ascii="宋体" w:hAnsi="宋体" w:eastAsia="宋体" w:cs="宋体"/>
                <w:b w:val="0"/>
                <w:bCs w:val="0"/>
                <w:color w:val="auto"/>
                <w:spacing w:val="-4"/>
                <w:kern w:val="0"/>
                <w:sz w:val="24"/>
                <w:szCs w:val="24"/>
                <w:highlight w:val="none"/>
                <w:vertAlign w:val="baseline"/>
                <w:lang w:val="en-US" w:eastAsia="zh-CN"/>
              </w:rPr>
              <w:t>...</w:t>
            </w:r>
          </w:p>
        </w:tc>
        <w:tc>
          <w:tcPr>
            <w:tcW w:w="2156" w:type="dxa"/>
            <w:noWrap w:val="0"/>
            <w:vAlign w:val="center"/>
          </w:tcPr>
          <w:p w14:paraId="1318622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0BEBD6C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2A19CE6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770AB98C">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6C75866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276B3B1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241A573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0D75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75896CB3">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2156" w:type="dxa"/>
            <w:noWrap w:val="0"/>
            <w:vAlign w:val="center"/>
          </w:tcPr>
          <w:p w14:paraId="6EC397F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01E17E9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37D3AA9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5B70BB9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50CCFD3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16C2FB9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3FDC11C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3A55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144893B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2156" w:type="dxa"/>
            <w:noWrap w:val="0"/>
            <w:vAlign w:val="center"/>
          </w:tcPr>
          <w:p w14:paraId="170F9BAF">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5CDD5DDA">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6A5C6E5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2A901A57">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754D0CD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7E7C1009">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3864786E">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r w14:paraId="3481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noWrap w:val="0"/>
            <w:vAlign w:val="center"/>
          </w:tcPr>
          <w:p w14:paraId="742BF2E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2156" w:type="dxa"/>
            <w:noWrap w:val="0"/>
            <w:vAlign w:val="center"/>
          </w:tcPr>
          <w:p w14:paraId="3537DDC6">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935" w:type="dxa"/>
            <w:noWrap w:val="0"/>
            <w:vAlign w:val="center"/>
          </w:tcPr>
          <w:p w14:paraId="0632FDDD">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195" w:type="dxa"/>
            <w:noWrap w:val="0"/>
            <w:vAlign w:val="center"/>
          </w:tcPr>
          <w:p w14:paraId="1F3E14A5">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3F340054">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5" w:type="dxa"/>
            <w:noWrap w:val="0"/>
            <w:vAlign w:val="center"/>
          </w:tcPr>
          <w:p w14:paraId="1096318B">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302C9E42">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c>
          <w:tcPr>
            <w:tcW w:w="1066" w:type="dxa"/>
            <w:noWrap w:val="0"/>
            <w:vAlign w:val="center"/>
          </w:tcPr>
          <w:p w14:paraId="6C3D06F0">
            <w:pPr>
              <w:widowControl w:val="0"/>
              <w:jc w:val="center"/>
              <w:rPr>
                <w:rFonts w:hint="eastAsia" w:ascii="宋体" w:hAnsi="宋体" w:eastAsia="宋体" w:cs="宋体"/>
                <w:b w:val="0"/>
                <w:bCs w:val="0"/>
                <w:color w:val="auto"/>
                <w:spacing w:val="-4"/>
                <w:kern w:val="0"/>
                <w:sz w:val="24"/>
                <w:szCs w:val="24"/>
                <w:highlight w:val="none"/>
                <w:vertAlign w:val="baseline"/>
                <w:lang w:val="en-US" w:eastAsia="zh-CN"/>
              </w:rPr>
            </w:pPr>
          </w:p>
        </w:tc>
      </w:tr>
    </w:tbl>
    <w:p w14:paraId="6B9D66AE">
      <w:pPr>
        <w:jc w:val="center"/>
        <w:rPr>
          <w:rFonts w:hint="eastAsia" w:ascii="宋体" w:hAnsi="宋体" w:eastAsia="宋体" w:cs="宋体"/>
          <w:b w:val="0"/>
          <w:bCs w:val="0"/>
          <w:color w:val="auto"/>
          <w:spacing w:val="-4"/>
          <w:kern w:val="0"/>
          <w:sz w:val="24"/>
          <w:szCs w:val="24"/>
          <w:highlight w:val="none"/>
          <w:lang w:val="en-US" w:eastAsia="zh-CN"/>
        </w:rPr>
      </w:pPr>
    </w:p>
    <w:p w14:paraId="60833600">
      <w:pPr>
        <w:rPr>
          <w:rFonts w:hint="eastAsia" w:ascii="宋体" w:hAnsi="宋体" w:eastAsia="宋体" w:cs="宋体"/>
          <w:highlight w:val="none"/>
          <w:lang w:val="en-US" w:eastAsia="zh-CN"/>
        </w:rPr>
      </w:pPr>
    </w:p>
    <w:p w14:paraId="732E7B30">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993174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1、此配置清单按单台/件配置填写。若投标产品配置清单中含第三方产品，请填写第三方品牌、型号、产地，以铭牌为准。 </w:t>
      </w:r>
    </w:p>
    <w:p w14:paraId="4AB665D1">
      <w:pPr>
        <w:bidi w:val="0"/>
        <w:rPr>
          <w:rFonts w:hint="eastAsia" w:ascii="宋体" w:hAnsi="宋体" w:eastAsia="宋体" w:cs="宋体"/>
          <w:highlight w:val="none"/>
          <w:lang w:val="en-US" w:eastAsia="zh-CN"/>
        </w:rPr>
      </w:pPr>
    </w:p>
    <w:p w14:paraId="72650ECB">
      <w:pPr>
        <w:keepNext w:val="0"/>
        <w:keepLines w:val="0"/>
        <w:pageBreakBefore w:val="0"/>
        <w:widowControl/>
        <w:shd w:val="clear" w:color="auto" w:fill="auto"/>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kern w:val="0"/>
          <w:sz w:val="52"/>
          <w:szCs w:val="52"/>
          <w:highlight w:val="none"/>
        </w:rPr>
      </w:pPr>
      <w:r>
        <w:rPr>
          <w:rFonts w:hint="eastAsia" w:ascii="宋体" w:hAnsi="宋体" w:eastAsia="宋体" w:cs="宋体"/>
          <w:color w:val="000000"/>
          <w:kern w:val="0"/>
          <w:sz w:val="24"/>
          <w:highlight w:val="none"/>
          <w:lang w:val="en-US" w:eastAsia="zh-CN"/>
        </w:rPr>
        <w:t>供应商</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（全称并加盖公章）</w:t>
      </w:r>
    </w:p>
    <w:p w14:paraId="269D1862">
      <w:pPr>
        <w:keepNext w:val="0"/>
        <w:keepLines w:val="0"/>
        <w:pageBreakBefore w:val="0"/>
        <w:widowControl/>
        <w:shd w:val="clear" w:color="auto" w:fill="auto"/>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kern w:val="0"/>
          <w:sz w:val="24"/>
          <w:highlight w:val="none"/>
        </w:rPr>
        <w:sectPr>
          <w:pgSz w:w="11906" w:h="16838"/>
          <w:pgMar w:top="1418" w:right="1134" w:bottom="1134" w:left="1701" w:header="851" w:footer="992" w:gutter="0"/>
          <w:pgNumType w:fmt="decimal"/>
          <w:cols w:space="720" w:num="1"/>
          <w:docGrid w:type="lines" w:linePitch="312" w:charSpace="0"/>
        </w:sectPr>
      </w:pP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 xml:space="preserve"> </w:t>
      </w:r>
      <w:r>
        <w:rPr>
          <w:rFonts w:hint="eastAsia" w:ascii="宋体" w:hAnsi="宋体" w:eastAsia="宋体" w:cs="宋体"/>
          <w:bCs/>
          <w:color w:val="000000"/>
          <w:kern w:val="0"/>
          <w:sz w:val="24"/>
          <w:highlight w:val="none"/>
        </w:rPr>
        <w:t xml:space="preserve"> </w:t>
      </w:r>
      <w:r>
        <w:rPr>
          <w:rFonts w:hint="eastAsia" w:ascii="宋体" w:hAnsi="宋体" w:eastAsia="宋体" w:cs="宋体"/>
          <w:bCs/>
          <w:color w:val="000000"/>
          <w:kern w:val="0"/>
          <w:sz w:val="24"/>
          <w:highlight w:val="none"/>
          <w:lang w:val="en-US" w:eastAsia="zh-CN"/>
        </w:rPr>
        <w:t xml:space="preserve">    </w:t>
      </w:r>
      <w:r>
        <w:rPr>
          <w:rFonts w:hint="eastAsia" w:ascii="宋体" w:hAnsi="宋体" w:eastAsia="宋体" w:cs="宋体"/>
          <w:color w:val="000000"/>
          <w:kern w:val="0"/>
          <w:sz w:val="24"/>
          <w:highlight w:val="none"/>
        </w:rPr>
        <w:t xml:space="preserve">年    月   </w:t>
      </w:r>
    </w:p>
    <w:p w14:paraId="28B2C255">
      <w:pPr>
        <w:bidi w:val="0"/>
        <w:rPr>
          <w:rFonts w:hint="eastAsia" w:ascii="宋体" w:hAnsi="宋体" w:eastAsia="宋体" w:cs="宋体"/>
          <w:highlight w:val="none"/>
          <w:lang w:val="en-US" w:eastAsia="zh-CN"/>
        </w:rPr>
      </w:pPr>
    </w:p>
    <w:p w14:paraId="35A8E009">
      <w:pPr>
        <w:tabs>
          <w:tab w:val="left" w:pos="996"/>
        </w:tabs>
        <w:bidi w:val="0"/>
        <w:jc w:val="center"/>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 xml:space="preserve">4.4 </w:t>
      </w:r>
      <w:r>
        <w:rPr>
          <w:rFonts w:hint="eastAsia" w:ascii="宋体" w:hAnsi="宋体" w:eastAsia="宋体" w:cs="宋体"/>
          <w:b/>
          <w:kern w:val="0"/>
          <w:sz w:val="24"/>
          <w:highlight w:val="none"/>
        </w:rPr>
        <w:t>供货范围</w:t>
      </w:r>
      <w:r>
        <w:rPr>
          <w:rFonts w:hint="eastAsia" w:ascii="宋体" w:hAnsi="宋体" w:eastAsia="宋体" w:cs="宋体"/>
          <w:b/>
          <w:bCs/>
          <w:kern w:val="0"/>
          <w:sz w:val="24"/>
          <w:highlight w:val="none"/>
        </w:rPr>
        <w:t>清单</w:t>
      </w:r>
      <w:r>
        <w:rPr>
          <w:rFonts w:hint="eastAsia" w:ascii="宋体" w:hAnsi="宋体" w:eastAsia="宋体" w:cs="宋体"/>
          <w:kern w:val="0"/>
          <w:sz w:val="24"/>
          <w:highlight w:val="none"/>
        </w:rPr>
        <w:t>（格式自拟）</w:t>
      </w:r>
    </w:p>
    <w:p w14:paraId="6BF3681F">
      <w:pPr>
        <w:widowControl/>
        <w:spacing w:line="5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说明：</w:t>
      </w:r>
    </w:p>
    <w:p w14:paraId="61B7F152">
      <w:pPr>
        <w:widowControl/>
        <w:spacing w:line="5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本清单应列明组成货物的主要件和关键件的名称、数量、原产地及单价（如有）。</w:t>
      </w:r>
    </w:p>
    <w:p w14:paraId="14D93622">
      <w:pPr>
        <w:widowControl/>
        <w:spacing w:line="5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本清单应列明专用工具的名称、数量、原产地及单价（如有）。</w:t>
      </w:r>
    </w:p>
    <w:p w14:paraId="3C0A3B76">
      <w:pPr>
        <w:widowControl/>
        <w:spacing w:line="50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本清单应列明</w:t>
      </w:r>
      <w:r>
        <w:rPr>
          <w:rFonts w:hint="eastAsia" w:ascii="宋体" w:hAnsi="宋体" w:eastAsia="宋体" w:cs="宋体"/>
          <w:kern w:val="0"/>
          <w:sz w:val="24"/>
          <w:highlight w:val="none"/>
          <w:lang w:val="en-US" w:eastAsia="zh-CN"/>
        </w:rPr>
        <w:t>质保期满后</w:t>
      </w:r>
      <w:r>
        <w:rPr>
          <w:rFonts w:hint="eastAsia" w:ascii="宋体" w:hAnsi="宋体" w:eastAsia="宋体" w:cs="宋体"/>
          <w:kern w:val="0"/>
          <w:sz w:val="24"/>
          <w:highlight w:val="none"/>
        </w:rPr>
        <w:t>备品备件的名称、数量、原产地及单价（如有）。</w:t>
      </w:r>
    </w:p>
    <w:p w14:paraId="4BA0433A">
      <w:pPr>
        <w:pageBreakBefore/>
        <w:widowControl/>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docGrid w:type="lines" w:linePitch="312" w:charSpace="0"/>
        </w:sectPr>
      </w:pPr>
    </w:p>
    <w:p w14:paraId="652AED5E">
      <w:pPr>
        <w:pageBreakBefore/>
        <w:widowControl/>
        <w:jc w:val="center"/>
        <w:rPr>
          <w:rFonts w:hint="eastAsia" w:ascii="宋体" w:hAnsi="宋体" w:eastAsia="宋体" w:cs="宋体"/>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附件5</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技术响应表（格式）</w:t>
      </w:r>
    </w:p>
    <w:p w14:paraId="1A30A18A">
      <w:pPr>
        <w:pStyle w:val="11"/>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项目编号：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tbl>
      <w:tblPr>
        <w:tblStyle w:val="27"/>
        <w:tblW w:w="9378"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49"/>
        <w:gridCol w:w="3088"/>
        <w:gridCol w:w="2439"/>
        <w:gridCol w:w="1435"/>
      </w:tblGrid>
      <w:tr w14:paraId="70DB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3F225D88">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61B2006">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货物名称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776CC500">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磋商</w:t>
            </w:r>
            <w:r>
              <w:rPr>
                <w:rFonts w:hint="eastAsia" w:ascii="宋体" w:hAnsi="宋体" w:eastAsia="宋体" w:cs="宋体"/>
                <w:kern w:val="0"/>
                <w:sz w:val="24"/>
                <w:highlight w:val="none"/>
              </w:rPr>
              <w:t>文件规格、型号等技术指标要求</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0E04CDEA">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响应</w:t>
            </w:r>
            <w:r>
              <w:rPr>
                <w:rFonts w:hint="eastAsia" w:ascii="宋体" w:hAnsi="宋体" w:eastAsia="宋体" w:cs="宋体"/>
                <w:kern w:val="0"/>
                <w:sz w:val="24"/>
                <w:highlight w:val="none"/>
              </w:rPr>
              <w:t>文件规格、型号等技术指标要求</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933F2B1">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偏离情况</w:t>
            </w:r>
          </w:p>
        </w:tc>
      </w:tr>
      <w:tr w14:paraId="4C6D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7C8C7E80">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B595894">
            <w:pPr>
              <w:widowControl/>
              <w:snapToGrid w:val="0"/>
              <w:jc w:val="center"/>
              <w:outlineLvl w:val="0"/>
              <w:rPr>
                <w:rFonts w:hint="eastAsia" w:ascii="宋体" w:hAnsi="宋体" w:eastAsia="宋体" w:cs="宋体"/>
                <w:kern w:val="0"/>
                <w:sz w:val="24"/>
                <w:highlight w:val="none"/>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44F2E596">
            <w:pPr>
              <w:widowControl/>
              <w:snapToGrid w:val="0"/>
              <w:jc w:val="center"/>
              <w:outlineLvl w:val="0"/>
              <w:rPr>
                <w:rFonts w:hint="eastAsia" w:ascii="宋体" w:hAnsi="宋体" w:eastAsia="宋体" w:cs="宋体"/>
                <w:kern w:val="0"/>
                <w:sz w:val="24"/>
                <w:highlight w:val="none"/>
              </w:rPr>
            </w:pPr>
          </w:p>
        </w:tc>
        <w:tc>
          <w:tcPr>
            <w:tcW w:w="2439" w:type="dxa"/>
            <w:tcBorders>
              <w:top w:val="single" w:color="auto" w:sz="4" w:space="0"/>
              <w:left w:val="single" w:color="auto" w:sz="4" w:space="0"/>
              <w:right w:val="single" w:color="auto" w:sz="4" w:space="0"/>
            </w:tcBorders>
            <w:noWrap w:val="0"/>
            <w:vAlign w:val="center"/>
          </w:tcPr>
          <w:p w14:paraId="1BA5E474">
            <w:pPr>
              <w:widowControl/>
              <w:snapToGrid w:val="0"/>
              <w:jc w:val="center"/>
              <w:outlineLvl w:val="0"/>
              <w:rPr>
                <w:rFonts w:hint="eastAsia" w:ascii="宋体" w:hAnsi="宋体" w:eastAsia="宋体" w:cs="宋体"/>
                <w:kern w:val="0"/>
                <w:sz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4E2F6AE">
            <w:pPr>
              <w:widowControl/>
              <w:snapToGrid w:val="0"/>
              <w:jc w:val="center"/>
              <w:outlineLvl w:val="0"/>
              <w:rPr>
                <w:rFonts w:hint="eastAsia" w:ascii="宋体" w:hAnsi="宋体" w:eastAsia="宋体" w:cs="宋体"/>
                <w:kern w:val="0"/>
                <w:sz w:val="24"/>
                <w:highlight w:val="none"/>
              </w:rPr>
            </w:pPr>
          </w:p>
        </w:tc>
      </w:tr>
      <w:tr w14:paraId="59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32B476F6">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21E324D">
            <w:pPr>
              <w:widowControl/>
              <w:snapToGrid w:val="0"/>
              <w:jc w:val="center"/>
              <w:outlineLvl w:val="0"/>
              <w:rPr>
                <w:rFonts w:hint="eastAsia" w:ascii="宋体" w:hAnsi="宋体" w:eastAsia="宋体" w:cs="宋体"/>
                <w:kern w:val="0"/>
                <w:sz w:val="24"/>
                <w:highlight w:val="none"/>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8A098F7">
            <w:pPr>
              <w:widowControl/>
              <w:snapToGrid w:val="0"/>
              <w:jc w:val="center"/>
              <w:outlineLvl w:val="0"/>
              <w:rPr>
                <w:rFonts w:hint="eastAsia" w:ascii="宋体" w:hAnsi="宋体" w:eastAsia="宋体" w:cs="宋体"/>
                <w:kern w:val="0"/>
                <w:sz w:val="24"/>
                <w:highlight w:val="none"/>
              </w:rPr>
            </w:pPr>
          </w:p>
        </w:tc>
        <w:tc>
          <w:tcPr>
            <w:tcW w:w="2439" w:type="dxa"/>
            <w:tcBorders>
              <w:top w:val="single" w:color="auto" w:sz="4" w:space="0"/>
              <w:left w:val="single" w:color="auto" w:sz="4" w:space="0"/>
              <w:right w:val="single" w:color="auto" w:sz="4" w:space="0"/>
            </w:tcBorders>
            <w:noWrap w:val="0"/>
            <w:vAlign w:val="center"/>
          </w:tcPr>
          <w:p w14:paraId="0A740BB2">
            <w:pPr>
              <w:widowControl/>
              <w:snapToGrid w:val="0"/>
              <w:jc w:val="center"/>
              <w:outlineLvl w:val="0"/>
              <w:rPr>
                <w:rFonts w:hint="eastAsia" w:ascii="宋体" w:hAnsi="宋体" w:eastAsia="宋体" w:cs="宋体"/>
                <w:kern w:val="0"/>
                <w:sz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982DC58">
            <w:pPr>
              <w:widowControl/>
              <w:snapToGrid w:val="0"/>
              <w:jc w:val="center"/>
              <w:outlineLvl w:val="0"/>
              <w:rPr>
                <w:rFonts w:hint="eastAsia" w:ascii="宋体" w:hAnsi="宋体" w:eastAsia="宋体" w:cs="宋体"/>
                <w:kern w:val="0"/>
                <w:sz w:val="24"/>
                <w:highlight w:val="none"/>
              </w:rPr>
            </w:pPr>
          </w:p>
        </w:tc>
      </w:tr>
      <w:tr w14:paraId="2BD2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2A60CD12">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EB81533">
            <w:pPr>
              <w:widowControl/>
              <w:snapToGrid w:val="0"/>
              <w:jc w:val="center"/>
              <w:outlineLvl w:val="0"/>
              <w:rPr>
                <w:rFonts w:hint="eastAsia" w:ascii="宋体" w:hAnsi="宋体" w:eastAsia="宋体" w:cs="宋体"/>
                <w:kern w:val="0"/>
                <w:sz w:val="24"/>
                <w:highlight w:val="none"/>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062A36F1">
            <w:pPr>
              <w:widowControl/>
              <w:snapToGrid w:val="0"/>
              <w:jc w:val="center"/>
              <w:outlineLvl w:val="0"/>
              <w:rPr>
                <w:rFonts w:hint="eastAsia" w:ascii="宋体" w:hAnsi="宋体" w:eastAsia="宋体" w:cs="宋体"/>
                <w:kern w:val="0"/>
                <w:sz w:val="24"/>
                <w:highlight w:val="none"/>
              </w:rPr>
            </w:pPr>
          </w:p>
        </w:tc>
        <w:tc>
          <w:tcPr>
            <w:tcW w:w="2439" w:type="dxa"/>
            <w:tcBorders>
              <w:top w:val="single" w:color="auto" w:sz="4" w:space="0"/>
              <w:left w:val="single" w:color="auto" w:sz="4" w:space="0"/>
              <w:right w:val="single" w:color="auto" w:sz="4" w:space="0"/>
            </w:tcBorders>
            <w:noWrap w:val="0"/>
            <w:vAlign w:val="center"/>
          </w:tcPr>
          <w:p w14:paraId="453044EF">
            <w:pPr>
              <w:widowControl/>
              <w:snapToGrid w:val="0"/>
              <w:jc w:val="center"/>
              <w:outlineLvl w:val="0"/>
              <w:rPr>
                <w:rFonts w:hint="eastAsia" w:ascii="宋体" w:hAnsi="宋体" w:eastAsia="宋体" w:cs="宋体"/>
                <w:kern w:val="0"/>
                <w:sz w:val="24"/>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377B0A5">
            <w:pPr>
              <w:widowControl/>
              <w:snapToGrid w:val="0"/>
              <w:jc w:val="center"/>
              <w:outlineLvl w:val="0"/>
              <w:rPr>
                <w:rFonts w:hint="eastAsia" w:ascii="宋体" w:hAnsi="宋体" w:eastAsia="宋体" w:cs="宋体"/>
                <w:kern w:val="0"/>
                <w:sz w:val="24"/>
                <w:highlight w:val="none"/>
              </w:rPr>
            </w:pPr>
          </w:p>
        </w:tc>
      </w:tr>
      <w:tr w14:paraId="1B98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05F016A1">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30A9D163">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4D19731E">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2439" w:type="dxa"/>
            <w:tcBorders>
              <w:top w:val="single" w:color="auto" w:sz="4" w:space="0"/>
              <w:left w:val="single" w:color="auto" w:sz="4" w:space="0"/>
              <w:right w:val="single" w:color="auto" w:sz="4" w:space="0"/>
            </w:tcBorders>
            <w:noWrap w:val="0"/>
            <w:vAlign w:val="center"/>
          </w:tcPr>
          <w:p w14:paraId="3E47ACE1">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19B845B">
            <w:pPr>
              <w:widowControl/>
              <w:snapToGrid w:val="0"/>
              <w:jc w:val="center"/>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r>
    </w:tbl>
    <w:p w14:paraId="2C14BB84">
      <w:pPr>
        <w:widowControl/>
        <w:spacing w:before="50" w:after="50" w:line="360" w:lineRule="auto"/>
        <w:jc w:val="left"/>
        <w:rPr>
          <w:rFonts w:hint="eastAsia" w:ascii="宋体" w:hAnsi="宋体" w:eastAsia="宋体" w:cs="宋体"/>
          <w:kern w:val="0"/>
          <w:sz w:val="24"/>
          <w:highlight w:val="none"/>
        </w:rPr>
      </w:pPr>
      <w:r>
        <w:rPr>
          <w:rFonts w:hint="eastAsia" w:ascii="宋体" w:hAnsi="宋体" w:eastAsia="宋体" w:cs="宋体"/>
          <w:bCs/>
          <w:kern w:val="0"/>
          <w:sz w:val="24"/>
          <w:highlight w:val="none"/>
        </w:rPr>
        <w:t>注：</w:t>
      </w:r>
      <w:r>
        <w:rPr>
          <w:rFonts w:hint="eastAsia" w:ascii="宋体" w:hAnsi="宋体" w:eastAsia="宋体" w:cs="宋体"/>
          <w:bCs/>
          <w:kern w:val="0"/>
          <w:sz w:val="24"/>
          <w:highlight w:val="none"/>
          <w:lang w:val="en-US" w:eastAsia="zh-CN"/>
        </w:rPr>
        <w:t>供应商</w:t>
      </w:r>
      <w:r>
        <w:rPr>
          <w:rFonts w:hint="eastAsia" w:ascii="宋体" w:hAnsi="宋体" w:eastAsia="宋体" w:cs="宋体"/>
          <w:bCs/>
          <w:kern w:val="0"/>
          <w:sz w:val="24"/>
          <w:highlight w:val="none"/>
        </w:rPr>
        <w:t>必须如实完整填写表格，“偏离情况”是指“正偏离”、“负偏离”或“无偏离”。</w:t>
      </w:r>
    </w:p>
    <w:p w14:paraId="22F8B7A2">
      <w:pPr>
        <w:pStyle w:val="11"/>
        <w:rPr>
          <w:rFonts w:hint="eastAsia" w:ascii="宋体" w:hAnsi="宋体" w:eastAsia="宋体" w:cs="宋体"/>
          <w:color w:val="000000" w:themeColor="text1"/>
          <w:highlight w:val="none"/>
          <w14:textFill>
            <w14:solidFill>
              <w14:schemeClr w14:val="tx1"/>
            </w14:solidFill>
          </w14:textFill>
        </w:rPr>
      </w:pPr>
    </w:p>
    <w:p w14:paraId="42491918">
      <w:pPr>
        <w:pStyle w:val="11"/>
        <w:rPr>
          <w:rFonts w:hint="eastAsia" w:ascii="宋体" w:hAnsi="宋体" w:eastAsia="宋体" w:cs="宋体"/>
          <w:color w:val="000000" w:themeColor="text1"/>
          <w:highlight w:val="none"/>
          <w14:textFill>
            <w14:solidFill>
              <w14:schemeClr w14:val="tx1"/>
            </w14:solidFill>
          </w14:textFill>
        </w:rPr>
      </w:pPr>
    </w:p>
    <w:p w14:paraId="30956BFB">
      <w:pPr>
        <w:pStyle w:val="23"/>
        <w:rPr>
          <w:rFonts w:hint="eastAsia" w:ascii="宋体" w:hAnsi="宋体" w:eastAsia="宋体" w:cs="宋体"/>
          <w:color w:val="000000" w:themeColor="text1"/>
          <w:sz w:val="24"/>
          <w:szCs w:val="24"/>
          <w:highlight w:val="none"/>
          <w14:textFill>
            <w14:solidFill>
              <w14:schemeClr w14:val="tx1"/>
            </w14:solidFill>
          </w14:textFill>
        </w:rPr>
      </w:pPr>
    </w:p>
    <w:p w14:paraId="10C15926">
      <w:pPr>
        <w:pStyle w:val="23"/>
        <w:rPr>
          <w:rFonts w:hint="eastAsia" w:ascii="宋体" w:hAnsi="宋体" w:eastAsia="宋体" w:cs="宋体"/>
          <w:color w:val="000000" w:themeColor="text1"/>
          <w:sz w:val="24"/>
          <w:szCs w:val="24"/>
          <w:highlight w:val="none"/>
          <w14:textFill>
            <w14:solidFill>
              <w14:schemeClr w14:val="tx1"/>
            </w14:solidFill>
          </w14:textFill>
        </w:rPr>
      </w:pPr>
    </w:p>
    <w:p w14:paraId="29B1A9FF">
      <w:pPr>
        <w:widowControl/>
        <w:wordWrap w:val="0"/>
        <w:spacing w:line="460" w:lineRule="exact"/>
        <w:ind w:firstLine="2160" w:firstLineChars="9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highlight w:val="none"/>
          <w14:textFill>
            <w14:solidFill>
              <w14:schemeClr w14:val="tx1"/>
            </w14:solidFill>
          </w14:textFill>
        </w:rPr>
        <w:t xml:space="preserve">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21CD6B0F">
      <w:pPr>
        <w:widowControl/>
        <w:wordWrap w:val="0"/>
        <w:snapToGrid w:val="0"/>
        <w:spacing w:line="460" w:lineRule="exact"/>
        <w:ind w:firstLine="2160" w:firstLineChars="900"/>
        <w:jc w:val="left"/>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6DE612D8">
      <w:pPr>
        <w:widowControl/>
        <w:wordWrap w:val="0"/>
        <w:spacing w:line="460" w:lineRule="exact"/>
        <w:ind w:firstLine="3600" w:firstLineChars="15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1375453C">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p>
    <w:p w14:paraId="511A7855">
      <w:pPr>
        <w:widowControl/>
        <w:wordWrap w:val="0"/>
        <w:snapToGrid w:val="0"/>
        <w:spacing w:before="50" w:line="480" w:lineRule="auto"/>
        <w:jc w:val="left"/>
        <w:rPr>
          <w:rFonts w:hint="eastAsia" w:ascii="宋体" w:hAnsi="宋体" w:eastAsia="宋体" w:cs="宋体"/>
          <w:b/>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docGrid w:type="lines" w:linePitch="312" w:charSpace="0"/>
        </w:sectPr>
      </w:pPr>
    </w:p>
    <w:p w14:paraId="091ADDD7">
      <w:pPr>
        <w:pageBreakBefore/>
        <w:widowControl/>
        <w:spacing w:line="460" w:lineRule="atLeas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  所投产品的医疗器械注册证【含附件：产品技术要求（如有）】、按照采购文件</w:t>
      </w:r>
      <w:r>
        <w:rPr>
          <w:rFonts w:hint="eastAsia" w:ascii="宋体" w:hAnsi="宋体" w:eastAsia="宋体" w:cs="宋体"/>
          <w:b/>
          <w:bCs/>
          <w:sz w:val="24"/>
          <w:szCs w:val="24"/>
          <w:highlight w:val="green"/>
          <w:lang w:val="en-US" w:eastAsia="zh-CN"/>
        </w:rPr>
        <w:t>“第二章 采购需求一、技术参数”</w:t>
      </w:r>
      <w:r>
        <w:rPr>
          <w:rFonts w:hint="eastAsia" w:ascii="宋体" w:hAnsi="宋体" w:eastAsia="宋体" w:cs="宋体"/>
          <w:b/>
          <w:bCs/>
          <w:sz w:val="24"/>
          <w:szCs w:val="24"/>
          <w:highlight w:val="none"/>
          <w:lang w:val="en-US" w:eastAsia="zh-CN"/>
        </w:rPr>
        <w:t>及“评分标准”中要求提供产品技术证明文件。</w:t>
      </w:r>
    </w:p>
    <w:p w14:paraId="77C17108">
      <w:pPr>
        <w:pageBreakBefore/>
        <w:widowControl/>
        <w:spacing w:line="460" w:lineRule="atLeas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1CC2AAD1">
      <w:pPr>
        <w:widowControl/>
        <w:wordWrap w:val="0"/>
        <w:snapToGrid w:val="0"/>
        <w:spacing w:before="50" w:line="480" w:lineRule="auto"/>
        <w:jc w:val="center"/>
        <w:rPr>
          <w:rFonts w:hint="eastAsia" w:ascii="宋体" w:hAnsi="宋体" w:eastAsia="宋体" w:cs="宋体"/>
          <w:color w:val="000000" w:themeColor="text1"/>
          <w:kern w:val="0"/>
          <w:sz w:val="28"/>
          <w:szCs w:val="21"/>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附件6</w:t>
      </w:r>
      <w:r>
        <w:rPr>
          <w:rFonts w:hint="eastAsia" w:ascii="宋体" w:hAnsi="宋体" w:eastAsia="宋体" w:cs="宋体"/>
          <w:b/>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14:textFill>
            <w14:solidFill>
              <w14:schemeClr w14:val="tx1"/>
            </w14:solidFill>
          </w14:textFill>
        </w:rPr>
        <w:t>商务响应表</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28DE2C29">
      <w:pPr>
        <w:pStyle w:val="1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项目编号：                            </w:t>
      </w:r>
    </w:p>
    <w:tbl>
      <w:tblPr>
        <w:tblStyle w:val="27"/>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2265"/>
        <w:gridCol w:w="2190"/>
        <w:gridCol w:w="2082"/>
        <w:gridCol w:w="2000"/>
      </w:tblGrid>
      <w:tr w14:paraId="599D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051" w:type="dxa"/>
            <w:shd w:val="clear" w:color="auto" w:fill="auto"/>
            <w:tcMar>
              <w:top w:w="0" w:type="dxa"/>
              <w:left w:w="108" w:type="dxa"/>
              <w:bottom w:w="0" w:type="dxa"/>
              <w:right w:w="108" w:type="dxa"/>
            </w:tcMar>
            <w:vAlign w:val="center"/>
          </w:tcPr>
          <w:p w14:paraId="34CA83CA">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265" w:type="dxa"/>
            <w:shd w:val="clear" w:color="auto" w:fill="auto"/>
            <w:tcMar>
              <w:top w:w="0" w:type="dxa"/>
              <w:left w:w="108" w:type="dxa"/>
              <w:bottom w:w="0" w:type="dxa"/>
              <w:right w:w="108" w:type="dxa"/>
            </w:tcMar>
            <w:vAlign w:val="center"/>
          </w:tcPr>
          <w:p w14:paraId="0B373BD8">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名称</w:t>
            </w:r>
          </w:p>
        </w:tc>
        <w:tc>
          <w:tcPr>
            <w:tcW w:w="2190" w:type="dxa"/>
            <w:shd w:val="clear" w:color="auto" w:fill="auto"/>
            <w:vAlign w:val="center"/>
          </w:tcPr>
          <w:p w14:paraId="7F2B7D09">
            <w:pPr>
              <w:widowControl/>
              <w:spacing w:before="156" w:line="270" w:lineRule="atLeast"/>
              <w:ind w:firstLine="240" w:firstLineChars="10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磋商文件要求</w:t>
            </w:r>
          </w:p>
        </w:tc>
        <w:tc>
          <w:tcPr>
            <w:tcW w:w="2082" w:type="dxa"/>
            <w:shd w:val="clear" w:color="auto" w:fill="auto"/>
            <w:vAlign w:val="center"/>
          </w:tcPr>
          <w:p w14:paraId="465DBD57">
            <w:pPr>
              <w:widowControl/>
              <w:spacing w:before="156" w:line="270" w:lineRule="atLeast"/>
              <w:ind w:firstLine="240" w:firstLineChars="10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响应文件响应情况</w:t>
            </w:r>
          </w:p>
        </w:tc>
        <w:tc>
          <w:tcPr>
            <w:tcW w:w="2000" w:type="dxa"/>
            <w:shd w:val="clear" w:color="auto" w:fill="auto"/>
            <w:vAlign w:val="center"/>
          </w:tcPr>
          <w:p w14:paraId="36E59EFF">
            <w:pPr>
              <w:widowControl/>
              <w:spacing w:before="156" w:line="270"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供应商的承诺或说明</w:t>
            </w:r>
          </w:p>
        </w:tc>
      </w:tr>
      <w:tr w14:paraId="14DA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jc w:val="center"/>
        </w:trPr>
        <w:tc>
          <w:tcPr>
            <w:tcW w:w="1051" w:type="dxa"/>
            <w:shd w:val="clear" w:color="auto" w:fill="auto"/>
            <w:tcMar>
              <w:top w:w="0" w:type="dxa"/>
              <w:left w:w="108" w:type="dxa"/>
              <w:bottom w:w="0" w:type="dxa"/>
              <w:right w:w="108" w:type="dxa"/>
            </w:tcMar>
            <w:vAlign w:val="center"/>
          </w:tcPr>
          <w:p w14:paraId="364C3701">
            <w:pPr>
              <w:widowControl/>
              <w:spacing w:line="270" w:lineRule="atLeast"/>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p>
        </w:tc>
        <w:tc>
          <w:tcPr>
            <w:tcW w:w="2265" w:type="dxa"/>
            <w:shd w:val="clear" w:color="auto" w:fill="auto"/>
            <w:tcMar>
              <w:top w:w="0" w:type="dxa"/>
              <w:left w:w="108" w:type="dxa"/>
              <w:bottom w:w="0" w:type="dxa"/>
              <w:right w:w="108" w:type="dxa"/>
            </w:tcMar>
            <w:vAlign w:val="center"/>
          </w:tcPr>
          <w:p w14:paraId="70AB85F1">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质保期</w:t>
            </w:r>
          </w:p>
        </w:tc>
        <w:tc>
          <w:tcPr>
            <w:tcW w:w="2190" w:type="dxa"/>
            <w:shd w:val="clear" w:color="auto" w:fill="auto"/>
          </w:tcPr>
          <w:p w14:paraId="3BB58395">
            <w:pPr>
              <w:widowControl/>
              <w:spacing w:line="27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14:paraId="526DEA94">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14:paraId="38CB12A5">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r>
      <w:tr w14:paraId="6B0C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1051" w:type="dxa"/>
            <w:shd w:val="clear" w:color="auto" w:fill="auto"/>
            <w:tcMar>
              <w:top w:w="0" w:type="dxa"/>
              <w:left w:w="108" w:type="dxa"/>
              <w:bottom w:w="0" w:type="dxa"/>
              <w:right w:w="108" w:type="dxa"/>
            </w:tcMar>
            <w:vAlign w:val="center"/>
          </w:tcPr>
          <w:p w14:paraId="1224ECB9">
            <w:pPr>
              <w:widowControl/>
              <w:spacing w:line="270" w:lineRule="atLeast"/>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p>
        </w:tc>
        <w:tc>
          <w:tcPr>
            <w:tcW w:w="2265" w:type="dxa"/>
            <w:shd w:val="clear" w:color="auto" w:fill="auto"/>
            <w:tcMar>
              <w:top w:w="0" w:type="dxa"/>
              <w:left w:w="108" w:type="dxa"/>
              <w:bottom w:w="0" w:type="dxa"/>
              <w:right w:w="108" w:type="dxa"/>
            </w:tcMar>
            <w:vAlign w:val="center"/>
          </w:tcPr>
          <w:p w14:paraId="7BFC2D66">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合同签订时间、交货期及地点</w:t>
            </w:r>
          </w:p>
        </w:tc>
        <w:tc>
          <w:tcPr>
            <w:tcW w:w="2190" w:type="dxa"/>
            <w:shd w:val="clear" w:color="auto" w:fill="auto"/>
          </w:tcPr>
          <w:p w14:paraId="1CAFA679">
            <w:pPr>
              <w:widowControl/>
              <w:spacing w:line="27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14:paraId="64E763B0">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14:paraId="6A9A63CA">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r>
      <w:tr w14:paraId="3C1E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1051" w:type="dxa"/>
            <w:shd w:val="clear" w:color="auto" w:fill="auto"/>
            <w:tcMar>
              <w:top w:w="0" w:type="dxa"/>
              <w:left w:w="108" w:type="dxa"/>
              <w:bottom w:w="0" w:type="dxa"/>
              <w:right w:w="108" w:type="dxa"/>
            </w:tcMar>
            <w:vAlign w:val="center"/>
          </w:tcPr>
          <w:p w14:paraId="26D7471E">
            <w:pPr>
              <w:widowControl/>
              <w:spacing w:line="270" w:lineRule="atLeast"/>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w:t>
            </w:r>
          </w:p>
        </w:tc>
        <w:tc>
          <w:tcPr>
            <w:tcW w:w="2265" w:type="dxa"/>
            <w:shd w:val="clear" w:color="auto" w:fill="auto"/>
            <w:tcMar>
              <w:top w:w="0" w:type="dxa"/>
              <w:left w:w="108" w:type="dxa"/>
              <w:bottom w:w="0" w:type="dxa"/>
              <w:right w:w="108" w:type="dxa"/>
            </w:tcMar>
            <w:vAlign w:val="center"/>
          </w:tcPr>
          <w:p w14:paraId="254B1E61">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付款方式</w:t>
            </w:r>
          </w:p>
        </w:tc>
        <w:tc>
          <w:tcPr>
            <w:tcW w:w="2190" w:type="dxa"/>
            <w:shd w:val="clear" w:color="auto" w:fill="auto"/>
          </w:tcPr>
          <w:p w14:paraId="39740AF4">
            <w:pPr>
              <w:widowControl/>
              <w:spacing w:line="27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14:paraId="46574A96">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14:paraId="2504863A">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r>
      <w:tr w14:paraId="602A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1051" w:type="dxa"/>
            <w:shd w:val="clear" w:color="auto" w:fill="auto"/>
            <w:tcMar>
              <w:top w:w="0" w:type="dxa"/>
              <w:left w:w="108" w:type="dxa"/>
              <w:bottom w:w="0" w:type="dxa"/>
              <w:right w:w="108" w:type="dxa"/>
            </w:tcMar>
            <w:vAlign w:val="center"/>
          </w:tcPr>
          <w:p w14:paraId="06B358EF">
            <w:pPr>
              <w:widowControl/>
              <w:spacing w:line="270" w:lineRule="atLeast"/>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w:t>
            </w:r>
          </w:p>
        </w:tc>
        <w:tc>
          <w:tcPr>
            <w:tcW w:w="2265" w:type="dxa"/>
            <w:shd w:val="clear" w:color="auto" w:fill="auto"/>
            <w:tcMar>
              <w:top w:w="0" w:type="dxa"/>
              <w:left w:w="108" w:type="dxa"/>
              <w:bottom w:w="0" w:type="dxa"/>
              <w:right w:w="108" w:type="dxa"/>
            </w:tcMar>
            <w:vAlign w:val="center"/>
          </w:tcPr>
          <w:p w14:paraId="5BD7F8CF">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售后服务保障或维修响应时间要求</w:t>
            </w:r>
          </w:p>
        </w:tc>
        <w:tc>
          <w:tcPr>
            <w:tcW w:w="2190" w:type="dxa"/>
            <w:shd w:val="clear" w:color="auto" w:fill="auto"/>
          </w:tcPr>
          <w:p w14:paraId="42BE20E1">
            <w:pPr>
              <w:widowControl/>
              <w:spacing w:line="27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14:paraId="19D4D231">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14:paraId="26CF431A">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r>
      <w:tr w14:paraId="63E2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1" w:type="dxa"/>
            <w:shd w:val="clear" w:color="auto" w:fill="auto"/>
            <w:tcMar>
              <w:top w:w="0" w:type="dxa"/>
              <w:left w:w="108" w:type="dxa"/>
              <w:bottom w:w="0" w:type="dxa"/>
              <w:right w:w="108" w:type="dxa"/>
            </w:tcMar>
            <w:vAlign w:val="center"/>
          </w:tcPr>
          <w:p w14:paraId="71426949">
            <w:pPr>
              <w:widowControl/>
              <w:spacing w:line="270" w:lineRule="atLeast"/>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p>
        </w:tc>
        <w:tc>
          <w:tcPr>
            <w:tcW w:w="2265" w:type="dxa"/>
            <w:shd w:val="clear" w:color="auto" w:fill="auto"/>
            <w:tcMar>
              <w:top w:w="0" w:type="dxa"/>
              <w:left w:w="108" w:type="dxa"/>
              <w:bottom w:w="0" w:type="dxa"/>
              <w:right w:w="108" w:type="dxa"/>
            </w:tcMar>
            <w:vAlign w:val="center"/>
          </w:tcPr>
          <w:p w14:paraId="245E7B00">
            <w:pPr>
              <w:widowControl/>
              <w:spacing w:line="270" w:lineRule="atLeast"/>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其他要求</w:t>
            </w:r>
          </w:p>
        </w:tc>
        <w:tc>
          <w:tcPr>
            <w:tcW w:w="2190" w:type="dxa"/>
            <w:shd w:val="clear" w:color="auto" w:fill="auto"/>
          </w:tcPr>
          <w:p w14:paraId="67FD971F">
            <w:pPr>
              <w:widowControl/>
              <w:spacing w:line="270" w:lineRule="atLeast"/>
              <w:rPr>
                <w:rFonts w:hint="eastAsia" w:ascii="宋体" w:hAnsi="宋体" w:eastAsia="宋体" w:cs="宋体"/>
                <w:color w:val="000000" w:themeColor="text1"/>
                <w:kern w:val="0"/>
                <w:sz w:val="24"/>
                <w:highlight w:val="none"/>
                <w14:textFill>
                  <w14:solidFill>
                    <w14:schemeClr w14:val="tx1"/>
                  </w14:solidFill>
                </w14:textFill>
              </w:rPr>
            </w:pPr>
          </w:p>
        </w:tc>
        <w:tc>
          <w:tcPr>
            <w:tcW w:w="2082" w:type="dxa"/>
            <w:shd w:val="clear" w:color="auto" w:fill="auto"/>
          </w:tcPr>
          <w:p w14:paraId="4A91D4DE">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c>
          <w:tcPr>
            <w:tcW w:w="2000" w:type="dxa"/>
            <w:shd w:val="clear" w:color="auto" w:fill="auto"/>
          </w:tcPr>
          <w:p w14:paraId="578D885E">
            <w:pPr>
              <w:widowControl/>
              <w:spacing w:line="270" w:lineRule="atLeast"/>
              <w:rPr>
                <w:rFonts w:hint="eastAsia" w:ascii="宋体" w:hAnsi="宋体" w:eastAsia="宋体" w:cs="宋体"/>
                <w:color w:val="000000" w:themeColor="text1"/>
                <w:kern w:val="0"/>
                <w:sz w:val="28"/>
                <w:szCs w:val="28"/>
                <w:highlight w:val="none"/>
                <w14:textFill>
                  <w14:solidFill>
                    <w14:schemeClr w14:val="tx1"/>
                  </w14:solidFill>
                </w14:textFill>
              </w:rPr>
            </w:pPr>
          </w:p>
        </w:tc>
      </w:tr>
    </w:tbl>
    <w:p w14:paraId="1C4BA767">
      <w:pPr>
        <w:widowControl/>
        <w:spacing w:before="50" w:line="405" w:lineRule="atLeast"/>
        <w:jc w:val="left"/>
        <w:rPr>
          <w:rFonts w:hint="eastAsia" w:ascii="宋体" w:hAnsi="宋体" w:eastAsia="宋体" w:cs="宋体"/>
          <w:color w:val="000000" w:themeColor="text1"/>
          <w:kern w:val="0"/>
          <w:sz w:val="24"/>
          <w:highlight w:val="none"/>
          <w:u w:val="single"/>
          <w14:textFill>
            <w14:solidFill>
              <w14:schemeClr w14:val="tx1"/>
            </w14:solidFill>
          </w14:textFill>
        </w:rPr>
      </w:pPr>
    </w:p>
    <w:p w14:paraId="412D4195">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46FA03BB">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79A9B69A">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062C3455">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p>
    <w:p w14:paraId="13A854CD">
      <w:pPr>
        <w:widowControl/>
        <w:spacing w:line="460" w:lineRule="atLeast"/>
        <w:ind w:firstLine="960" w:firstLineChars="400"/>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highlight w:val="none"/>
          <w14:textFill>
            <w14:solidFill>
              <w14:schemeClr w14:val="tx1"/>
            </w14:solidFill>
          </w14:textFill>
        </w:rPr>
        <w:t>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72109D46">
      <w:pPr>
        <w:widowControl/>
        <w:spacing w:line="460" w:lineRule="atLeast"/>
        <w:ind w:firstLine="960" w:firstLineChars="4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   </w:t>
      </w:r>
    </w:p>
    <w:p w14:paraId="20FFC3BB">
      <w:pPr>
        <w:widowControl/>
        <w:wordWrap w:val="0"/>
        <w:spacing w:line="460" w:lineRule="exact"/>
        <w:ind w:firstLine="2160" w:firstLineChars="9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697A3FD">
      <w:pPr>
        <w:widowControl/>
        <w:spacing w:line="460" w:lineRule="atLeast"/>
        <w:jc w:val="right"/>
        <w:rPr>
          <w:rFonts w:hint="eastAsia" w:ascii="宋体" w:hAnsi="宋体" w:eastAsia="宋体" w:cs="宋体"/>
          <w:color w:val="000000" w:themeColor="text1"/>
          <w:kern w:val="0"/>
          <w:sz w:val="24"/>
          <w:highlight w:val="none"/>
          <w14:textFill>
            <w14:solidFill>
              <w14:schemeClr w14:val="tx1"/>
            </w14:solidFill>
          </w14:textFill>
        </w:rPr>
      </w:pPr>
    </w:p>
    <w:p w14:paraId="60D1418A">
      <w:pPr>
        <w:widowControl/>
        <w:spacing w:line="460" w:lineRule="atLeast"/>
        <w:ind w:firstLine="4920" w:firstLineChars="2050"/>
        <w:jc w:val="right"/>
        <w:rPr>
          <w:rFonts w:hint="eastAsia" w:ascii="宋体" w:hAnsi="宋体" w:eastAsia="宋体" w:cs="宋体"/>
          <w:color w:val="000000" w:themeColor="text1"/>
          <w:kern w:val="0"/>
          <w:sz w:val="24"/>
          <w:highlight w:val="none"/>
          <w14:textFill>
            <w14:solidFill>
              <w14:schemeClr w14:val="tx1"/>
            </w14:solidFill>
          </w14:textFill>
        </w:rPr>
      </w:pPr>
    </w:p>
    <w:p w14:paraId="5DB7F638">
      <w:pPr>
        <w:pageBreakBefore/>
        <w:widowControl/>
        <w:spacing w:line="460" w:lineRule="atLeas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3D8717B5">
      <w:pPr>
        <w:pageBreakBefore/>
        <w:widowControl/>
        <w:spacing w:line="460"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附件7</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法定代表人身份证明</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76B60C95">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61D03FC">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B9DC4EC">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2C9D73A9">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经营期限：</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7411FCE">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姓名：____，性别：____，年龄：____，职务：____系</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（供应商名称）的法定代表人。</w:t>
      </w:r>
    </w:p>
    <w:p w14:paraId="7AEA29C3">
      <w:pPr>
        <w:widowControl/>
        <w:spacing w:line="460" w:lineRule="atLeast"/>
        <w:ind w:firstLine="480"/>
        <w:jc w:val="left"/>
        <w:rPr>
          <w:rFonts w:hint="eastAsia" w:ascii="宋体" w:hAnsi="宋体" w:eastAsia="宋体" w:cs="宋体"/>
          <w:color w:val="000000" w:themeColor="text1"/>
          <w:kern w:val="0"/>
          <w:sz w:val="24"/>
          <w:highlight w:val="none"/>
          <w:vertAlign w:val="baseli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特此证明。</w:t>
      </w:r>
    </w:p>
    <w:tbl>
      <w:tblPr>
        <w:tblStyle w:val="28"/>
        <w:tblW w:w="0" w:type="auto"/>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0"/>
      </w:tblGrid>
      <w:tr w14:paraId="3DD9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6210" w:type="dxa"/>
          </w:tcPr>
          <w:p w14:paraId="5EE6F4DB">
            <w:pPr>
              <w:widowControl/>
              <w:spacing w:line="460" w:lineRule="atLeast"/>
              <w:jc w:val="center"/>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附法定代表人身份证</w:t>
            </w:r>
            <w:r>
              <w:rPr>
                <w:rFonts w:hint="eastAsia" w:ascii="宋体" w:hAnsi="宋体" w:eastAsia="宋体" w:cs="宋体"/>
                <w:color w:val="000000" w:themeColor="text1"/>
                <w:kern w:val="0"/>
                <w:sz w:val="24"/>
                <w:highlight w:val="none"/>
                <w:lang w:val="en-US" w:eastAsia="zh-CN"/>
                <w14:textFill>
                  <w14:solidFill>
                    <w14:schemeClr w14:val="tx1"/>
                  </w14:solidFill>
                </w14:textFill>
              </w:rPr>
              <w:t>正、反面</w:t>
            </w:r>
          </w:p>
          <w:p w14:paraId="0D7990A8">
            <w:pPr>
              <w:widowControl/>
              <w:spacing w:line="460" w:lineRule="atLeast"/>
              <w:jc w:val="left"/>
              <w:rPr>
                <w:rFonts w:hint="eastAsia" w:ascii="宋体" w:hAnsi="宋体" w:eastAsia="宋体" w:cs="宋体"/>
                <w:color w:val="000000" w:themeColor="text1"/>
                <w:kern w:val="0"/>
                <w:sz w:val="24"/>
                <w:highlight w:val="none"/>
                <w:vertAlign w:val="baseline"/>
                <w14:textFill>
                  <w14:solidFill>
                    <w14:schemeClr w14:val="tx1"/>
                  </w14:solidFill>
                </w14:textFill>
              </w:rPr>
            </w:pPr>
          </w:p>
        </w:tc>
      </w:tr>
    </w:tbl>
    <w:p w14:paraId="611C054A">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62BBEF9F">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p>
    <w:p w14:paraId="2F8B5CC9">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p>
    <w:p w14:paraId="49016F3C">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p>
    <w:p w14:paraId="3B7F6674">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p>
    <w:p w14:paraId="06822E42">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p>
    <w:p w14:paraId="4A7DAFB9">
      <w:pPr>
        <w:widowControl/>
        <w:spacing w:line="460" w:lineRule="atLeast"/>
        <w:ind w:firstLine="276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70402A96">
      <w:pPr>
        <w:widowControl/>
        <w:spacing w:line="460" w:lineRule="atLeast"/>
        <w:ind w:firstLine="3840" w:firstLineChars="16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7D48CC4F">
      <w:pPr>
        <w:pageBreakBefore/>
        <w:widowControl/>
        <w:spacing w:line="460" w:lineRule="atLeas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附件8</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法定代表人授权书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37AA6D11">
      <w:pPr>
        <w:widowControl/>
        <w:spacing w:line="460" w:lineRule="atLeas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采购人或</w:t>
      </w:r>
      <w:r>
        <w:rPr>
          <w:rFonts w:hint="eastAsia" w:ascii="宋体" w:hAnsi="宋体" w:eastAsia="宋体" w:cs="宋体"/>
          <w:kern w:val="0"/>
          <w:sz w:val="24"/>
          <w:highlight w:val="none"/>
        </w:rPr>
        <w:t>采购代理机构）</w:t>
      </w:r>
      <w:r>
        <w:rPr>
          <w:rFonts w:hint="eastAsia"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14:paraId="19C81973">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我______（姓名）系</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（供应商名称）的法定代表人，现委托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项目（项目编号：</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）的竞争性磋商活动，并代表我方全权办理针对上述项目的响应性文件递交、参加磋商、签约等具体事务和签署相关文件。</w:t>
      </w:r>
    </w:p>
    <w:p w14:paraId="3D542663">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71349FF7">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14:paraId="14124DE6">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18BFA5A">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法定代表人签名：</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4048A6FA">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职务：</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E0ECF6">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92953DE">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p>
    <w:p w14:paraId="6629BB65">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tbl>
      <w:tblPr>
        <w:tblStyle w:val="28"/>
        <w:tblW w:w="0" w:type="auto"/>
        <w:tblInd w:w="1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0"/>
      </w:tblGrid>
      <w:tr w14:paraId="0C41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6210" w:type="dxa"/>
          </w:tcPr>
          <w:p w14:paraId="5DFD213D">
            <w:pPr>
              <w:widowControl/>
              <w:spacing w:line="460" w:lineRule="atLeast"/>
              <w:jc w:val="center"/>
              <w:rPr>
                <w:rFonts w:hint="eastAsia" w:ascii="宋体" w:hAnsi="宋体" w:eastAsia="宋体" w:cs="宋体"/>
                <w:color w:val="000000" w:themeColor="text1"/>
                <w:kern w:val="0"/>
                <w:sz w:val="24"/>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附委托代理人身份证</w:t>
            </w:r>
            <w:r>
              <w:rPr>
                <w:rFonts w:hint="eastAsia" w:ascii="宋体" w:hAnsi="宋体" w:eastAsia="宋体" w:cs="宋体"/>
                <w:color w:val="000000" w:themeColor="text1"/>
                <w:kern w:val="0"/>
                <w:sz w:val="24"/>
                <w:highlight w:val="none"/>
                <w:lang w:val="en-US" w:eastAsia="zh-CN"/>
                <w14:textFill>
                  <w14:solidFill>
                    <w14:schemeClr w14:val="tx1"/>
                  </w14:solidFill>
                </w14:textFill>
              </w:rPr>
              <w:t>正、反面</w:t>
            </w:r>
          </w:p>
          <w:p w14:paraId="712FD072">
            <w:pPr>
              <w:widowControl/>
              <w:spacing w:line="460" w:lineRule="atLeast"/>
              <w:jc w:val="left"/>
              <w:rPr>
                <w:rFonts w:hint="eastAsia" w:ascii="宋体" w:hAnsi="宋体" w:eastAsia="宋体" w:cs="宋体"/>
                <w:color w:val="000000" w:themeColor="text1"/>
                <w:kern w:val="0"/>
                <w:sz w:val="24"/>
                <w:highlight w:val="none"/>
                <w:vertAlign w:val="baseline"/>
                <w14:textFill>
                  <w14:solidFill>
                    <w14:schemeClr w14:val="tx1"/>
                  </w14:solidFill>
                </w14:textFill>
              </w:rPr>
            </w:pPr>
          </w:p>
        </w:tc>
      </w:tr>
    </w:tbl>
    <w:p w14:paraId="4DF43A8B">
      <w:pPr>
        <w:widowControl/>
        <w:spacing w:line="460" w:lineRule="atLeas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1F42D90">
      <w:pPr>
        <w:widowControl/>
        <w:spacing w:line="460" w:lineRule="atLeast"/>
        <w:ind w:firstLine="2400"/>
        <w:jc w:val="left"/>
        <w:rPr>
          <w:rFonts w:hint="eastAsia" w:ascii="宋体" w:hAnsi="宋体" w:eastAsia="宋体" w:cs="宋体"/>
          <w:color w:val="000000" w:themeColor="text1"/>
          <w:kern w:val="0"/>
          <w:sz w:val="24"/>
          <w:highlight w:val="none"/>
          <w14:textFill>
            <w14:solidFill>
              <w14:schemeClr w14:val="tx1"/>
            </w14:solidFill>
          </w14:textFill>
        </w:rPr>
      </w:pPr>
    </w:p>
    <w:p w14:paraId="2A6A2A0E">
      <w:pPr>
        <w:widowControl/>
        <w:spacing w:line="460" w:lineRule="atLeast"/>
        <w:ind w:firstLine="2400"/>
        <w:jc w:val="left"/>
        <w:rPr>
          <w:rFonts w:hint="eastAsia" w:ascii="宋体" w:hAnsi="宋体" w:eastAsia="宋体" w:cs="宋体"/>
          <w:color w:val="000000" w:themeColor="text1"/>
          <w:kern w:val="0"/>
          <w:sz w:val="24"/>
          <w:highlight w:val="none"/>
          <w14:textFill>
            <w14:solidFill>
              <w14:schemeClr w14:val="tx1"/>
            </w14:solidFill>
          </w14:textFill>
        </w:rPr>
      </w:pPr>
    </w:p>
    <w:p w14:paraId="22C92B9C">
      <w:pPr>
        <w:widowControl/>
        <w:spacing w:line="460" w:lineRule="atLeast"/>
        <w:ind w:firstLine="2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DF30461">
      <w:pPr>
        <w:widowControl/>
        <w:spacing w:line="46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092E055B">
      <w:pPr>
        <w:widowControl/>
        <w:spacing w:line="460" w:lineRule="atLeast"/>
        <w:ind w:firstLine="3360" w:firstLineChars="14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w:t>
      </w:r>
    </w:p>
    <w:p w14:paraId="0FA61D14">
      <w:pPr>
        <w:pageBreakBefore/>
        <w:widowControl/>
        <w:spacing w:line="432" w:lineRule="auto"/>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附件9 </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证明文件</w:t>
      </w:r>
    </w:p>
    <w:p w14:paraId="1933B404">
      <w:pPr>
        <w:widowControl/>
        <w:wordWrap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9.1</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驻马店市政府采购供应商信用承诺函</w:t>
      </w:r>
    </w:p>
    <w:p w14:paraId="6664B1DE">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致（采购人或政府采购代理机构）：</w:t>
      </w:r>
    </w:p>
    <w:p w14:paraId="1C6FEAEB">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单位名称（自然人姓名）：       </w:t>
      </w:r>
    </w:p>
    <w:p w14:paraId="34BF833C">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统一社会信用代码（身份证号码）：    </w:t>
      </w:r>
    </w:p>
    <w:p w14:paraId="0F7CE67E">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法定代表人（负责人）：        </w:t>
      </w:r>
    </w:p>
    <w:p w14:paraId="594A5217">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联系地址和电话：   </w:t>
      </w:r>
    </w:p>
    <w:p w14:paraId="1491FF23">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CAB8AD">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（一）具有独立承担民事责任的能力；</w:t>
      </w:r>
    </w:p>
    <w:p w14:paraId="036C8AEF">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（二）具有良好的商业信誉和健全的财务会计制度；</w:t>
      </w:r>
    </w:p>
    <w:p w14:paraId="7A664BCE">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（三）具有履行合同所必需的设备和专业技术能力；</w:t>
      </w:r>
    </w:p>
    <w:p w14:paraId="2D28A269">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（四）有依法缴纳税收和社会保障资金的良好记录；</w:t>
      </w:r>
    </w:p>
    <w:p w14:paraId="1F9E1DD3">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（五）参加政府采购活动前三年内，在经营活动中没有重大违法记录；</w:t>
      </w:r>
    </w:p>
    <w:p w14:paraId="1A9E85DB">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（六）未被列入严重失信主体名单、失信被执行人、税收违法黑名单、政府采购严重违法失信行为记录名单，未曾作出虚假承诺；</w:t>
      </w:r>
    </w:p>
    <w:p w14:paraId="7B184BFF">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（七）符合法律、行政法规规定的其他条件。</w:t>
      </w:r>
    </w:p>
    <w:p w14:paraId="1D52580E">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我单位（本人）保证上述承诺事项的真实性，如有弄虚作假或其他违法违规行为，愿意承担一切法律责任，并承担因此所造成的一切损失。</w:t>
      </w:r>
    </w:p>
    <w:p w14:paraId="6BE7BB45">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供应商名称（盖章）：</w:t>
      </w:r>
    </w:p>
    <w:p w14:paraId="1A0C6CDF">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法定代表人、负责人、自然人或授权代表(签字)：</w:t>
      </w:r>
    </w:p>
    <w:p w14:paraId="70DC4371">
      <w:pPr>
        <w:widowControl/>
        <w:spacing w:line="460" w:lineRule="atLeast"/>
        <w:ind w:firstLine="48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14:paraId="1EA0C718">
      <w:pPr>
        <w:widowControl/>
        <w:wordWrap w:val="0"/>
        <w:spacing w:line="360" w:lineRule="auto"/>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注：1.供应商须在投标（响应性）文件中按此模板提供承诺函，未提供视为未实质性响应招标文件要求，按无效投标（响应）处理。</w:t>
      </w:r>
    </w:p>
    <w:p w14:paraId="066BBAC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2.供应商的法定代表人或者授权代表的签字或盖章应真实、有效，如由授权代表签字或盖章的，应提供“法定代表人授权书”。</w:t>
      </w:r>
    </w:p>
    <w:p w14:paraId="7C4BDD6E">
      <w:pPr>
        <w:widowControl/>
        <w:spacing w:line="360" w:lineRule="auto"/>
        <w:ind w:firstLine="482"/>
        <w:jc w:val="left"/>
        <w:rPr>
          <w:rFonts w:hint="eastAsia" w:ascii="宋体" w:hAnsi="宋体" w:eastAsia="宋体" w:cs="宋体"/>
          <w:color w:val="000000" w:themeColor="text1"/>
          <w:kern w:val="0"/>
          <w:sz w:val="24"/>
          <w:highlight w:val="none"/>
          <w14:textFill>
            <w14:solidFill>
              <w14:schemeClr w14:val="tx1"/>
            </w14:solidFill>
          </w14:textFill>
        </w:rPr>
      </w:pPr>
    </w:p>
    <w:p w14:paraId="02A895A5">
      <w:pPr>
        <w:pStyle w:val="26"/>
        <w:ind w:firstLine="240"/>
        <w:rPr>
          <w:rFonts w:hint="eastAsia" w:ascii="宋体" w:hAnsi="宋体" w:eastAsia="宋体" w:cs="宋体"/>
          <w:color w:val="000000" w:themeColor="text1"/>
          <w:kern w:val="0"/>
          <w:sz w:val="24"/>
          <w:highlight w:val="none"/>
          <w14:textFill>
            <w14:solidFill>
              <w14:schemeClr w14:val="tx1"/>
            </w14:solidFill>
          </w14:textFill>
        </w:rPr>
      </w:pPr>
    </w:p>
    <w:p w14:paraId="760A54D0">
      <w:pPr>
        <w:spacing w:line="360" w:lineRule="auto"/>
        <w:jc w:val="center"/>
        <w:rPr>
          <w:rFonts w:hint="eastAsia" w:ascii="宋体" w:hAnsi="宋体" w:eastAsia="宋体" w:cs="宋体"/>
          <w:b/>
          <w:bCs w:val="0"/>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9.2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highlight w:val="none"/>
          <w14:textFill>
            <w14:solidFill>
              <w14:schemeClr w14:val="tx1"/>
            </w14:solidFill>
          </w14:textFill>
        </w:rPr>
        <w:t>磋商办法中需要提供的证明材料</w:t>
      </w:r>
    </w:p>
    <w:p w14:paraId="6502E27A">
      <w:pPr>
        <w:jc w:val="center"/>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 xml:space="preserve">     </w:t>
      </w:r>
    </w:p>
    <w:p w14:paraId="4799CFF9">
      <w:pPr>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b/>
          <w:color w:val="000000" w:themeColor="text1"/>
          <w:kern w:val="0"/>
          <w:sz w:val="24"/>
          <w:highlight w:val="none"/>
          <w14:textFill>
            <w14:solidFill>
              <w14:schemeClr w14:val="tx1"/>
            </w14:solidFill>
          </w14:textFill>
        </w:rPr>
        <w:br w:type="page"/>
      </w:r>
    </w:p>
    <w:p w14:paraId="52F04055">
      <w:pPr>
        <w:widowControl/>
        <w:snapToGrid w:val="0"/>
        <w:spacing w:line="460" w:lineRule="atLeast"/>
        <w:jc w:val="center"/>
        <w:rPr>
          <w:rFonts w:hint="eastAsia" w:ascii="宋体" w:hAnsi="宋体" w:eastAsia="宋体" w:cs="宋体"/>
          <w:b/>
          <w:kern w:val="0"/>
          <w:sz w:val="24"/>
          <w:highlight w:val="none"/>
        </w:rPr>
      </w:pPr>
      <w:r>
        <w:rPr>
          <w:rFonts w:hint="eastAsia" w:ascii="宋体" w:hAnsi="宋体" w:eastAsia="宋体" w:cs="宋体"/>
          <w:b/>
          <w:color w:val="000000" w:themeColor="text1"/>
          <w:kern w:val="0"/>
          <w:sz w:val="24"/>
          <w:highlight w:val="none"/>
          <w14:textFill>
            <w14:solidFill>
              <w14:schemeClr w14:val="tx1"/>
            </w14:solidFill>
          </w14:textFill>
        </w:rPr>
        <w:t>9.3</w:t>
      </w:r>
      <w:r>
        <w:rPr>
          <w:rFonts w:hint="eastAsia" w:ascii="宋体" w:hAnsi="宋体" w:eastAsia="宋体"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kern w:val="0"/>
          <w:sz w:val="24"/>
          <w:highlight w:val="none"/>
        </w:rPr>
        <w:t>中小企业声明函（货物）</w:t>
      </w:r>
    </w:p>
    <w:p w14:paraId="36BFC295">
      <w:pPr>
        <w:spacing w:line="480" w:lineRule="exact"/>
        <w:ind w:firstLine="600" w:firstLineChars="25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（单位名称）的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（项目名称）采购活动，提供的货物全部由符合政策要求的中小企业制造。相关企业（含联合体中的中小企业、签订分包意向协议的中小企业）的具体情况如下：</w:t>
      </w:r>
    </w:p>
    <w:p w14:paraId="2D25B9A9">
      <w:pPr>
        <w:numPr>
          <w:ilvl w:val="0"/>
          <w:numId w:val="7"/>
        </w:numPr>
        <w:spacing w:line="48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（标的名称），属于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（采购文件中明确的所属行业）行业 ；制造商为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（企业名称），从业人员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（中型企业、小型企业、微型企业）；</w:t>
      </w:r>
    </w:p>
    <w:p w14:paraId="3645E87B">
      <w:pPr>
        <w:spacing w:line="480" w:lineRule="exact"/>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（标的名称），属于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（采购文件中明确的所属行业）行业；制造商为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（企业名称），从业人员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（中型企业、小型企业、微型企业）；</w:t>
      </w:r>
    </w:p>
    <w:p w14:paraId="58B0BADF">
      <w:pPr>
        <w:spacing w:line="480" w:lineRule="exact"/>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94F7038">
      <w:pPr>
        <w:spacing w:line="480" w:lineRule="exact"/>
        <w:ind w:firstLine="240" w:firstLineChars="1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709670D4">
      <w:pPr>
        <w:spacing w:line="480" w:lineRule="exact"/>
        <w:rPr>
          <w:rFonts w:hint="eastAsia" w:ascii="宋体" w:hAnsi="宋体" w:eastAsia="宋体" w:cs="宋体"/>
          <w:kern w:val="0"/>
          <w:sz w:val="24"/>
          <w:highlight w:val="none"/>
        </w:rPr>
      </w:pPr>
    </w:p>
    <w:p w14:paraId="35BD6142">
      <w:pPr>
        <w:spacing w:line="48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3A6EEF41">
      <w:pPr>
        <w:spacing w:line="480" w:lineRule="exact"/>
        <w:ind w:left="0" w:leftChars="0" w:firstLine="3480" w:firstLineChars="1450"/>
        <w:jc w:val="both"/>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日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期：</w:t>
      </w:r>
    </w:p>
    <w:p w14:paraId="3017F1C2">
      <w:pPr>
        <w:spacing w:after="570" w:line="360" w:lineRule="auto"/>
        <w:rPr>
          <w:rFonts w:hint="eastAsia" w:ascii="宋体" w:hAnsi="宋体" w:eastAsia="宋体" w:cs="宋体"/>
          <w:color w:val="000000" w:themeColor="text1"/>
          <w:sz w:val="24"/>
          <w:highlight w:val="none"/>
          <w14:textFill>
            <w14:solidFill>
              <w14:schemeClr w14:val="tx1"/>
            </w14:solidFill>
          </w14:textFill>
        </w:rPr>
      </w:pPr>
    </w:p>
    <w:p w14:paraId="6DDD00B9">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从业人员、营业收入、资产总额填报上一年度数据，无上一年度数据的新成立企业可不填报。</w:t>
      </w:r>
    </w:p>
    <w:p w14:paraId="11291B34">
      <w:pPr>
        <w:pStyle w:val="26"/>
        <w:ind w:firstLine="280"/>
        <w:rPr>
          <w:rFonts w:hint="eastAsia" w:ascii="宋体" w:hAnsi="宋体" w:eastAsia="宋体" w:cs="宋体"/>
          <w:color w:val="000000" w:themeColor="text1"/>
          <w:highlight w:val="none"/>
          <w14:textFill>
            <w14:solidFill>
              <w14:schemeClr w14:val="tx1"/>
            </w14:solidFill>
          </w14:textFill>
        </w:rPr>
      </w:pPr>
    </w:p>
    <w:p w14:paraId="337B5D70">
      <w:pPr>
        <w:pStyle w:val="15"/>
        <w:ind w:left="420" w:firstLine="480"/>
        <w:rPr>
          <w:rFonts w:hint="eastAsia" w:ascii="宋体" w:hAnsi="宋体" w:eastAsia="宋体" w:cs="宋体"/>
          <w:color w:val="000000" w:themeColor="text1"/>
          <w:highlight w:val="none"/>
          <w14:textFill>
            <w14:solidFill>
              <w14:schemeClr w14:val="tx1"/>
            </w14:solidFill>
          </w14:textFill>
        </w:rPr>
      </w:pPr>
    </w:p>
    <w:p w14:paraId="67CF55B1">
      <w:pP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br w:type="page"/>
      </w:r>
    </w:p>
    <w:p w14:paraId="201ABF56">
      <w:pPr>
        <w:widowControl/>
        <w:wordWrap w:val="0"/>
        <w:snapToGrid w:val="0"/>
        <w:spacing w:line="460" w:lineRule="exac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07A85CA0">
      <w:pPr>
        <w:widowControl/>
        <w:wordWrap w:val="0"/>
        <w:spacing w:line="360" w:lineRule="auto"/>
        <w:jc w:val="center"/>
        <w:rPr>
          <w:rFonts w:hint="eastAsia" w:ascii="宋体" w:hAnsi="宋体" w:eastAsia="宋体" w:cs="宋体"/>
          <w:kern w:val="0"/>
          <w:sz w:val="24"/>
          <w:highlight w:val="none"/>
        </w:rPr>
      </w:pPr>
      <w:r>
        <w:rPr>
          <w:rFonts w:hint="eastAsia" w:ascii="宋体" w:hAnsi="宋体" w:eastAsia="宋体" w:cs="宋体"/>
          <w:b/>
          <w:kern w:val="0"/>
          <w:sz w:val="24"/>
          <w:highlight w:val="none"/>
          <w:lang w:val="en-US" w:eastAsia="zh-CN"/>
        </w:rPr>
        <w:t xml:space="preserve">9.4  </w:t>
      </w:r>
      <w:r>
        <w:rPr>
          <w:rFonts w:hint="eastAsia" w:ascii="宋体" w:hAnsi="宋体" w:eastAsia="宋体" w:cs="宋体"/>
          <w:b/>
          <w:kern w:val="0"/>
          <w:sz w:val="24"/>
          <w:highlight w:val="none"/>
        </w:rPr>
        <w:t>残疾人福利性单位声明函（格式）</w:t>
      </w:r>
    </w:p>
    <w:p w14:paraId="36DA0885">
      <w:pPr>
        <w:widowControl/>
        <w:wordWrap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单位的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项目采购活动提供本单位制造的货物（由本单位承担工程/提供服务），或者提供其他残疾人福利性单位制造的货物（不包括使用非残疾人福利性单位注册商标的货物）。</w:t>
      </w:r>
    </w:p>
    <w:p w14:paraId="5976C204">
      <w:pPr>
        <w:widowControl/>
        <w:wordWrap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本单位对上述声明的真实性负责。如有虚假，将依法承担相应责任。</w:t>
      </w:r>
    </w:p>
    <w:p w14:paraId="5B146B40">
      <w:pPr>
        <w:widowControl/>
        <w:wordWrap w:val="0"/>
        <w:spacing w:line="360" w:lineRule="auto"/>
        <w:ind w:firstLine="4920" w:firstLineChars="2050"/>
        <w:jc w:val="left"/>
        <w:rPr>
          <w:rFonts w:hint="eastAsia" w:ascii="宋体" w:hAnsi="宋体" w:eastAsia="宋体" w:cs="宋体"/>
          <w:kern w:val="0"/>
          <w:sz w:val="24"/>
          <w:highlight w:val="none"/>
        </w:rPr>
      </w:pPr>
    </w:p>
    <w:p w14:paraId="698C40E7">
      <w:pPr>
        <w:widowControl/>
        <w:wordWrap w:val="0"/>
        <w:spacing w:line="360" w:lineRule="auto"/>
        <w:ind w:firstLine="2280" w:firstLineChars="95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（全称并加盖公章）  </w:t>
      </w:r>
    </w:p>
    <w:p w14:paraId="02C5DC1A">
      <w:pPr>
        <w:widowControl/>
        <w:wordWrap w:val="0"/>
        <w:spacing w:line="360" w:lineRule="auto"/>
        <w:ind w:firstLine="3360" w:firstLineChars="1400"/>
        <w:jc w:val="left"/>
        <w:rPr>
          <w:rFonts w:hint="eastAsia" w:ascii="宋体" w:hAnsi="宋体" w:eastAsia="宋体" w:cs="宋体"/>
          <w:b/>
          <w:kern w:val="0"/>
          <w:sz w:val="24"/>
          <w:highlight w:val="none"/>
        </w:rPr>
      </w:pPr>
      <w:r>
        <w:rPr>
          <w:rFonts w:hint="eastAsia" w:ascii="宋体" w:hAnsi="宋体" w:eastAsia="宋体" w:cs="宋体"/>
          <w:kern w:val="0"/>
          <w:sz w:val="24"/>
          <w:highlight w:val="none"/>
        </w:rPr>
        <w:t>年   月    日</w:t>
      </w:r>
    </w:p>
    <w:p w14:paraId="203DECF6">
      <w:pPr>
        <w:widowControl/>
        <w:wordWrap w:val="0"/>
        <w:snapToGrid w:val="0"/>
        <w:spacing w:line="460" w:lineRule="exac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5F27134B">
      <w:pPr>
        <w:widowControl/>
        <w:wordWrap w:val="0"/>
        <w:spacing w:line="360" w:lineRule="auto"/>
        <w:jc w:val="center"/>
        <w:rPr>
          <w:rFonts w:hint="eastAsia" w:ascii="宋体" w:hAnsi="宋体" w:cs="宋体"/>
          <w:b/>
          <w:kern w:val="0"/>
          <w:sz w:val="24"/>
          <w:highlight w:val="none"/>
          <w:lang w:val="en-US" w:eastAsia="zh-CN"/>
        </w:rPr>
      </w:pPr>
      <w:r>
        <w:rPr>
          <w:rFonts w:hint="eastAsia" w:ascii="宋体" w:hAnsi="宋体" w:eastAsia="宋体" w:cs="宋体"/>
          <w:b/>
          <w:kern w:val="0"/>
          <w:sz w:val="24"/>
          <w:highlight w:val="none"/>
          <w:lang w:val="en-US" w:eastAsia="zh-CN"/>
        </w:rPr>
        <w:t xml:space="preserve">9.5  </w:t>
      </w:r>
      <w:r>
        <w:rPr>
          <w:rFonts w:hint="eastAsia" w:ascii="宋体" w:hAnsi="宋体" w:cs="宋体"/>
          <w:b/>
          <w:kern w:val="0"/>
          <w:sz w:val="24"/>
          <w:highlight w:val="none"/>
          <w:lang w:val="en-US" w:eastAsia="zh-CN"/>
        </w:rPr>
        <w:t>监狱企业证明材料</w:t>
      </w:r>
    </w:p>
    <w:p w14:paraId="238158B5">
      <w:pPr>
        <w:widowControl/>
        <w:wordWrap w:val="0"/>
        <w:spacing w:line="360" w:lineRule="auto"/>
        <w:jc w:val="left"/>
        <w:rPr>
          <w:rFonts w:hint="eastAsia" w:ascii="宋体" w:hAnsi="宋体" w:cs="宋体"/>
          <w:b/>
          <w:kern w:val="0"/>
          <w:sz w:val="24"/>
          <w:highlight w:val="none"/>
          <w:lang w:val="en-US" w:eastAsia="zh-CN"/>
        </w:rPr>
      </w:pPr>
      <w:r>
        <w:rPr>
          <w:rFonts w:hint="eastAsia" w:ascii="宋体" w:hAnsi="宋体" w:cs="宋体"/>
          <w:b/>
          <w:kern w:val="0"/>
          <w:sz w:val="24"/>
          <w:highlight w:val="none"/>
          <w:lang w:val="en-US" w:eastAsia="zh-CN"/>
        </w:rPr>
        <w:t>提供由省级以上监狱管理局、戒毒管理局（含新疆生产建设兵团）出具的属于监狱企业的证明文件，否则评审时不予价格扣除优惠。</w:t>
      </w:r>
    </w:p>
    <w:p w14:paraId="05A829C8">
      <w:pPr>
        <w:widowControl/>
        <w:wordWrap w:val="0"/>
        <w:spacing w:line="360" w:lineRule="auto"/>
        <w:jc w:val="center"/>
        <w:rPr>
          <w:rFonts w:hint="eastAsia" w:ascii="宋体" w:hAnsi="宋体" w:cs="宋体"/>
          <w:b/>
          <w:kern w:val="0"/>
          <w:sz w:val="24"/>
          <w:highlight w:val="none"/>
          <w:lang w:val="en-US" w:eastAsia="zh-CN"/>
        </w:rPr>
      </w:pPr>
      <w:r>
        <w:rPr>
          <w:rFonts w:hint="eastAsia" w:ascii="宋体" w:hAnsi="宋体" w:cs="宋体"/>
          <w:b/>
          <w:kern w:val="0"/>
          <w:sz w:val="24"/>
          <w:highlight w:val="none"/>
          <w:lang w:val="en-US" w:eastAsia="zh-CN"/>
        </w:rPr>
        <w:t>（备注：若供应商不属于监狱企业，可不附此附件）</w:t>
      </w:r>
    </w:p>
    <w:p w14:paraId="5621CE7E">
      <w:pPr>
        <w:widowControl/>
        <w:wordWrap w:val="0"/>
        <w:spacing w:line="360" w:lineRule="auto"/>
        <w:jc w:val="center"/>
        <w:rPr>
          <w:rFonts w:hint="eastAsia" w:ascii="宋体" w:hAnsi="宋体" w:cs="宋体"/>
          <w:b/>
          <w:kern w:val="0"/>
          <w:sz w:val="24"/>
          <w:highlight w:val="none"/>
          <w:lang w:val="en-US" w:eastAsia="zh-CN"/>
        </w:rPr>
        <w:sectPr>
          <w:pgSz w:w="11906" w:h="16838"/>
          <w:pgMar w:top="1440" w:right="1800" w:bottom="1440" w:left="1800" w:header="851" w:footer="992" w:gutter="0"/>
          <w:pgNumType w:fmt="decimal"/>
          <w:cols w:space="720" w:num="1"/>
          <w:titlePg/>
          <w:rtlGutter w:val="0"/>
          <w:docGrid w:type="lines" w:linePitch="312" w:charSpace="0"/>
        </w:sectPr>
      </w:pPr>
    </w:p>
    <w:p w14:paraId="5818778F">
      <w:pPr>
        <w:widowControl/>
        <w:wordWrap w:val="0"/>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lang w:val="en-US" w:eastAsia="zh-CN"/>
        </w:rPr>
        <w:t xml:space="preserve">9.6  </w:t>
      </w:r>
      <w:r>
        <w:rPr>
          <w:rFonts w:hint="eastAsia" w:ascii="宋体" w:hAnsi="宋体" w:eastAsia="宋体" w:cs="宋体"/>
          <w:b/>
          <w:kern w:val="0"/>
          <w:sz w:val="24"/>
          <w:highlight w:val="none"/>
        </w:rPr>
        <w:t>距采购人最近的服务网点情况表</w:t>
      </w:r>
    </w:p>
    <w:p w14:paraId="3A6E7EC3">
      <w:pPr>
        <w:widowControl/>
        <w:spacing w:line="360" w:lineRule="auto"/>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（根据项目需要设定</w:t>
      </w:r>
      <w:r>
        <w:rPr>
          <w:rFonts w:hint="eastAsia" w:ascii="宋体" w:hAnsi="宋体" w:eastAsia="宋体" w:cs="宋体"/>
          <w:b/>
          <w:kern w:val="0"/>
          <w:sz w:val="24"/>
          <w:highlight w:val="none"/>
        </w:rPr>
        <w:t>）</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7661A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77238CB8">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B1260ED">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4E9FD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14:paraId="462FF0F8">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44814FE2">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73EE4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1E9831B2">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2FB9B0C6">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4BC7136F">
            <w:pPr>
              <w:widowControl/>
              <w:snapToGrid w:val="0"/>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其中：投标人出资比例</w:t>
            </w:r>
          </w:p>
        </w:tc>
      </w:tr>
      <w:tr w14:paraId="71591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539A461">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697D8616">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1638B661">
            <w:pPr>
              <w:widowControl/>
              <w:snapToGrid w:val="0"/>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其中：技术人员数</w:t>
            </w:r>
          </w:p>
        </w:tc>
      </w:tr>
      <w:tr w14:paraId="138B1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3774505">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14:paraId="7E2BF6DE">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768A5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6F696779">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2B3202F">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2F31D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5FA3326">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5723CF18">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14693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3EB4AE85">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350E28BF">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14BF0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07C58283">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14:paraId="65480789">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r>
      <w:tr w14:paraId="5AD8F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4A7331C4">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453A15C5">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14:paraId="2316E782">
            <w:pPr>
              <w:widowControl/>
              <w:snapToGrid w:val="0"/>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传 真</w:t>
            </w:r>
          </w:p>
        </w:tc>
      </w:tr>
      <w:tr w14:paraId="0747D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14:paraId="5E32D678">
            <w:pPr>
              <w:widowControl/>
              <w:snapToGrid w:val="0"/>
              <w:spacing w:line="46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14:paraId="032FB0C9">
            <w:pPr>
              <w:widowControl/>
              <w:snapToGrid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14:paraId="7FD1FD19">
            <w:pPr>
              <w:widowControl/>
              <w:snapToGrid w:val="0"/>
              <w:spacing w:line="46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联系电话</w:t>
            </w:r>
          </w:p>
        </w:tc>
      </w:tr>
    </w:tbl>
    <w:p w14:paraId="599CDA14">
      <w:pPr>
        <w:widowControl/>
        <w:wordWrap w:val="0"/>
        <w:spacing w:line="460" w:lineRule="exact"/>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（全称并加盖公章）</w:t>
      </w:r>
    </w:p>
    <w:p w14:paraId="0A292AB0">
      <w:pPr>
        <w:widowControl/>
        <w:wordWrap w:val="0"/>
        <w:spacing w:line="460" w:lineRule="exact"/>
        <w:ind w:firstLine="3840" w:firstLineChars="16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年  月   日</w:t>
      </w:r>
    </w:p>
    <w:p w14:paraId="19A4894F">
      <w:pPr>
        <w:widowControl/>
        <w:wordWrap w:val="0"/>
        <w:snapToGrid w:val="0"/>
        <w:spacing w:line="460" w:lineRule="exact"/>
        <w:jc w:val="center"/>
        <w:rPr>
          <w:rFonts w:hint="eastAsia" w:ascii="宋体" w:hAnsi="宋体" w:eastAsia="宋体" w:cs="宋体"/>
          <w:b/>
          <w:bCs/>
          <w:color w:val="000000" w:themeColor="text1"/>
          <w:kern w:val="0"/>
          <w:sz w:val="28"/>
          <w:szCs w:val="28"/>
          <w:highlight w:val="none"/>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0C4F9835">
      <w:pPr>
        <w:widowControl/>
        <w:wordWrap w:val="0"/>
        <w:snapToGrid w:val="0"/>
        <w:spacing w:line="460" w:lineRule="exact"/>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附件10</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14:textFill>
            <w14:solidFill>
              <w14:schemeClr w14:val="tx1"/>
            </w14:solidFill>
          </w14:textFill>
        </w:rPr>
        <w:t>供应商自觉抵制采购领域商业贿赂行为承诺书</w:t>
      </w:r>
      <w:r>
        <w:rPr>
          <w:rFonts w:hint="eastAsia" w:ascii="宋体" w:hAnsi="宋体" w:eastAsia="宋体" w:cs="宋体"/>
          <w:color w:val="000000" w:themeColor="text1"/>
          <w:kern w:val="0"/>
          <w:sz w:val="28"/>
          <w:szCs w:val="28"/>
          <w:highlight w:val="none"/>
          <w14:textFill>
            <w14:solidFill>
              <w14:schemeClr w14:val="tx1"/>
            </w14:solidFill>
          </w14:textFill>
        </w:rPr>
        <w:t>（格式）</w:t>
      </w:r>
    </w:p>
    <w:p w14:paraId="7FA79E6E">
      <w:pPr>
        <w:widowControl/>
        <w:wordWrap w:val="0"/>
        <w:spacing w:line="360" w:lineRule="auto"/>
        <w:ind w:firstLine="2951" w:firstLineChars="1225"/>
        <w:jc w:val="left"/>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 xml:space="preserve"> </w:t>
      </w:r>
    </w:p>
    <w:p w14:paraId="4A8E2C07">
      <w:pPr>
        <w:widowControl/>
        <w:wordWrap w:val="0"/>
        <w:spacing w:line="360"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kern w:val="0"/>
          <w:sz w:val="24"/>
          <w:highlight w:val="none"/>
        </w:rPr>
        <w:t>（采购代理机构名称）</w:t>
      </w:r>
      <w:r>
        <w:rPr>
          <w:rFonts w:hint="eastAsia"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p>
    <w:p w14:paraId="36DB637E">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进一步规范政府采购行为，营造公平竞争的政府采购市场环境，维护政府采购制度良好声誉，在参与贵单位组织的招标活动中，我方庄重承诺：</w:t>
      </w:r>
    </w:p>
    <w:p w14:paraId="0A710AFF">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一、依法参与招标活动，遵纪守法，诚信经营，公平竞争。</w:t>
      </w:r>
    </w:p>
    <w:p w14:paraId="1F0F10D5">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二、不向采购人、采购代理机构和评审专家提供任何形式的商业贿赂，对索取或接受商业贿赂的单位和个人，及时向财政部门和纪检监察机关举报。</w:t>
      </w:r>
    </w:p>
    <w:p w14:paraId="2B6F5D5D">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三、不以提供虚假资质文件等形式参与招标活动，不以虚假材料谋取成交。</w:t>
      </w:r>
    </w:p>
    <w:p w14:paraId="3C24D891">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四、不采取不正当手段诋毁、排挤其它供应商，与其它参与招标活动的供应商保持良性的竞争关系。</w:t>
      </w:r>
    </w:p>
    <w:p w14:paraId="14DACE97">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五、不与采购人、采购代理机构和评审专家恶意串通，自觉维护政府采购公平竞争的市场秩序。</w:t>
      </w:r>
    </w:p>
    <w:p w14:paraId="4C7B85BF">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六、不与其它供应商串通采取围标、陪标等商业欺诈手段谋取成交，积极维护国家利益、社会公共利益和采购人的合法权益。</w:t>
      </w:r>
    </w:p>
    <w:p w14:paraId="780558E6">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七、严格履行政府采购合同约定义务，不在政府采购合同执行过程中采取降低质量或标准、减少数量、拖延交付时间等方式损害采购人的利益，并自觉承担违约责任。</w:t>
      </w:r>
    </w:p>
    <w:p w14:paraId="658091C6">
      <w:pPr>
        <w:widowControl/>
        <w:wordWrap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八、自觉接受并积极配合相关监督部门实施的监督检查，如实反映情况，及时提供有关证明材料。</w:t>
      </w:r>
    </w:p>
    <w:p w14:paraId="1381554F">
      <w:pPr>
        <w:widowControl/>
        <w:wordWrap w:val="0"/>
        <w:spacing w:line="240" w:lineRule="exact"/>
        <w:ind w:firstLine="240" w:firstLineChars="1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2853A6D4">
      <w:pPr>
        <w:widowControl/>
        <w:wordWrap w:val="0"/>
        <w:spacing w:line="460" w:lineRule="exact"/>
        <w:ind w:firstLine="2400" w:firstLineChars="10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法人代表人或委托代理人（签字或盖章）：</w:t>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ab/>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2FA5A50">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B689569">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6362F40B">
      <w:pPr>
        <w:widowControl/>
        <w:wordWrap w:val="0"/>
        <w:spacing w:line="460" w:lineRule="exact"/>
        <w:ind w:firstLine="4920" w:firstLineChars="205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04A1B1E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br w:type="page"/>
      </w:r>
    </w:p>
    <w:p w14:paraId="39BBE5E4">
      <w:pPr>
        <w:widowControl/>
        <w:wordWrap w:val="0"/>
        <w:snapToGrid w:val="0"/>
        <w:spacing w:line="460" w:lineRule="exact"/>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附件11</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14:textFill>
            <w14:solidFill>
              <w14:schemeClr w14:val="tx1"/>
            </w14:solidFill>
          </w14:textFill>
        </w:rPr>
        <w:t>供应商认为有必要提供的其他资料</w:t>
      </w:r>
    </w:p>
    <w:p w14:paraId="7A30EA9D">
      <w:pPr>
        <w:widowControl/>
        <w:spacing w:line="460" w:lineRule="atLeast"/>
        <w:ind w:firstLine="472"/>
        <w:jc w:val="left"/>
        <w:rPr>
          <w:rFonts w:hint="eastAsia" w:ascii="宋体" w:hAnsi="宋体" w:eastAsia="宋体" w:cs="宋体"/>
          <w:color w:val="000000" w:themeColor="text1"/>
          <w:sz w:val="24"/>
          <w:highlight w:val="none"/>
          <w14:textFill>
            <w14:solidFill>
              <w14:schemeClr w14:val="tx1"/>
            </w14:solidFill>
          </w14:textFill>
        </w:rPr>
      </w:pPr>
    </w:p>
    <w:p w14:paraId="55FB7B56">
      <w:pPr>
        <w:widowControl/>
        <w:spacing w:line="460" w:lineRule="atLeast"/>
        <w:ind w:firstLine="47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50899A34">
      <w:pPr>
        <w:widowControl/>
        <w:spacing w:line="460" w:lineRule="atLeast"/>
        <w:jc w:val="left"/>
        <w:rPr>
          <w:rFonts w:hint="eastAsia" w:ascii="宋体" w:hAnsi="宋体" w:eastAsia="宋体" w:cs="宋体"/>
          <w:b/>
          <w:color w:val="000000" w:themeColor="text1"/>
          <w:kern w:val="0"/>
          <w:sz w:val="24"/>
          <w:highlight w:val="none"/>
          <w:shd w:val="clear" w:color="auto" w:fill="FFFFFF"/>
          <w14:textFill>
            <w14:solidFill>
              <w14:schemeClr w14:val="tx1"/>
            </w14:solidFill>
          </w14:textFill>
        </w:rPr>
        <w:sectPr>
          <w:pgSz w:w="11906" w:h="16838"/>
          <w:pgMar w:top="1418" w:right="1134" w:bottom="1134" w:left="1701" w:header="851" w:footer="992" w:gutter="0"/>
          <w:pgNumType w:fmt="decimal"/>
          <w:cols w:space="720" w:num="1"/>
          <w:titlePg/>
          <w:docGrid w:type="lines" w:linePitch="312" w:charSpace="0"/>
        </w:sectPr>
      </w:pPr>
    </w:p>
    <w:p w14:paraId="23271F55">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政府采购合同融资政策告知函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本项可自行删除</w:t>
      </w:r>
      <w:r>
        <w:rPr>
          <w:rFonts w:hint="eastAsia" w:ascii="宋体" w:hAnsi="宋体" w:eastAsia="宋体" w:cs="宋体"/>
          <w:b/>
          <w:bCs/>
          <w:color w:val="auto"/>
          <w:sz w:val="21"/>
          <w:szCs w:val="21"/>
          <w:highlight w:val="none"/>
          <w:lang w:eastAsia="zh-CN"/>
        </w:rPr>
        <w:t>）</w:t>
      </w:r>
    </w:p>
    <w:p w14:paraId="4BCBB2D1">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各供应商:</w:t>
      </w:r>
    </w:p>
    <w:p w14:paraId="3A8E8541">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欢迎贵公司参与</w:t>
      </w:r>
      <w:r>
        <w:rPr>
          <w:rFonts w:hint="eastAsia" w:ascii="宋体" w:hAnsi="宋体" w:eastAsia="宋体" w:cs="宋体"/>
          <w:color w:val="auto"/>
          <w:kern w:val="0"/>
          <w:sz w:val="21"/>
          <w:szCs w:val="21"/>
          <w:highlight w:val="none"/>
          <w:lang w:eastAsia="zh-CN"/>
        </w:rPr>
        <w:t>驻马店市</w:t>
      </w:r>
      <w:r>
        <w:rPr>
          <w:rFonts w:hint="eastAsia" w:ascii="宋体" w:hAnsi="宋体" w:eastAsia="宋体" w:cs="宋体"/>
          <w:color w:val="auto"/>
          <w:kern w:val="0"/>
          <w:sz w:val="21"/>
          <w:szCs w:val="21"/>
          <w:highlight w:val="none"/>
        </w:rPr>
        <w:t>政府采购活动!</w:t>
      </w:r>
    </w:p>
    <w:p w14:paraId="4106AD98">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政府采购合同融资是河南省财政厅支持中小微企业发展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针对参与政府采购活动的供应商融资难、融资</w:t>
      </w:r>
      <w:r>
        <w:rPr>
          <w:rFonts w:hint="eastAsia" w:ascii="宋体" w:hAnsi="宋体" w:eastAsia="宋体" w:cs="宋体"/>
          <w:color w:val="auto"/>
          <w:kern w:val="0"/>
          <w:sz w:val="21"/>
          <w:szCs w:val="21"/>
          <w:highlight w:val="none"/>
          <w:lang w:eastAsia="zh-CN"/>
        </w:rPr>
        <w:t>贵</w:t>
      </w:r>
      <w:r>
        <w:rPr>
          <w:rFonts w:hint="eastAsia" w:ascii="宋体" w:hAnsi="宋体" w:eastAsia="宋体" w:cs="宋体"/>
          <w:color w:val="auto"/>
          <w:kern w:val="0"/>
          <w:sz w:val="21"/>
          <w:szCs w:val="21"/>
          <w:highlight w:val="none"/>
        </w:rPr>
        <w:t>问题推出的一项融资政策。</w:t>
      </w:r>
      <w:r>
        <w:rPr>
          <w:rFonts w:hint="eastAsia" w:ascii="宋体" w:hAnsi="宋体" w:eastAsia="宋体" w:cs="宋体"/>
          <w:color w:val="auto"/>
          <w:kern w:val="0"/>
          <w:sz w:val="21"/>
          <w:szCs w:val="21"/>
          <w:highlight w:val="none"/>
          <w:lang w:eastAsia="zh-CN"/>
        </w:rPr>
        <w:t>贵</w:t>
      </w:r>
      <w:r>
        <w:rPr>
          <w:rFonts w:hint="eastAsia" w:ascii="宋体" w:hAnsi="宋体" w:eastAsia="宋体" w:cs="宋体"/>
          <w:color w:val="auto"/>
          <w:kern w:val="0"/>
          <w:sz w:val="21"/>
          <w:szCs w:val="21"/>
          <w:highlight w:val="none"/>
        </w:rPr>
        <w:t>公司若成为本次政府采购项目的中标</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成</w:t>
      </w:r>
      <w:r>
        <w:rPr>
          <w:rFonts w:hint="eastAsia" w:ascii="宋体" w:hAnsi="宋体" w:eastAsia="宋体" w:cs="宋体"/>
          <w:color w:val="auto"/>
          <w:kern w:val="0"/>
          <w:sz w:val="21"/>
          <w:szCs w:val="21"/>
          <w:highlight w:val="none"/>
        </w:rPr>
        <w:t>交</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可持政府采购合同向金融机构申请贷款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无需抵押、担保</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融资机构根据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关于印发深入推进政府采购合同融资工作实施方案的通知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驻财购〔2020〕32号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eastAsia="zh-CN"/>
        </w:rPr>
        <w:t>照</w:t>
      </w:r>
      <w:r>
        <w:rPr>
          <w:rFonts w:hint="eastAsia" w:ascii="宋体" w:hAnsi="宋体" w:eastAsia="宋体" w:cs="宋体"/>
          <w:color w:val="auto"/>
          <w:kern w:val="0"/>
          <w:sz w:val="21"/>
          <w:szCs w:val="21"/>
          <w:highlight w:val="none"/>
        </w:rPr>
        <w:t>双方自愿的原则</w:t>
      </w:r>
      <w:r>
        <w:rPr>
          <w:rFonts w:hint="eastAsia" w:ascii="宋体" w:hAnsi="宋体" w:eastAsia="宋体" w:cs="宋体"/>
          <w:color w:val="auto"/>
          <w:kern w:val="0"/>
          <w:sz w:val="21"/>
          <w:szCs w:val="21"/>
          <w:highlight w:val="none"/>
          <w:lang w:eastAsia="zh-CN"/>
        </w:rPr>
        <w:t>提</w:t>
      </w:r>
      <w:r>
        <w:rPr>
          <w:rFonts w:hint="eastAsia" w:ascii="宋体" w:hAnsi="宋体" w:eastAsia="宋体" w:cs="宋体"/>
          <w:color w:val="auto"/>
          <w:kern w:val="0"/>
          <w:sz w:val="21"/>
          <w:szCs w:val="21"/>
          <w:highlight w:val="none"/>
        </w:rPr>
        <w:t>供便</w:t>
      </w:r>
      <w:r>
        <w:rPr>
          <w:rFonts w:hint="eastAsia" w:ascii="宋体" w:hAnsi="宋体" w:eastAsia="宋体" w:cs="宋体"/>
          <w:color w:val="auto"/>
          <w:kern w:val="0"/>
          <w:sz w:val="21"/>
          <w:szCs w:val="21"/>
          <w:highlight w:val="none"/>
          <w:lang w:eastAsia="zh-CN"/>
        </w:rPr>
        <w:t>捷</w:t>
      </w:r>
      <w:r>
        <w:rPr>
          <w:rFonts w:hint="eastAsia" w:ascii="宋体" w:hAnsi="宋体" w:eastAsia="宋体" w:cs="宋体"/>
          <w:color w:val="auto"/>
          <w:kern w:val="0"/>
          <w:sz w:val="21"/>
          <w:szCs w:val="21"/>
          <w:highlight w:val="none"/>
        </w:rPr>
        <w:t>、优</w:t>
      </w:r>
      <w:r>
        <w:rPr>
          <w:rFonts w:hint="eastAsia" w:ascii="宋体" w:hAnsi="宋体" w:eastAsia="宋体" w:cs="宋体"/>
          <w:color w:val="auto"/>
          <w:kern w:val="0"/>
          <w:sz w:val="21"/>
          <w:szCs w:val="21"/>
          <w:highlight w:val="none"/>
          <w:lang w:eastAsia="zh-CN"/>
        </w:rPr>
        <w:t>惠</w:t>
      </w:r>
      <w:r>
        <w:rPr>
          <w:rFonts w:hint="eastAsia" w:ascii="宋体" w:hAnsi="宋体" w:eastAsia="宋体" w:cs="宋体"/>
          <w:color w:val="auto"/>
          <w:kern w:val="0"/>
          <w:sz w:val="21"/>
          <w:szCs w:val="21"/>
          <w:highlight w:val="none"/>
        </w:rPr>
        <w:t>的贷款服务。</w:t>
      </w:r>
    </w:p>
    <w:p w14:paraId="3A916627">
      <w:pPr>
        <w:widowControl/>
        <w:spacing w:line="500" w:lineRule="atLeas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贷款渠道和提供贷款的金融机构</w:t>
      </w:r>
      <w:r>
        <w:rPr>
          <w:rFonts w:hint="eastAsia" w:ascii="宋体" w:hAnsi="宋体" w:eastAsia="宋体" w:cs="宋体"/>
          <w:color w:val="auto"/>
          <w:kern w:val="0"/>
          <w:sz w:val="21"/>
          <w:szCs w:val="21"/>
          <w:highlight w:val="none"/>
          <w:lang w:eastAsia="zh-CN"/>
        </w:rPr>
        <w:t>如下：</w:t>
      </w:r>
    </w:p>
    <w:p w14:paraId="4C579332">
      <w:pPr>
        <w:widowControl/>
        <w:snapToGrid w:val="0"/>
        <w:spacing w:line="46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驻马店市政府采购合同融资金融机构联系方式</w:t>
      </w:r>
    </w:p>
    <w:p w14:paraId="72B65632">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1、上海浦东发展银行信阳分行</w:t>
      </w:r>
    </w:p>
    <w:p w14:paraId="32F7E8BD">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联系人：曾涛  18203766999  </w:t>
      </w:r>
    </w:p>
    <w:p w14:paraId="2C715CE5">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地址：信阳市羊山新区新六大街北段九阳大厦一号楼</w:t>
      </w:r>
    </w:p>
    <w:p w14:paraId="73361D9D">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2、中原银行驻马店分行公司业务七部</w:t>
      </w:r>
    </w:p>
    <w:p w14:paraId="612C8827">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联系人：王磊</w:t>
      </w:r>
    </w:p>
    <w:p w14:paraId="06D159BD">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联系电话：13783327708</w:t>
      </w:r>
    </w:p>
    <w:p w14:paraId="2EAEABA1">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地址：驻马店市驿城区文明路168号（天龙大酒店对面）</w:t>
      </w:r>
    </w:p>
    <w:p w14:paraId="2D8C1C5F">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 郑州银行驻马店分行 </w:t>
      </w:r>
    </w:p>
    <w:p w14:paraId="45DEBF71">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联系人：禹阳</w:t>
      </w:r>
    </w:p>
    <w:p w14:paraId="459197C4">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联系电话：15103825000</w:t>
      </w:r>
    </w:p>
    <w:p w14:paraId="7C581D9A">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地址：河南省驻马店市置地大道与天中山大道交叉口西南角</w:t>
      </w:r>
    </w:p>
    <w:p w14:paraId="43671FE3">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4、驻马店农村商业银行股份有限公司</w:t>
      </w:r>
    </w:p>
    <w:p w14:paraId="78CC9CEE">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联系人：鄢川源  15136590288   3699502</w:t>
      </w:r>
    </w:p>
    <w:p w14:paraId="09FD3382">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周莉娟  15290172878  3618869</w:t>
      </w:r>
    </w:p>
    <w:p w14:paraId="3C82A5B7">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地址：驻马店市驿城区文化路360号</w:t>
      </w:r>
    </w:p>
    <w:p w14:paraId="2931A49D">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5、中国银行股份有限公司驻马店分行营业部</w:t>
      </w:r>
    </w:p>
    <w:p w14:paraId="669E1284">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联系人：罗浩 手机号15239620736</w:t>
      </w:r>
    </w:p>
    <w:p w14:paraId="624E9D05">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刘杰 手机号16639631991</w:t>
      </w:r>
    </w:p>
    <w:p w14:paraId="2C450C51">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地址：驻马店市文明路188号</w:t>
      </w:r>
    </w:p>
    <w:p w14:paraId="6344682A">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6、中信银行股份有限公司郑州东明路支行</w:t>
      </w:r>
    </w:p>
    <w:p w14:paraId="785C1EEE">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联系人：李阿萃  18638139933</w:t>
      </w:r>
    </w:p>
    <w:p w14:paraId="08237634">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地址：郑州市东明路与东风路交叉口</w:t>
      </w:r>
    </w:p>
    <w:p w14:paraId="35587D38">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7、中国建设银行股份有限公司驻马店分行</w:t>
      </w:r>
    </w:p>
    <w:p w14:paraId="4D59DF25">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联系人：崔颖13303968688 </w:t>
      </w:r>
    </w:p>
    <w:p w14:paraId="03A4AAF7">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地址：驻马店市交通路998号</w:t>
      </w:r>
    </w:p>
    <w:p w14:paraId="480D20FD">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8、洛阳银行股份有限公司驻马店分行</w:t>
      </w:r>
    </w:p>
    <w:p w14:paraId="56DF00AE">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联系人：马晨旭  13526371627</w:t>
      </w:r>
    </w:p>
    <w:p w14:paraId="6D12B393">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地址：驿城区文明大道与天中山大道交汇处汇金大厦</w:t>
      </w:r>
    </w:p>
    <w:p w14:paraId="3A6DB87E">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9、中国邮政储蓄银行股份有限公司驻马店市分行</w:t>
      </w:r>
    </w:p>
    <w:p w14:paraId="174927D7">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联系人：胥永伟13526391116</w:t>
      </w:r>
    </w:p>
    <w:p w14:paraId="440B90AF">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地址：驻马店市解放大道与文明大道交叉口</w:t>
      </w:r>
    </w:p>
    <w:p w14:paraId="76AE6570">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10、兴业银行股份有限公司驻马店分行</w:t>
      </w:r>
    </w:p>
    <w:p w14:paraId="4878E770">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联系人：张辰羽  15236302066</w:t>
      </w:r>
    </w:p>
    <w:p w14:paraId="47258953">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地址：驿城区骏马路与开源大道交叉口</w:t>
      </w:r>
    </w:p>
    <w:p w14:paraId="04868CC5">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11、中国农业银行股份有限公司驻马店分行</w:t>
      </w:r>
    </w:p>
    <w:p w14:paraId="36BDD14E">
      <w:pPr>
        <w:widowControl/>
        <w:spacing w:line="50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联系人：赵晨光13939637700</w:t>
      </w:r>
    </w:p>
    <w:p w14:paraId="257C91B6">
      <w:pPr>
        <w:widowControl/>
        <w:spacing w:line="500" w:lineRule="atLeast"/>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地址：驻马店市解放大道西段599号</w:t>
      </w:r>
    </w:p>
    <w:p w14:paraId="4DAD2F70">
      <w:pPr>
        <w:widowControl/>
        <w:spacing w:line="460" w:lineRule="atLeast"/>
        <w:jc w:val="left"/>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14:paraId="67A05B4E">
      <w:pPr>
        <w:widowControl/>
        <w:spacing w:line="460" w:lineRule="atLeast"/>
        <w:jc w:val="left"/>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p>
    <w:p w14:paraId="299A77C4">
      <w:pPr>
        <w:pStyle w:val="129"/>
        <w:spacing w:line="360" w:lineRule="auto"/>
        <w:ind w:left="0" w:firstLine="2168" w:firstLineChars="900"/>
        <w:rPr>
          <w:rFonts w:hint="eastAsia" w:ascii="宋体" w:hAnsi="宋体" w:eastAsia="宋体" w:cs="宋体"/>
          <w:b/>
          <w:color w:val="000000" w:themeColor="text1"/>
          <w:sz w:val="24"/>
          <w:highlight w:val="none"/>
          <w14:textFill>
            <w14:solidFill>
              <w14:schemeClr w14:val="tx1"/>
            </w14:solidFill>
          </w14:textFill>
        </w:rPr>
      </w:pPr>
    </w:p>
    <w:p w14:paraId="23C940FB">
      <w:pPr>
        <w:rPr>
          <w:rFonts w:hint="eastAsia" w:ascii="宋体" w:hAnsi="宋体" w:eastAsia="宋体" w:cs="宋体"/>
          <w:color w:val="000000" w:themeColor="text1"/>
          <w:highlight w:val="none"/>
          <w14:textFill>
            <w14:solidFill>
              <w14:schemeClr w14:val="tx1"/>
            </w14:solidFill>
          </w14:textFill>
        </w:rPr>
      </w:pPr>
    </w:p>
    <w:sectPr>
      <w:pgSz w:w="11906" w:h="16838"/>
      <w:pgMar w:top="1418" w:right="1134" w:bottom="1134"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864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561E19A">
                          <w:pPr>
                            <w:pStyle w:val="19"/>
                          </w:pPr>
                          <w:r>
                            <w:fldChar w:fldCharType="begin"/>
                          </w:r>
                          <w:r>
                            <w:instrText xml:space="preserve"> PAGE  \* MERGEFORMAT </w:instrText>
                          </w:r>
                          <w: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xJq6T0QEAAKcDAAAOAAAAAAAAAAEAIAAAACIB&#10;AABkcnMvZTJvRG9jLnhtbFBLBQYAAAAABgAGAFkBAABlBQAAAAA=&#10;">
              <v:fill on="f" focussize="0,0"/>
              <v:stroke on="f" weight="1.25pt"/>
              <v:imagedata o:title=""/>
              <o:lock v:ext="edit" aspectratio="f"/>
              <v:textbox inset="0mm,0mm,0mm,0mm" style="mso-fit-shape-to-text:t;">
                <w:txbxContent>
                  <w:p w14:paraId="5561E19A">
                    <w:pPr>
                      <w:pStyle w:val="19"/>
                    </w:pPr>
                    <w:r>
                      <w:fldChar w:fldCharType="begin"/>
                    </w:r>
                    <w:r>
                      <w:instrText xml:space="preserve"> PAGE  \* MERGEFORMAT </w:instrText>
                    </w:r>
                    <w:r>
                      <w:fldChar w:fldCharType="separate"/>
                    </w:r>
                    <w:r>
                      <w:rPr>
                        <w:rFonts w:hint="eastAsia"/>
                      </w:rPr>
                      <w:t>- 1 -</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C0CB">
    <w:pPr>
      <w:pStyle w:val="19"/>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AB414">
                          <w:pPr>
                            <w:pStyle w:val="19"/>
                          </w:pPr>
                          <w:r>
                            <w:fldChar w:fldCharType="begin"/>
                          </w:r>
                          <w:r>
                            <w:instrText xml:space="preserve"> PAGE  \* MERGEFORMAT </w:instrText>
                          </w:r>
                          <w:r>
                            <w:fldChar w:fldCharType="separate"/>
                          </w:r>
                          <w:r>
                            <w:t>- 42 -</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m1O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ybU7yQEAAJoDAAAOAAAAAAAAAAEAIAAAAB4BAABkcnMvZTJvRG9j&#10;LnhtbFBLBQYAAAAABgAGAFkBAABZBQAAAAA=&#10;">
              <v:fill on="f" focussize="0,0"/>
              <v:stroke on="f"/>
              <v:imagedata o:title=""/>
              <o:lock v:ext="edit" aspectratio="f"/>
              <v:textbox inset="0mm,0mm,0mm,0mm" style="mso-fit-shape-to-text:t;">
                <w:txbxContent>
                  <w:p w14:paraId="7A5AB414">
                    <w:pPr>
                      <w:pStyle w:val="19"/>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F727">
    <w:pPr>
      <w:pStyle w:val="19"/>
      <w:framePr w:wrap="around" w:vAnchor="text" w:hAnchor="margin" w:xAlign="center" w:y="1"/>
      <w:rPr>
        <w:rStyle w:val="31"/>
      </w:rPr>
    </w:pPr>
    <w:r>
      <w:fldChar w:fldCharType="begin"/>
    </w:r>
    <w:r>
      <w:rPr>
        <w:rStyle w:val="31"/>
      </w:rPr>
      <w:instrText xml:space="preserve">PAGE  </w:instrText>
    </w:r>
    <w:r>
      <w:fldChar w:fldCharType="end"/>
    </w:r>
  </w:p>
  <w:p w14:paraId="5FB3A5D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40DC">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1B6C3C1"/>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&#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xhIi50QEAAKcDAAAOAAAAAAAAAAEAIAAAACIB&#10;AABkcnMvZTJvRG9jLnhtbFBLBQYAAAAABgAGAFkBAABlBQAAAAA=&#10;">
              <v:fill on="f" focussize="0,0"/>
              <v:stroke on="f" weight="1.25pt"/>
              <v:imagedata o:title=""/>
              <o:lock v:ext="edit" aspectratio="f"/>
              <v:textbox inset="0mm,0mm,0mm,0mm" style="mso-fit-shape-to-text:t;">
                <w:txbxContent>
                  <w:p w14:paraId="01B6C3C1"/>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1614">
    <w:pPr>
      <w:pStyle w:val="19"/>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04BB72F">
                          <w:pPr>
                            <w:pStyle w:val="1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&#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x63lv0QEAAKcDAAAOAAAAAAAAAAEAIAAAACIB&#10;AABkcnMvZTJvRG9jLnhtbFBLBQYAAAAABgAGAFkBAABlBQAAAAA=&#10;">
              <v:fill on="f" focussize="0,0"/>
              <v:stroke on="f" weight="1.25pt"/>
              <v:imagedata o:title=""/>
              <o:lock v:ext="edit" aspectratio="f"/>
              <v:textbox inset="0mm,0mm,0mm,0mm" style="mso-fit-shape-to-text:t;">
                <w:txbxContent>
                  <w:p w14:paraId="004BB72F">
                    <w:pPr>
                      <w:pStyle w:val="1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A9EC2">
    <w:pPr>
      <w:pStyle w:val="19"/>
      <w:jc w:val="center"/>
    </w:pPr>
    <w:r>
      <w:fldChar w:fldCharType="begin"/>
    </w:r>
    <w:r>
      <w:instrText xml:space="preserve">PAGE   \* MERGEFORMAT</w:instrText>
    </w:r>
    <w:r>
      <w:fldChar w:fldCharType="separate"/>
    </w:r>
    <w:r>
      <w:rPr>
        <w:lang w:val="zh-CN"/>
      </w:rPr>
      <w:t>6</w:t>
    </w:r>
    <w:r>
      <w:rPr>
        <w:lang w:val="zh-CN"/>
      </w:rPr>
      <w:fldChar w:fldCharType="end"/>
    </w:r>
  </w:p>
  <w:p w14:paraId="2C4B64F1">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1970A">
    <w:pPr>
      <w:pStyle w:val="1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30442">
                          <w:pPr>
                            <w:pStyle w:val="1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D330442">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8042">
    <w:pPr>
      <w:pStyle w:val="19"/>
      <w:framePr w:wrap="around" w:vAnchor="text" w:hAnchor="margin" w:xAlign="right" w:y="1"/>
      <w:rPr>
        <w:rStyle w:val="31"/>
      </w:rPr>
    </w:pPr>
    <w:r>
      <w:fldChar w:fldCharType="begin"/>
    </w:r>
    <w:r>
      <w:rPr>
        <w:rStyle w:val="31"/>
      </w:rPr>
      <w:instrText xml:space="preserve">PAGE  </w:instrText>
    </w:r>
    <w:r>
      <w:fldChar w:fldCharType="end"/>
    </w:r>
  </w:p>
  <w:p w14:paraId="46E707E2">
    <w:pPr>
      <w:pStyle w:val="1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CDB0">
    <w:pPr>
      <w:pStyle w:val="19"/>
      <w:tabs>
        <w:tab w:val="left" w:pos="5137"/>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FC6B89">
                          <w:pPr>
                            <w:pStyle w:val="1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DX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rihx3OLALz++X37+vvz6RpZF&#10;nz5AjWkPARPT8NYPuDVZt+wHdGbag4o2f5EQwTiqe76qK4dERH60Xq3XFYYExuYL4rDb8xAhvZPe&#10;kmw0NOL4iqr89AHSmDqn5GrO32tjygiN+8uBmNnDbj1mKw37YWp879sz8ulx8g11uOiUmPcOhc1L&#10;MhtxNvazcQxRH7qyRbkehDfHhE2U3nKFEXYqjCMr7Kb1yjvx+F6ybr/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H+DXccBAACaAwAADgAAAAAAAAABACAAAAAeAQAAZHJzL2Uyb0RvYy54&#10;bWxQSwUGAAAAAAYABgBZAQAAVwUAAAAA&#10;">
              <v:fill on="f" focussize="0,0"/>
              <v:stroke on="f"/>
              <v:imagedata o:title=""/>
              <o:lock v:ext="edit" aspectratio="f"/>
              <v:textbox inset="0mm,0mm,0mm,0mm" style="mso-fit-shape-to-text:t;">
                <w:txbxContent>
                  <w:p w14:paraId="11FC6B89">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5D69">
    <w:pPr>
      <w:pStyle w:val="1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D6DBC">
                          <w:pPr>
                            <w:pStyle w:val="19"/>
                          </w:pPr>
                          <w:r>
                            <w:fldChar w:fldCharType="begin"/>
                          </w:r>
                          <w:r>
                            <w:instrText xml:space="preserve"> PAGE  \* MERGEFORMAT </w:instrText>
                          </w:r>
                          <w:r>
                            <w:fldChar w:fldCharType="separate"/>
                          </w:r>
                          <w:r>
                            <w:t>- 34 -</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eXOMgBAACa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fUmJ4xYHfvn+7fLj1+XnV1L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53lzjIAQAAmgMAAA4AAAAAAAAAAQAgAAAAHgEAAGRycy9lMm9Eb2Mu&#10;eG1sUEsFBgAAAAAGAAYAWQEAAFgFAAAAAA==&#10;">
              <v:fill on="f" focussize="0,0"/>
              <v:stroke on="f"/>
              <v:imagedata o:title=""/>
              <o:lock v:ext="edit" aspectratio="f"/>
              <v:textbox inset="0mm,0mm,0mm,0mm" style="mso-fit-shape-to-text:t;">
                <w:txbxContent>
                  <w:p w14:paraId="78BD6DBC">
                    <w:pPr>
                      <w:pStyle w:val="19"/>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6DF3">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CCEB">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AD282">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DDDE">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D513">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A8D5">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83ADF"/>
    <w:multiLevelType w:val="singleLevel"/>
    <w:tmpl w:val="CC983ADF"/>
    <w:lvl w:ilvl="0" w:tentative="0">
      <w:start w:val="4"/>
      <w:numFmt w:val="chineseCounting"/>
      <w:suff w:val="space"/>
      <w:lvlText w:val="第%1章"/>
      <w:lvlJc w:val="left"/>
      <w:rPr>
        <w:rFonts w:hint="eastAsia"/>
      </w:rPr>
    </w:lvl>
  </w:abstractNum>
  <w:abstractNum w:abstractNumId="1">
    <w:nsid w:val="EE92FB83"/>
    <w:multiLevelType w:val="singleLevel"/>
    <w:tmpl w:val="EE92FB83"/>
    <w:lvl w:ilvl="0" w:tentative="0">
      <w:start w:val="32"/>
      <w:numFmt w:val="decimal"/>
      <w:suff w:val="space"/>
      <w:lvlText w:val="%1."/>
      <w:lvlJc w:val="left"/>
    </w:lvl>
  </w:abstractNum>
  <w:abstractNum w:abstractNumId="2">
    <w:nsid w:val="F795EEDF"/>
    <w:multiLevelType w:val="singleLevel"/>
    <w:tmpl w:val="F795EEDF"/>
    <w:lvl w:ilvl="0" w:tentative="0">
      <w:start w:val="1"/>
      <w:numFmt w:val="decimal"/>
      <w:suff w:val="space"/>
      <w:lvlText w:val="%1."/>
      <w:lvlJc w:val="left"/>
    </w:lvl>
  </w:abstractNum>
  <w:abstractNum w:abstractNumId="3">
    <w:nsid w:val="00000007"/>
    <w:multiLevelType w:val="singleLevel"/>
    <w:tmpl w:val="00000007"/>
    <w:lvl w:ilvl="0" w:tentative="0">
      <w:start w:val="1"/>
      <w:numFmt w:val="decimal"/>
      <w:pStyle w:val="5"/>
      <w:lvlText w:val="%1."/>
      <w:lvlJc w:val="left"/>
      <w:pPr>
        <w:tabs>
          <w:tab w:val="left" w:pos="360"/>
        </w:tabs>
        <w:ind w:left="360" w:hanging="360"/>
      </w:pPr>
    </w:lvl>
  </w:abstractNum>
  <w:abstractNum w:abstractNumId="4">
    <w:nsid w:val="00000008"/>
    <w:multiLevelType w:val="multilevel"/>
    <w:tmpl w:val="00000008"/>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pStyle w:val="11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92E79FE"/>
    <w:multiLevelType w:val="singleLevel"/>
    <w:tmpl w:val="192E79FE"/>
    <w:lvl w:ilvl="0" w:tentative="0">
      <w:start w:val="5"/>
      <w:numFmt w:val="decimal"/>
      <w:suff w:val="nothing"/>
      <w:lvlText w:val="%1、"/>
      <w:lvlJc w:val="left"/>
      <w:pPr>
        <w:ind w:left="-60"/>
      </w:pPr>
    </w:lvl>
  </w:abstractNum>
  <w:abstractNum w:abstractNumId="6">
    <w:nsid w:val="745DA9C6"/>
    <w:multiLevelType w:val="singleLevel"/>
    <w:tmpl w:val="745DA9C6"/>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 w:name="KSO_WPS_MARK_KEY" w:val="fe555926-939f-4d25-aff9-bd9a288cf248"/>
  </w:docVars>
  <w:rsids>
    <w:rsidRoot w:val="00172A27"/>
    <w:rsid w:val="0000288F"/>
    <w:rsid w:val="000208A6"/>
    <w:rsid w:val="0002355B"/>
    <w:rsid w:val="00025197"/>
    <w:rsid w:val="0002664C"/>
    <w:rsid w:val="00027C5D"/>
    <w:rsid w:val="00030EA6"/>
    <w:rsid w:val="00035F8F"/>
    <w:rsid w:val="00036D9E"/>
    <w:rsid w:val="0004741B"/>
    <w:rsid w:val="00050E92"/>
    <w:rsid w:val="0006009E"/>
    <w:rsid w:val="00064163"/>
    <w:rsid w:val="00064806"/>
    <w:rsid w:val="00074016"/>
    <w:rsid w:val="00077728"/>
    <w:rsid w:val="00077A3E"/>
    <w:rsid w:val="00082A81"/>
    <w:rsid w:val="00085D92"/>
    <w:rsid w:val="00087634"/>
    <w:rsid w:val="000A3CBB"/>
    <w:rsid w:val="000A5C3E"/>
    <w:rsid w:val="000A6950"/>
    <w:rsid w:val="000B09AE"/>
    <w:rsid w:val="000B2A9A"/>
    <w:rsid w:val="000B303E"/>
    <w:rsid w:val="000B45DD"/>
    <w:rsid w:val="000B4B27"/>
    <w:rsid w:val="000B5FD3"/>
    <w:rsid w:val="000B632D"/>
    <w:rsid w:val="000C1E29"/>
    <w:rsid w:val="000C2C19"/>
    <w:rsid w:val="000C30B3"/>
    <w:rsid w:val="000C3196"/>
    <w:rsid w:val="000D7929"/>
    <w:rsid w:val="000E0BD9"/>
    <w:rsid w:val="000E394A"/>
    <w:rsid w:val="000F527A"/>
    <w:rsid w:val="001009C9"/>
    <w:rsid w:val="001022EB"/>
    <w:rsid w:val="00107A90"/>
    <w:rsid w:val="00111D00"/>
    <w:rsid w:val="001135E2"/>
    <w:rsid w:val="00120266"/>
    <w:rsid w:val="00120BDF"/>
    <w:rsid w:val="00131ECB"/>
    <w:rsid w:val="00144196"/>
    <w:rsid w:val="001452F5"/>
    <w:rsid w:val="00150F2D"/>
    <w:rsid w:val="00153E4F"/>
    <w:rsid w:val="0015472B"/>
    <w:rsid w:val="00160002"/>
    <w:rsid w:val="001629EB"/>
    <w:rsid w:val="00162C9B"/>
    <w:rsid w:val="00165A5F"/>
    <w:rsid w:val="00165BE5"/>
    <w:rsid w:val="00172A27"/>
    <w:rsid w:val="00172BE5"/>
    <w:rsid w:val="00172E78"/>
    <w:rsid w:val="00173B82"/>
    <w:rsid w:val="00173D13"/>
    <w:rsid w:val="00174A8F"/>
    <w:rsid w:val="00176111"/>
    <w:rsid w:val="00180E0C"/>
    <w:rsid w:val="00180F78"/>
    <w:rsid w:val="001810DF"/>
    <w:rsid w:val="0018141E"/>
    <w:rsid w:val="001823FD"/>
    <w:rsid w:val="00182DBE"/>
    <w:rsid w:val="00186BF0"/>
    <w:rsid w:val="00186FB1"/>
    <w:rsid w:val="00190155"/>
    <w:rsid w:val="00191591"/>
    <w:rsid w:val="00192705"/>
    <w:rsid w:val="00197C51"/>
    <w:rsid w:val="001A1EEF"/>
    <w:rsid w:val="001A2001"/>
    <w:rsid w:val="001A53C6"/>
    <w:rsid w:val="001A6B18"/>
    <w:rsid w:val="001A7824"/>
    <w:rsid w:val="001A79BA"/>
    <w:rsid w:val="001B007B"/>
    <w:rsid w:val="001B43C4"/>
    <w:rsid w:val="001C0579"/>
    <w:rsid w:val="001C22F1"/>
    <w:rsid w:val="001C2EDE"/>
    <w:rsid w:val="001C3765"/>
    <w:rsid w:val="001C4D59"/>
    <w:rsid w:val="001C5884"/>
    <w:rsid w:val="001C5F69"/>
    <w:rsid w:val="001C7AE3"/>
    <w:rsid w:val="001D1ACD"/>
    <w:rsid w:val="001D4743"/>
    <w:rsid w:val="001D5E6D"/>
    <w:rsid w:val="001D5F36"/>
    <w:rsid w:val="001D6FF0"/>
    <w:rsid w:val="001E7A7F"/>
    <w:rsid w:val="001F307A"/>
    <w:rsid w:val="001F36CC"/>
    <w:rsid w:val="001F6292"/>
    <w:rsid w:val="00201088"/>
    <w:rsid w:val="00202401"/>
    <w:rsid w:val="00203037"/>
    <w:rsid w:val="002044CB"/>
    <w:rsid w:val="00212171"/>
    <w:rsid w:val="0021230F"/>
    <w:rsid w:val="002128A9"/>
    <w:rsid w:val="00212E1D"/>
    <w:rsid w:val="002232CD"/>
    <w:rsid w:val="002255AD"/>
    <w:rsid w:val="00226C26"/>
    <w:rsid w:val="002276D7"/>
    <w:rsid w:val="0023022A"/>
    <w:rsid w:val="00233281"/>
    <w:rsid w:val="00233C4E"/>
    <w:rsid w:val="0024157D"/>
    <w:rsid w:val="0024298A"/>
    <w:rsid w:val="00244505"/>
    <w:rsid w:val="002468AB"/>
    <w:rsid w:val="00246F88"/>
    <w:rsid w:val="00250A2C"/>
    <w:rsid w:val="002515F6"/>
    <w:rsid w:val="002575BA"/>
    <w:rsid w:val="002603ED"/>
    <w:rsid w:val="00260E61"/>
    <w:rsid w:val="0026345D"/>
    <w:rsid w:val="00263BF9"/>
    <w:rsid w:val="00264504"/>
    <w:rsid w:val="00266F9C"/>
    <w:rsid w:val="002721C7"/>
    <w:rsid w:val="002723D0"/>
    <w:rsid w:val="00273221"/>
    <w:rsid w:val="002768EE"/>
    <w:rsid w:val="00282DF8"/>
    <w:rsid w:val="00287415"/>
    <w:rsid w:val="002879EC"/>
    <w:rsid w:val="00290C09"/>
    <w:rsid w:val="00291D6E"/>
    <w:rsid w:val="00292E9F"/>
    <w:rsid w:val="00294E60"/>
    <w:rsid w:val="00296D3D"/>
    <w:rsid w:val="00296D66"/>
    <w:rsid w:val="002A30A1"/>
    <w:rsid w:val="002A4A0E"/>
    <w:rsid w:val="002A76FB"/>
    <w:rsid w:val="002B037B"/>
    <w:rsid w:val="002B091D"/>
    <w:rsid w:val="002B32A8"/>
    <w:rsid w:val="002C1DD6"/>
    <w:rsid w:val="002C4449"/>
    <w:rsid w:val="002C4F45"/>
    <w:rsid w:val="002C59DC"/>
    <w:rsid w:val="002C5B0F"/>
    <w:rsid w:val="002D0359"/>
    <w:rsid w:val="002E0352"/>
    <w:rsid w:val="002E1E2D"/>
    <w:rsid w:val="002E1F58"/>
    <w:rsid w:val="002E3C39"/>
    <w:rsid w:val="002F181B"/>
    <w:rsid w:val="002F46A3"/>
    <w:rsid w:val="002F5864"/>
    <w:rsid w:val="002F6889"/>
    <w:rsid w:val="003052BB"/>
    <w:rsid w:val="003065FD"/>
    <w:rsid w:val="00310027"/>
    <w:rsid w:val="00310E04"/>
    <w:rsid w:val="00314372"/>
    <w:rsid w:val="00320F83"/>
    <w:rsid w:val="00321953"/>
    <w:rsid w:val="00321C39"/>
    <w:rsid w:val="00326CEA"/>
    <w:rsid w:val="00327D4E"/>
    <w:rsid w:val="00331378"/>
    <w:rsid w:val="003342F0"/>
    <w:rsid w:val="00334F2D"/>
    <w:rsid w:val="00335DFE"/>
    <w:rsid w:val="0033651E"/>
    <w:rsid w:val="00336F8A"/>
    <w:rsid w:val="003376D2"/>
    <w:rsid w:val="0034079B"/>
    <w:rsid w:val="00343CDC"/>
    <w:rsid w:val="00346501"/>
    <w:rsid w:val="00347761"/>
    <w:rsid w:val="00347813"/>
    <w:rsid w:val="00350151"/>
    <w:rsid w:val="00350BFA"/>
    <w:rsid w:val="003517FE"/>
    <w:rsid w:val="003536D3"/>
    <w:rsid w:val="00355A4B"/>
    <w:rsid w:val="00363297"/>
    <w:rsid w:val="0037281E"/>
    <w:rsid w:val="00372859"/>
    <w:rsid w:val="003747B4"/>
    <w:rsid w:val="00374C0F"/>
    <w:rsid w:val="00375C9C"/>
    <w:rsid w:val="00376EA4"/>
    <w:rsid w:val="00383112"/>
    <w:rsid w:val="00385797"/>
    <w:rsid w:val="00387456"/>
    <w:rsid w:val="0038769B"/>
    <w:rsid w:val="00392676"/>
    <w:rsid w:val="00396073"/>
    <w:rsid w:val="00397146"/>
    <w:rsid w:val="003A0049"/>
    <w:rsid w:val="003A0224"/>
    <w:rsid w:val="003A18B8"/>
    <w:rsid w:val="003A2FE3"/>
    <w:rsid w:val="003A3315"/>
    <w:rsid w:val="003A547F"/>
    <w:rsid w:val="003A5C51"/>
    <w:rsid w:val="003A6624"/>
    <w:rsid w:val="003A7406"/>
    <w:rsid w:val="003C13DA"/>
    <w:rsid w:val="003C1D48"/>
    <w:rsid w:val="003C2188"/>
    <w:rsid w:val="003D31D2"/>
    <w:rsid w:val="003D70FB"/>
    <w:rsid w:val="003E0606"/>
    <w:rsid w:val="003E27C6"/>
    <w:rsid w:val="003E4974"/>
    <w:rsid w:val="003E522E"/>
    <w:rsid w:val="003F2CD3"/>
    <w:rsid w:val="003F5448"/>
    <w:rsid w:val="003F6B7C"/>
    <w:rsid w:val="003F763F"/>
    <w:rsid w:val="0040050E"/>
    <w:rsid w:val="004005B0"/>
    <w:rsid w:val="004008DE"/>
    <w:rsid w:val="0040132F"/>
    <w:rsid w:val="00404338"/>
    <w:rsid w:val="0040476B"/>
    <w:rsid w:val="00404FA0"/>
    <w:rsid w:val="0040504B"/>
    <w:rsid w:val="00405FAE"/>
    <w:rsid w:val="00406380"/>
    <w:rsid w:val="00406976"/>
    <w:rsid w:val="004113D7"/>
    <w:rsid w:val="00411FE8"/>
    <w:rsid w:val="004151E2"/>
    <w:rsid w:val="0041550D"/>
    <w:rsid w:val="00416A78"/>
    <w:rsid w:val="004203BE"/>
    <w:rsid w:val="00421D18"/>
    <w:rsid w:val="00424C47"/>
    <w:rsid w:val="00427CBE"/>
    <w:rsid w:val="00430608"/>
    <w:rsid w:val="004312B6"/>
    <w:rsid w:val="00432F01"/>
    <w:rsid w:val="00434A40"/>
    <w:rsid w:val="00435896"/>
    <w:rsid w:val="00435B97"/>
    <w:rsid w:val="00440644"/>
    <w:rsid w:val="0044199A"/>
    <w:rsid w:val="00445614"/>
    <w:rsid w:val="00447570"/>
    <w:rsid w:val="004543F8"/>
    <w:rsid w:val="004606CC"/>
    <w:rsid w:val="004609B9"/>
    <w:rsid w:val="004615E6"/>
    <w:rsid w:val="00462927"/>
    <w:rsid w:val="0046317F"/>
    <w:rsid w:val="00464315"/>
    <w:rsid w:val="00466056"/>
    <w:rsid w:val="004705CC"/>
    <w:rsid w:val="0047227C"/>
    <w:rsid w:val="00472B04"/>
    <w:rsid w:val="0047545D"/>
    <w:rsid w:val="0047596E"/>
    <w:rsid w:val="00480200"/>
    <w:rsid w:val="00480CB1"/>
    <w:rsid w:val="00482522"/>
    <w:rsid w:val="00484D3D"/>
    <w:rsid w:val="00485A70"/>
    <w:rsid w:val="0048765C"/>
    <w:rsid w:val="0048778C"/>
    <w:rsid w:val="0049407E"/>
    <w:rsid w:val="00494282"/>
    <w:rsid w:val="00495754"/>
    <w:rsid w:val="00496A75"/>
    <w:rsid w:val="004A0DCE"/>
    <w:rsid w:val="004A1DB8"/>
    <w:rsid w:val="004A6D8E"/>
    <w:rsid w:val="004A7977"/>
    <w:rsid w:val="004B0253"/>
    <w:rsid w:val="004B16B5"/>
    <w:rsid w:val="004B3BB7"/>
    <w:rsid w:val="004B4C6A"/>
    <w:rsid w:val="004B5576"/>
    <w:rsid w:val="004B72D4"/>
    <w:rsid w:val="004C2D29"/>
    <w:rsid w:val="004C2E60"/>
    <w:rsid w:val="004C5558"/>
    <w:rsid w:val="004C7AD1"/>
    <w:rsid w:val="004D2BBC"/>
    <w:rsid w:val="004D65C6"/>
    <w:rsid w:val="004E1462"/>
    <w:rsid w:val="004E31D6"/>
    <w:rsid w:val="004E5B95"/>
    <w:rsid w:val="004F02AF"/>
    <w:rsid w:val="004F2779"/>
    <w:rsid w:val="004F2854"/>
    <w:rsid w:val="004F4EDA"/>
    <w:rsid w:val="004F4FEF"/>
    <w:rsid w:val="00500138"/>
    <w:rsid w:val="005001EE"/>
    <w:rsid w:val="00500B03"/>
    <w:rsid w:val="005011F4"/>
    <w:rsid w:val="0050222A"/>
    <w:rsid w:val="005042DB"/>
    <w:rsid w:val="00505008"/>
    <w:rsid w:val="0051418F"/>
    <w:rsid w:val="005162C3"/>
    <w:rsid w:val="00520E3F"/>
    <w:rsid w:val="0052127B"/>
    <w:rsid w:val="005227B4"/>
    <w:rsid w:val="00530C99"/>
    <w:rsid w:val="0053667B"/>
    <w:rsid w:val="00540FE9"/>
    <w:rsid w:val="00543BFF"/>
    <w:rsid w:val="00545948"/>
    <w:rsid w:val="0055212A"/>
    <w:rsid w:val="00554B2D"/>
    <w:rsid w:val="00554CD8"/>
    <w:rsid w:val="00555496"/>
    <w:rsid w:val="00563A16"/>
    <w:rsid w:val="00563F53"/>
    <w:rsid w:val="005710EE"/>
    <w:rsid w:val="00571EF5"/>
    <w:rsid w:val="00572D9E"/>
    <w:rsid w:val="0058022E"/>
    <w:rsid w:val="0058151F"/>
    <w:rsid w:val="00583ED0"/>
    <w:rsid w:val="00585376"/>
    <w:rsid w:val="005860A8"/>
    <w:rsid w:val="0059544B"/>
    <w:rsid w:val="00596CEE"/>
    <w:rsid w:val="005A0308"/>
    <w:rsid w:val="005A3BE5"/>
    <w:rsid w:val="005A71A1"/>
    <w:rsid w:val="005B1549"/>
    <w:rsid w:val="005B262B"/>
    <w:rsid w:val="005B2D7A"/>
    <w:rsid w:val="005B6B30"/>
    <w:rsid w:val="005B7D32"/>
    <w:rsid w:val="005C02DE"/>
    <w:rsid w:val="005C1673"/>
    <w:rsid w:val="005C5E90"/>
    <w:rsid w:val="005C720F"/>
    <w:rsid w:val="005D2642"/>
    <w:rsid w:val="005D7D45"/>
    <w:rsid w:val="005E0B31"/>
    <w:rsid w:val="005E0C48"/>
    <w:rsid w:val="005E3271"/>
    <w:rsid w:val="005E5491"/>
    <w:rsid w:val="005E5E20"/>
    <w:rsid w:val="00601142"/>
    <w:rsid w:val="0060239B"/>
    <w:rsid w:val="00602C93"/>
    <w:rsid w:val="006041F0"/>
    <w:rsid w:val="006063E4"/>
    <w:rsid w:val="006119AD"/>
    <w:rsid w:val="00611CEC"/>
    <w:rsid w:val="00612307"/>
    <w:rsid w:val="00613E9C"/>
    <w:rsid w:val="00614624"/>
    <w:rsid w:val="006147D5"/>
    <w:rsid w:val="006163CA"/>
    <w:rsid w:val="006163E6"/>
    <w:rsid w:val="00617893"/>
    <w:rsid w:val="00630904"/>
    <w:rsid w:val="00635ECB"/>
    <w:rsid w:val="006368C7"/>
    <w:rsid w:val="00646604"/>
    <w:rsid w:val="006478CD"/>
    <w:rsid w:val="00647A15"/>
    <w:rsid w:val="006506C5"/>
    <w:rsid w:val="00651E17"/>
    <w:rsid w:val="0065248F"/>
    <w:rsid w:val="00653CEF"/>
    <w:rsid w:val="006540A4"/>
    <w:rsid w:val="006542A8"/>
    <w:rsid w:val="00654F91"/>
    <w:rsid w:val="006552C4"/>
    <w:rsid w:val="006606B1"/>
    <w:rsid w:val="00671611"/>
    <w:rsid w:val="00671E24"/>
    <w:rsid w:val="00674577"/>
    <w:rsid w:val="0067524C"/>
    <w:rsid w:val="006811A2"/>
    <w:rsid w:val="006821F7"/>
    <w:rsid w:val="006828A7"/>
    <w:rsid w:val="00683A6C"/>
    <w:rsid w:val="00684D70"/>
    <w:rsid w:val="00687D2D"/>
    <w:rsid w:val="00690653"/>
    <w:rsid w:val="006908B2"/>
    <w:rsid w:val="006966E0"/>
    <w:rsid w:val="006A2A72"/>
    <w:rsid w:val="006A303A"/>
    <w:rsid w:val="006A31CE"/>
    <w:rsid w:val="006A5FCF"/>
    <w:rsid w:val="006A7310"/>
    <w:rsid w:val="006B005E"/>
    <w:rsid w:val="006B06DB"/>
    <w:rsid w:val="006B0E29"/>
    <w:rsid w:val="006B0F44"/>
    <w:rsid w:val="006B2DB4"/>
    <w:rsid w:val="006B42A2"/>
    <w:rsid w:val="006B60E4"/>
    <w:rsid w:val="006C08C8"/>
    <w:rsid w:val="006C28DD"/>
    <w:rsid w:val="006C455E"/>
    <w:rsid w:val="006C6E2F"/>
    <w:rsid w:val="006D105D"/>
    <w:rsid w:val="006D48E6"/>
    <w:rsid w:val="006D68FF"/>
    <w:rsid w:val="006E3E12"/>
    <w:rsid w:val="006E5447"/>
    <w:rsid w:val="006F1B12"/>
    <w:rsid w:val="006F415A"/>
    <w:rsid w:val="007040D4"/>
    <w:rsid w:val="00704BDA"/>
    <w:rsid w:val="007122A4"/>
    <w:rsid w:val="00722149"/>
    <w:rsid w:val="007236AC"/>
    <w:rsid w:val="0072510D"/>
    <w:rsid w:val="00730C52"/>
    <w:rsid w:val="007335C5"/>
    <w:rsid w:val="00733A23"/>
    <w:rsid w:val="00740145"/>
    <w:rsid w:val="00746248"/>
    <w:rsid w:val="007477D9"/>
    <w:rsid w:val="007512F1"/>
    <w:rsid w:val="007527C6"/>
    <w:rsid w:val="007538BD"/>
    <w:rsid w:val="007549C1"/>
    <w:rsid w:val="007565EF"/>
    <w:rsid w:val="007579FA"/>
    <w:rsid w:val="00757AAB"/>
    <w:rsid w:val="00762229"/>
    <w:rsid w:val="0076270E"/>
    <w:rsid w:val="007636E9"/>
    <w:rsid w:val="007642F9"/>
    <w:rsid w:val="00765070"/>
    <w:rsid w:val="00767723"/>
    <w:rsid w:val="00767AA2"/>
    <w:rsid w:val="0077231F"/>
    <w:rsid w:val="0077498D"/>
    <w:rsid w:val="00780675"/>
    <w:rsid w:val="0078455F"/>
    <w:rsid w:val="00786896"/>
    <w:rsid w:val="00787F7E"/>
    <w:rsid w:val="00790880"/>
    <w:rsid w:val="00794C9B"/>
    <w:rsid w:val="00797251"/>
    <w:rsid w:val="0079732F"/>
    <w:rsid w:val="007A11FE"/>
    <w:rsid w:val="007A1272"/>
    <w:rsid w:val="007B051D"/>
    <w:rsid w:val="007B486A"/>
    <w:rsid w:val="007B6672"/>
    <w:rsid w:val="007B7135"/>
    <w:rsid w:val="007B7E93"/>
    <w:rsid w:val="007C4A18"/>
    <w:rsid w:val="007D245F"/>
    <w:rsid w:val="007E0A42"/>
    <w:rsid w:val="007E1E0F"/>
    <w:rsid w:val="007E2EF7"/>
    <w:rsid w:val="007F0BB0"/>
    <w:rsid w:val="007F3839"/>
    <w:rsid w:val="007F4B1F"/>
    <w:rsid w:val="007F5D77"/>
    <w:rsid w:val="007F6AD0"/>
    <w:rsid w:val="007F7B96"/>
    <w:rsid w:val="0080208D"/>
    <w:rsid w:val="00802114"/>
    <w:rsid w:val="00802237"/>
    <w:rsid w:val="00802E2F"/>
    <w:rsid w:val="00804E0B"/>
    <w:rsid w:val="008064FB"/>
    <w:rsid w:val="00811BE0"/>
    <w:rsid w:val="00817EE5"/>
    <w:rsid w:val="008218AD"/>
    <w:rsid w:val="00822C05"/>
    <w:rsid w:val="008235DF"/>
    <w:rsid w:val="00824BE1"/>
    <w:rsid w:val="00830682"/>
    <w:rsid w:val="00841C30"/>
    <w:rsid w:val="00841CE0"/>
    <w:rsid w:val="00843F70"/>
    <w:rsid w:val="00847A5E"/>
    <w:rsid w:val="00852AD1"/>
    <w:rsid w:val="0085324B"/>
    <w:rsid w:val="0085329D"/>
    <w:rsid w:val="0085387F"/>
    <w:rsid w:val="0085689F"/>
    <w:rsid w:val="00865DBE"/>
    <w:rsid w:val="00866CEC"/>
    <w:rsid w:val="00866DEB"/>
    <w:rsid w:val="0087107E"/>
    <w:rsid w:val="00872CED"/>
    <w:rsid w:val="00875A87"/>
    <w:rsid w:val="0087697C"/>
    <w:rsid w:val="00877232"/>
    <w:rsid w:val="00880A41"/>
    <w:rsid w:val="00880F48"/>
    <w:rsid w:val="008811A7"/>
    <w:rsid w:val="0088121A"/>
    <w:rsid w:val="00881C78"/>
    <w:rsid w:val="0088597E"/>
    <w:rsid w:val="00885D05"/>
    <w:rsid w:val="00890947"/>
    <w:rsid w:val="00892CA8"/>
    <w:rsid w:val="00893029"/>
    <w:rsid w:val="008941D6"/>
    <w:rsid w:val="0089565C"/>
    <w:rsid w:val="00897FEC"/>
    <w:rsid w:val="008A3944"/>
    <w:rsid w:val="008A40EB"/>
    <w:rsid w:val="008B1D3C"/>
    <w:rsid w:val="008B578C"/>
    <w:rsid w:val="008C0B8E"/>
    <w:rsid w:val="008C36E4"/>
    <w:rsid w:val="008C6AB9"/>
    <w:rsid w:val="008D1224"/>
    <w:rsid w:val="008D2146"/>
    <w:rsid w:val="008E3E9F"/>
    <w:rsid w:val="008E74FB"/>
    <w:rsid w:val="008F10BB"/>
    <w:rsid w:val="008F22BD"/>
    <w:rsid w:val="0090490A"/>
    <w:rsid w:val="00905110"/>
    <w:rsid w:val="0090761D"/>
    <w:rsid w:val="009109D8"/>
    <w:rsid w:val="00921022"/>
    <w:rsid w:val="00921DAC"/>
    <w:rsid w:val="00924402"/>
    <w:rsid w:val="00927159"/>
    <w:rsid w:val="009278A4"/>
    <w:rsid w:val="00932A2A"/>
    <w:rsid w:val="009361FF"/>
    <w:rsid w:val="00942B9A"/>
    <w:rsid w:val="00945E65"/>
    <w:rsid w:val="009470E9"/>
    <w:rsid w:val="00951707"/>
    <w:rsid w:val="009563BA"/>
    <w:rsid w:val="00964725"/>
    <w:rsid w:val="00965531"/>
    <w:rsid w:val="00965F48"/>
    <w:rsid w:val="00975950"/>
    <w:rsid w:val="00975CD8"/>
    <w:rsid w:val="00980340"/>
    <w:rsid w:val="00980E08"/>
    <w:rsid w:val="00981553"/>
    <w:rsid w:val="00983C57"/>
    <w:rsid w:val="009855AB"/>
    <w:rsid w:val="00987C51"/>
    <w:rsid w:val="00991F7A"/>
    <w:rsid w:val="00992D21"/>
    <w:rsid w:val="00993E01"/>
    <w:rsid w:val="0099426B"/>
    <w:rsid w:val="009972D6"/>
    <w:rsid w:val="009A2275"/>
    <w:rsid w:val="009A2D98"/>
    <w:rsid w:val="009A579D"/>
    <w:rsid w:val="009B21AA"/>
    <w:rsid w:val="009B4F3D"/>
    <w:rsid w:val="009C360C"/>
    <w:rsid w:val="009C3A92"/>
    <w:rsid w:val="009C7E0A"/>
    <w:rsid w:val="009D3178"/>
    <w:rsid w:val="009D38AC"/>
    <w:rsid w:val="009D38AD"/>
    <w:rsid w:val="009E0E42"/>
    <w:rsid w:val="009E68F1"/>
    <w:rsid w:val="009F636F"/>
    <w:rsid w:val="009F64BC"/>
    <w:rsid w:val="00A03D9D"/>
    <w:rsid w:val="00A07522"/>
    <w:rsid w:val="00A07A87"/>
    <w:rsid w:val="00A126B2"/>
    <w:rsid w:val="00A14570"/>
    <w:rsid w:val="00A16C32"/>
    <w:rsid w:val="00A1717E"/>
    <w:rsid w:val="00A17276"/>
    <w:rsid w:val="00A22B92"/>
    <w:rsid w:val="00A256AC"/>
    <w:rsid w:val="00A34DB8"/>
    <w:rsid w:val="00A35F6E"/>
    <w:rsid w:val="00A360A9"/>
    <w:rsid w:val="00A43690"/>
    <w:rsid w:val="00A44FFA"/>
    <w:rsid w:val="00A45FB7"/>
    <w:rsid w:val="00A50490"/>
    <w:rsid w:val="00A51A5B"/>
    <w:rsid w:val="00A573A9"/>
    <w:rsid w:val="00A61E5E"/>
    <w:rsid w:val="00A65446"/>
    <w:rsid w:val="00A66BA0"/>
    <w:rsid w:val="00A6799F"/>
    <w:rsid w:val="00A73E85"/>
    <w:rsid w:val="00A82E7A"/>
    <w:rsid w:val="00A85E67"/>
    <w:rsid w:val="00A94659"/>
    <w:rsid w:val="00A950A2"/>
    <w:rsid w:val="00A968BD"/>
    <w:rsid w:val="00A97903"/>
    <w:rsid w:val="00AA4DCE"/>
    <w:rsid w:val="00AA53B5"/>
    <w:rsid w:val="00AA5499"/>
    <w:rsid w:val="00AB181C"/>
    <w:rsid w:val="00AB7EAD"/>
    <w:rsid w:val="00AC0A20"/>
    <w:rsid w:val="00AC1BE1"/>
    <w:rsid w:val="00AC2578"/>
    <w:rsid w:val="00AC495E"/>
    <w:rsid w:val="00AC56AF"/>
    <w:rsid w:val="00AD01F0"/>
    <w:rsid w:val="00AD03CD"/>
    <w:rsid w:val="00AD2172"/>
    <w:rsid w:val="00AD2E22"/>
    <w:rsid w:val="00AD37C2"/>
    <w:rsid w:val="00AD3BEE"/>
    <w:rsid w:val="00AD403F"/>
    <w:rsid w:val="00AD7379"/>
    <w:rsid w:val="00AE0396"/>
    <w:rsid w:val="00AE30D0"/>
    <w:rsid w:val="00AE4E5E"/>
    <w:rsid w:val="00AE68A3"/>
    <w:rsid w:val="00AF69EF"/>
    <w:rsid w:val="00B016A6"/>
    <w:rsid w:val="00B01EE8"/>
    <w:rsid w:val="00B02021"/>
    <w:rsid w:val="00B06BED"/>
    <w:rsid w:val="00B14168"/>
    <w:rsid w:val="00B15639"/>
    <w:rsid w:val="00B16075"/>
    <w:rsid w:val="00B173B1"/>
    <w:rsid w:val="00B17806"/>
    <w:rsid w:val="00B20716"/>
    <w:rsid w:val="00B22D81"/>
    <w:rsid w:val="00B244DD"/>
    <w:rsid w:val="00B25697"/>
    <w:rsid w:val="00B25FCB"/>
    <w:rsid w:val="00B26430"/>
    <w:rsid w:val="00B26D09"/>
    <w:rsid w:val="00B27472"/>
    <w:rsid w:val="00B27C40"/>
    <w:rsid w:val="00B30BAF"/>
    <w:rsid w:val="00B34354"/>
    <w:rsid w:val="00B363F2"/>
    <w:rsid w:val="00B36BD8"/>
    <w:rsid w:val="00B3740B"/>
    <w:rsid w:val="00B520A3"/>
    <w:rsid w:val="00B52690"/>
    <w:rsid w:val="00B52A42"/>
    <w:rsid w:val="00B53DFB"/>
    <w:rsid w:val="00B550D2"/>
    <w:rsid w:val="00B57546"/>
    <w:rsid w:val="00B63270"/>
    <w:rsid w:val="00B6406D"/>
    <w:rsid w:val="00B65B89"/>
    <w:rsid w:val="00B76409"/>
    <w:rsid w:val="00B773DF"/>
    <w:rsid w:val="00B8223B"/>
    <w:rsid w:val="00B838C7"/>
    <w:rsid w:val="00B84D78"/>
    <w:rsid w:val="00B85181"/>
    <w:rsid w:val="00B85BB6"/>
    <w:rsid w:val="00B86B10"/>
    <w:rsid w:val="00B92006"/>
    <w:rsid w:val="00BA0668"/>
    <w:rsid w:val="00BA0A42"/>
    <w:rsid w:val="00BA3057"/>
    <w:rsid w:val="00BB0C0D"/>
    <w:rsid w:val="00BB4E52"/>
    <w:rsid w:val="00BB5987"/>
    <w:rsid w:val="00BB6020"/>
    <w:rsid w:val="00BB6F5F"/>
    <w:rsid w:val="00BB7FEE"/>
    <w:rsid w:val="00BC0A58"/>
    <w:rsid w:val="00BC1FB5"/>
    <w:rsid w:val="00BC2622"/>
    <w:rsid w:val="00BC4F1F"/>
    <w:rsid w:val="00BC54CE"/>
    <w:rsid w:val="00BC6D56"/>
    <w:rsid w:val="00BC73BC"/>
    <w:rsid w:val="00BD1CB9"/>
    <w:rsid w:val="00BE2555"/>
    <w:rsid w:val="00BE4160"/>
    <w:rsid w:val="00BE43C5"/>
    <w:rsid w:val="00BE7366"/>
    <w:rsid w:val="00BE79A3"/>
    <w:rsid w:val="00BF122C"/>
    <w:rsid w:val="00BF218B"/>
    <w:rsid w:val="00BF3596"/>
    <w:rsid w:val="00BF3620"/>
    <w:rsid w:val="00BF6B10"/>
    <w:rsid w:val="00C002DB"/>
    <w:rsid w:val="00C00DB5"/>
    <w:rsid w:val="00C0196C"/>
    <w:rsid w:val="00C03B7E"/>
    <w:rsid w:val="00C06937"/>
    <w:rsid w:val="00C13FE6"/>
    <w:rsid w:val="00C16BDD"/>
    <w:rsid w:val="00C209F1"/>
    <w:rsid w:val="00C232C9"/>
    <w:rsid w:val="00C26232"/>
    <w:rsid w:val="00C27259"/>
    <w:rsid w:val="00C277A4"/>
    <w:rsid w:val="00C3065D"/>
    <w:rsid w:val="00C345A2"/>
    <w:rsid w:val="00C35F52"/>
    <w:rsid w:val="00C37C23"/>
    <w:rsid w:val="00C4043F"/>
    <w:rsid w:val="00C414C2"/>
    <w:rsid w:val="00C42478"/>
    <w:rsid w:val="00C433FD"/>
    <w:rsid w:val="00C4639B"/>
    <w:rsid w:val="00C52426"/>
    <w:rsid w:val="00C52FA7"/>
    <w:rsid w:val="00C54A0E"/>
    <w:rsid w:val="00C60327"/>
    <w:rsid w:val="00C60F1C"/>
    <w:rsid w:val="00C60FF8"/>
    <w:rsid w:val="00C63AC6"/>
    <w:rsid w:val="00C66701"/>
    <w:rsid w:val="00C7090D"/>
    <w:rsid w:val="00C70C7D"/>
    <w:rsid w:val="00C723E7"/>
    <w:rsid w:val="00C72D10"/>
    <w:rsid w:val="00C75AE6"/>
    <w:rsid w:val="00C75FD2"/>
    <w:rsid w:val="00C83680"/>
    <w:rsid w:val="00C9052A"/>
    <w:rsid w:val="00C91DE1"/>
    <w:rsid w:val="00C923AF"/>
    <w:rsid w:val="00CA3E25"/>
    <w:rsid w:val="00CA7D65"/>
    <w:rsid w:val="00CC3F9E"/>
    <w:rsid w:val="00CC4118"/>
    <w:rsid w:val="00CC4436"/>
    <w:rsid w:val="00CD1916"/>
    <w:rsid w:val="00CD5CE7"/>
    <w:rsid w:val="00CD7FDA"/>
    <w:rsid w:val="00CE7BCE"/>
    <w:rsid w:val="00CE7CCA"/>
    <w:rsid w:val="00CF16E0"/>
    <w:rsid w:val="00CF197A"/>
    <w:rsid w:val="00CF31E3"/>
    <w:rsid w:val="00CF431B"/>
    <w:rsid w:val="00D0165C"/>
    <w:rsid w:val="00D11BB8"/>
    <w:rsid w:val="00D14B91"/>
    <w:rsid w:val="00D15761"/>
    <w:rsid w:val="00D17698"/>
    <w:rsid w:val="00D17ADF"/>
    <w:rsid w:val="00D21ECC"/>
    <w:rsid w:val="00D22443"/>
    <w:rsid w:val="00D24B48"/>
    <w:rsid w:val="00D25C6A"/>
    <w:rsid w:val="00D25CC3"/>
    <w:rsid w:val="00D30ABF"/>
    <w:rsid w:val="00D3274D"/>
    <w:rsid w:val="00D32CB2"/>
    <w:rsid w:val="00D34E99"/>
    <w:rsid w:val="00D3603E"/>
    <w:rsid w:val="00D36E57"/>
    <w:rsid w:val="00D40353"/>
    <w:rsid w:val="00D4430A"/>
    <w:rsid w:val="00D4625D"/>
    <w:rsid w:val="00D46AF8"/>
    <w:rsid w:val="00D5115E"/>
    <w:rsid w:val="00D53450"/>
    <w:rsid w:val="00D61AD5"/>
    <w:rsid w:val="00D61C39"/>
    <w:rsid w:val="00D65982"/>
    <w:rsid w:val="00D66E0B"/>
    <w:rsid w:val="00D758A3"/>
    <w:rsid w:val="00D75E35"/>
    <w:rsid w:val="00D7613C"/>
    <w:rsid w:val="00D765C2"/>
    <w:rsid w:val="00D81084"/>
    <w:rsid w:val="00D81684"/>
    <w:rsid w:val="00D818DB"/>
    <w:rsid w:val="00D854A5"/>
    <w:rsid w:val="00D85841"/>
    <w:rsid w:val="00D85E06"/>
    <w:rsid w:val="00D90A83"/>
    <w:rsid w:val="00D91E02"/>
    <w:rsid w:val="00DA0EC6"/>
    <w:rsid w:val="00DA33AE"/>
    <w:rsid w:val="00DA3DA7"/>
    <w:rsid w:val="00DB2ED9"/>
    <w:rsid w:val="00DC0F44"/>
    <w:rsid w:val="00DC1ACE"/>
    <w:rsid w:val="00DC2FA9"/>
    <w:rsid w:val="00DC3891"/>
    <w:rsid w:val="00DC4912"/>
    <w:rsid w:val="00DC661A"/>
    <w:rsid w:val="00DD0865"/>
    <w:rsid w:val="00DD2039"/>
    <w:rsid w:val="00DD226D"/>
    <w:rsid w:val="00DD239A"/>
    <w:rsid w:val="00DD5294"/>
    <w:rsid w:val="00DD7507"/>
    <w:rsid w:val="00DD7C5E"/>
    <w:rsid w:val="00DE0733"/>
    <w:rsid w:val="00DE29C5"/>
    <w:rsid w:val="00DE3445"/>
    <w:rsid w:val="00DE76C0"/>
    <w:rsid w:val="00DF1A58"/>
    <w:rsid w:val="00DF2822"/>
    <w:rsid w:val="00DF328F"/>
    <w:rsid w:val="00DF34F9"/>
    <w:rsid w:val="00DF4999"/>
    <w:rsid w:val="00DF52B2"/>
    <w:rsid w:val="00DF7A44"/>
    <w:rsid w:val="00E02342"/>
    <w:rsid w:val="00E047A6"/>
    <w:rsid w:val="00E05012"/>
    <w:rsid w:val="00E071A4"/>
    <w:rsid w:val="00E0734D"/>
    <w:rsid w:val="00E11A59"/>
    <w:rsid w:val="00E1244D"/>
    <w:rsid w:val="00E14592"/>
    <w:rsid w:val="00E14C54"/>
    <w:rsid w:val="00E1714E"/>
    <w:rsid w:val="00E236D7"/>
    <w:rsid w:val="00E24239"/>
    <w:rsid w:val="00E31F83"/>
    <w:rsid w:val="00E341AF"/>
    <w:rsid w:val="00E35765"/>
    <w:rsid w:val="00E404C5"/>
    <w:rsid w:val="00E41FCE"/>
    <w:rsid w:val="00E44229"/>
    <w:rsid w:val="00E46519"/>
    <w:rsid w:val="00E530B8"/>
    <w:rsid w:val="00E54299"/>
    <w:rsid w:val="00E620CF"/>
    <w:rsid w:val="00E62FA0"/>
    <w:rsid w:val="00E630E5"/>
    <w:rsid w:val="00E64451"/>
    <w:rsid w:val="00E67598"/>
    <w:rsid w:val="00E675DE"/>
    <w:rsid w:val="00E73B69"/>
    <w:rsid w:val="00E7516F"/>
    <w:rsid w:val="00E76E3A"/>
    <w:rsid w:val="00E76ECD"/>
    <w:rsid w:val="00E83C18"/>
    <w:rsid w:val="00E87E84"/>
    <w:rsid w:val="00E9357A"/>
    <w:rsid w:val="00E938A4"/>
    <w:rsid w:val="00E972D1"/>
    <w:rsid w:val="00EA21F2"/>
    <w:rsid w:val="00EA4B61"/>
    <w:rsid w:val="00EB0066"/>
    <w:rsid w:val="00EB302F"/>
    <w:rsid w:val="00EB380D"/>
    <w:rsid w:val="00EB3925"/>
    <w:rsid w:val="00EB4AB1"/>
    <w:rsid w:val="00EC0722"/>
    <w:rsid w:val="00ED0822"/>
    <w:rsid w:val="00ED09AB"/>
    <w:rsid w:val="00ED15E1"/>
    <w:rsid w:val="00ED1A06"/>
    <w:rsid w:val="00ED1F86"/>
    <w:rsid w:val="00ED3B7D"/>
    <w:rsid w:val="00ED6BA9"/>
    <w:rsid w:val="00ED6F8E"/>
    <w:rsid w:val="00EE576F"/>
    <w:rsid w:val="00EE7B42"/>
    <w:rsid w:val="00EF1748"/>
    <w:rsid w:val="00EF59C2"/>
    <w:rsid w:val="00EF611B"/>
    <w:rsid w:val="00EF68C1"/>
    <w:rsid w:val="00EF788B"/>
    <w:rsid w:val="00F021DE"/>
    <w:rsid w:val="00F11CC8"/>
    <w:rsid w:val="00F16C61"/>
    <w:rsid w:val="00F21BEA"/>
    <w:rsid w:val="00F2382E"/>
    <w:rsid w:val="00F259D0"/>
    <w:rsid w:val="00F30823"/>
    <w:rsid w:val="00F31B07"/>
    <w:rsid w:val="00F327D5"/>
    <w:rsid w:val="00F3388B"/>
    <w:rsid w:val="00F35998"/>
    <w:rsid w:val="00F37811"/>
    <w:rsid w:val="00F42225"/>
    <w:rsid w:val="00F423A8"/>
    <w:rsid w:val="00F4445C"/>
    <w:rsid w:val="00F449AF"/>
    <w:rsid w:val="00F46563"/>
    <w:rsid w:val="00F4709F"/>
    <w:rsid w:val="00F5204F"/>
    <w:rsid w:val="00F615F3"/>
    <w:rsid w:val="00F65E5E"/>
    <w:rsid w:val="00F661B7"/>
    <w:rsid w:val="00F668CF"/>
    <w:rsid w:val="00F71DDE"/>
    <w:rsid w:val="00F72BC5"/>
    <w:rsid w:val="00F73D82"/>
    <w:rsid w:val="00F74CD4"/>
    <w:rsid w:val="00F77336"/>
    <w:rsid w:val="00F77514"/>
    <w:rsid w:val="00F85EA0"/>
    <w:rsid w:val="00F860E9"/>
    <w:rsid w:val="00F91CC6"/>
    <w:rsid w:val="00F92149"/>
    <w:rsid w:val="00FA09AA"/>
    <w:rsid w:val="00FA19D4"/>
    <w:rsid w:val="00FA3FEC"/>
    <w:rsid w:val="00FA5F71"/>
    <w:rsid w:val="00FA7CBE"/>
    <w:rsid w:val="00FB2AA2"/>
    <w:rsid w:val="00FB5151"/>
    <w:rsid w:val="00FB5CD9"/>
    <w:rsid w:val="00FB62F5"/>
    <w:rsid w:val="00FC4A06"/>
    <w:rsid w:val="00FC561E"/>
    <w:rsid w:val="00FC574D"/>
    <w:rsid w:val="00FC6A6F"/>
    <w:rsid w:val="00FC721D"/>
    <w:rsid w:val="00FC7AC1"/>
    <w:rsid w:val="00FD65DE"/>
    <w:rsid w:val="00FE0A9D"/>
    <w:rsid w:val="00FE200A"/>
    <w:rsid w:val="00FF3B4C"/>
    <w:rsid w:val="00FF5295"/>
    <w:rsid w:val="00FF6894"/>
    <w:rsid w:val="00FF70F9"/>
    <w:rsid w:val="01172A03"/>
    <w:rsid w:val="0117424B"/>
    <w:rsid w:val="011A24F4"/>
    <w:rsid w:val="013C690E"/>
    <w:rsid w:val="013E2686"/>
    <w:rsid w:val="01457570"/>
    <w:rsid w:val="0153214F"/>
    <w:rsid w:val="016C71F3"/>
    <w:rsid w:val="016E4722"/>
    <w:rsid w:val="01722330"/>
    <w:rsid w:val="01853E11"/>
    <w:rsid w:val="01867C43"/>
    <w:rsid w:val="018E53BB"/>
    <w:rsid w:val="01AF2475"/>
    <w:rsid w:val="01BD35AB"/>
    <w:rsid w:val="01CD1F55"/>
    <w:rsid w:val="01EC5C3E"/>
    <w:rsid w:val="01F51A1E"/>
    <w:rsid w:val="02005B8D"/>
    <w:rsid w:val="02035593"/>
    <w:rsid w:val="020C62E0"/>
    <w:rsid w:val="0213141D"/>
    <w:rsid w:val="02260384"/>
    <w:rsid w:val="022E4A71"/>
    <w:rsid w:val="023565EA"/>
    <w:rsid w:val="02433915"/>
    <w:rsid w:val="02443CCC"/>
    <w:rsid w:val="024617F2"/>
    <w:rsid w:val="02590841"/>
    <w:rsid w:val="025C14C5"/>
    <w:rsid w:val="02691984"/>
    <w:rsid w:val="02930952"/>
    <w:rsid w:val="0295277A"/>
    <w:rsid w:val="02994018"/>
    <w:rsid w:val="029A4B2E"/>
    <w:rsid w:val="02A85056"/>
    <w:rsid w:val="02A91D81"/>
    <w:rsid w:val="02C31095"/>
    <w:rsid w:val="02C970AB"/>
    <w:rsid w:val="02D367A3"/>
    <w:rsid w:val="02DD73B2"/>
    <w:rsid w:val="02E1151B"/>
    <w:rsid w:val="02FA6225"/>
    <w:rsid w:val="03024E52"/>
    <w:rsid w:val="03285D7E"/>
    <w:rsid w:val="03371729"/>
    <w:rsid w:val="03391357"/>
    <w:rsid w:val="03457CFC"/>
    <w:rsid w:val="03561F09"/>
    <w:rsid w:val="035D4076"/>
    <w:rsid w:val="0361338C"/>
    <w:rsid w:val="03711753"/>
    <w:rsid w:val="037203C5"/>
    <w:rsid w:val="037431F5"/>
    <w:rsid w:val="037C3FB7"/>
    <w:rsid w:val="038D51FF"/>
    <w:rsid w:val="039707FA"/>
    <w:rsid w:val="039B254B"/>
    <w:rsid w:val="039F3713"/>
    <w:rsid w:val="03A55822"/>
    <w:rsid w:val="03B409DD"/>
    <w:rsid w:val="03C07382"/>
    <w:rsid w:val="03C76963"/>
    <w:rsid w:val="03C843A8"/>
    <w:rsid w:val="03DD353A"/>
    <w:rsid w:val="03FA5973"/>
    <w:rsid w:val="03FE4DF0"/>
    <w:rsid w:val="040478DB"/>
    <w:rsid w:val="04051E5E"/>
    <w:rsid w:val="04293179"/>
    <w:rsid w:val="044004C3"/>
    <w:rsid w:val="04420C6D"/>
    <w:rsid w:val="04536448"/>
    <w:rsid w:val="04635626"/>
    <w:rsid w:val="04664DD6"/>
    <w:rsid w:val="04714B20"/>
    <w:rsid w:val="048C3708"/>
    <w:rsid w:val="04936845"/>
    <w:rsid w:val="04991CE2"/>
    <w:rsid w:val="04A171B4"/>
    <w:rsid w:val="04AC662C"/>
    <w:rsid w:val="04DB796D"/>
    <w:rsid w:val="04ED2D56"/>
    <w:rsid w:val="04F60A45"/>
    <w:rsid w:val="04F64B37"/>
    <w:rsid w:val="05017C52"/>
    <w:rsid w:val="050E236F"/>
    <w:rsid w:val="051C2896"/>
    <w:rsid w:val="05290F57"/>
    <w:rsid w:val="053C512E"/>
    <w:rsid w:val="05445D91"/>
    <w:rsid w:val="05502988"/>
    <w:rsid w:val="05586656"/>
    <w:rsid w:val="05656433"/>
    <w:rsid w:val="05665CA4"/>
    <w:rsid w:val="058D6A20"/>
    <w:rsid w:val="059A406C"/>
    <w:rsid w:val="05A850FD"/>
    <w:rsid w:val="05D36FA9"/>
    <w:rsid w:val="05D830A9"/>
    <w:rsid w:val="05E26E88"/>
    <w:rsid w:val="05E278C1"/>
    <w:rsid w:val="05F10741"/>
    <w:rsid w:val="05F3410E"/>
    <w:rsid w:val="05FD2B10"/>
    <w:rsid w:val="05FE0636"/>
    <w:rsid w:val="06004813"/>
    <w:rsid w:val="06281CD4"/>
    <w:rsid w:val="062F1B92"/>
    <w:rsid w:val="06400C4E"/>
    <w:rsid w:val="064E336B"/>
    <w:rsid w:val="06507BF6"/>
    <w:rsid w:val="0652748F"/>
    <w:rsid w:val="06540C8B"/>
    <w:rsid w:val="06593189"/>
    <w:rsid w:val="066E57BB"/>
    <w:rsid w:val="0671705A"/>
    <w:rsid w:val="067F1777"/>
    <w:rsid w:val="0687694B"/>
    <w:rsid w:val="068A5EF3"/>
    <w:rsid w:val="06BC2956"/>
    <w:rsid w:val="06CE0008"/>
    <w:rsid w:val="06E133EF"/>
    <w:rsid w:val="06E37835"/>
    <w:rsid w:val="06E710CA"/>
    <w:rsid w:val="06EB6852"/>
    <w:rsid w:val="07100621"/>
    <w:rsid w:val="07111F0B"/>
    <w:rsid w:val="07131EBF"/>
    <w:rsid w:val="0720470F"/>
    <w:rsid w:val="07392F5E"/>
    <w:rsid w:val="073C68BA"/>
    <w:rsid w:val="073C7C63"/>
    <w:rsid w:val="075220DA"/>
    <w:rsid w:val="07602E14"/>
    <w:rsid w:val="076306FB"/>
    <w:rsid w:val="07797F74"/>
    <w:rsid w:val="077E37DC"/>
    <w:rsid w:val="079D6A1F"/>
    <w:rsid w:val="07A01B75"/>
    <w:rsid w:val="07A31495"/>
    <w:rsid w:val="07A70F85"/>
    <w:rsid w:val="07A96578"/>
    <w:rsid w:val="07AD40C1"/>
    <w:rsid w:val="07B86EFF"/>
    <w:rsid w:val="07C84A57"/>
    <w:rsid w:val="07DE24CD"/>
    <w:rsid w:val="07ED1B3C"/>
    <w:rsid w:val="07FD0EAB"/>
    <w:rsid w:val="08140402"/>
    <w:rsid w:val="0825634E"/>
    <w:rsid w:val="082B2AF2"/>
    <w:rsid w:val="082E55DF"/>
    <w:rsid w:val="08397703"/>
    <w:rsid w:val="08520798"/>
    <w:rsid w:val="08534C69"/>
    <w:rsid w:val="08536A17"/>
    <w:rsid w:val="086562D9"/>
    <w:rsid w:val="08687FE8"/>
    <w:rsid w:val="0870189C"/>
    <w:rsid w:val="08752E31"/>
    <w:rsid w:val="08760957"/>
    <w:rsid w:val="088564A0"/>
    <w:rsid w:val="088C38E3"/>
    <w:rsid w:val="088F6390"/>
    <w:rsid w:val="08981C74"/>
    <w:rsid w:val="089F1C5C"/>
    <w:rsid w:val="08BF5E5A"/>
    <w:rsid w:val="08C537AD"/>
    <w:rsid w:val="08C5402C"/>
    <w:rsid w:val="08CD0428"/>
    <w:rsid w:val="08D15660"/>
    <w:rsid w:val="08D613F6"/>
    <w:rsid w:val="08E4629E"/>
    <w:rsid w:val="08E753B1"/>
    <w:rsid w:val="08F7273C"/>
    <w:rsid w:val="08F748B2"/>
    <w:rsid w:val="08FC24CE"/>
    <w:rsid w:val="09072503"/>
    <w:rsid w:val="090B44BE"/>
    <w:rsid w:val="091B505B"/>
    <w:rsid w:val="091E5277"/>
    <w:rsid w:val="0932532A"/>
    <w:rsid w:val="093B17CD"/>
    <w:rsid w:val="09436B60"/>
    <w:rsid w:val="09626ABF"/>
    <w:rsid w:val="096802A0"/>
    <w:rsid w:val="096C217F"/>
    <w:rsid w:val="096E59C3"/>
    <w:rsid w:val="09715015"/>
    <w:rsid w:val="09954E0D"/>
    <w:rsid w:val="09995EAE"/>
    <w:rsid w:val="099A5C18"/>
    <w:rsid w:val="09B00D0B"/>
    <w:rsid w:val="09B61333"/>
    <w:rsid w:val="09BE25B6"/>
    <w:rsid w:val="09C53FA9"/>
    <w:rsid w:val="09E7643D"/>
    <w:rsid w:val="09E977F8"/>
    <w:rsid w:val="0A034B09"/>
    <w:rsid w:val="0A081A83"/>
    <w:rsid w:val="0A122902"/>
    <w:rsid w:val="0A173A74"/>
    <w:rsid w:val="0A1A6167"/>
    <w:rsid w:val="0A221417"/>
    <w:rsid w:val="0A374116"/>
    <w:rsid w:val="0A3867FB"/>
    <w:rsid w:val="0A3E74EA"/>
    <w:rsid w:val="0A417FD3"/>
    <w:rsid w:val="0A425498"/>
    <w:rsid w:val="0A4800D1"/>
    <w:rsid w:val="0A4A3E4A"/>
    <w:rsid w:val="0A50699F"/>
    <w:rsid w:val="0A5F5B47"/>
    <w:rsid w:val="0A636CB9"/>
    <w:rsid w:val="0A66380E"/>
    <w:rsid w:val="0A8E0D48"/>
    <w:rsid w:val="0A913826"/>
    <w:rsid w:val="0AB95133"/>
    <w:rsid w:val="0ABF4313"/>
    <w:rsid w:val="0AC14867"/>
    <w:rsid w:val="0AC153AA"/>
    <w:rsid w:val="0AC92FC0"/>
    <w:rsid w:val="0AD17EC7"/>
    <w:rsid w:val="0AD96F7B"/>
    <w:rsid w:val="0ADF52ED"/>
    <w:rsid w:val="0AF0679F"/>
    <w:rsid w:val="0AFB78C1"/>
    <w:rsid w:val="0B1A1A6E"/>
    <w:rsid w:val="0B27077E"/>
    <w:rsid w:val="0B293A5F"/>
    <w:rsid w:val="0B2B5A29"/>
    <w:rsid w:val="0B322488"/>
    <w:rsid w:val="0B4C599F"/>
    <w:rsid w:val="0B5223D4"/>
    <w:rsid w:val="0B543071"/>
    <w:rsid w:val="0B7054AC"/>
    <w:rsid w:val="0B7205B8"/>
    <w:rsid w:val="0B7373D0"/>
    <w:rsid w:val="0B7777E0"/>
    <w:rsid w:val="0B896BF3"/>
    <w:rsid w:val="0B903ADE"/>
    <w:rsid w:val="0B980BE5"/>
    <w:rsid w:val="0BAD28F8"/>
    <w:rsid w:val="0BB80A6B"/>
    <w:rsid w:val="0BB92AF5"/>
    <w:rsid w:val="0BBB6595"/>
    <w:rsid w:val="0BBC06A7"/>
    <w:rsid w:val="0BBE7DEA"/>
    <w:rsid w:val="0BCC30CF"/>
    <w:rsid w:val="0BE95143"/>
    <w:rsid w:val="0C0544CC"/>
    <w:rsid w:val="0C0D3381"/>
    <w:rsid w:val="0C142961"/>
    <w:rsid w:val="0C1863CB"/>
    <w:rsid w:val="0C317DF8"/>
    <w:rsid w:val="0C33328B"/>
    <w:rsid w:val="0C39370E"/>
    <w:rsid w:val="0C3B6140"/>
    <w:rsid w:val="0C426DD5"/>
    <w:rsid w:val="0C4A0131"/>
    <w:rsid w:val="0C4F5747"/>
    <w:rsid w:val="0C5148D7"/>
    <w:rsid w:val="0C517711"/>
    <w:rsid w:val="0C7B478E"/>
    <w:rsid w:val="0C7C1FDF"/>
    <w:rsid w:val="0C7D0506"/>
    <w:rsid w:val="0C7E7DDA"/>
    <w:rsid w:val="0C825B1D"/>
    <w:rsid w:val="0C962424"/>
    <w:rsid w:val="0CA4431D"/>
    <w:rsid w:val="0CAA1FBF"/>
    <w:rsid w:val="0CC2416B"/>
    <w:rsid w:val="0CC46135"/>
    <w:rsid w:val="0CD12600"/>
    <w:rsid w:val="0CD34830"/>
    <w:rsid w:val="0CD80447"/>
    <w:rsid w:val="0CDA7707"/>
    <w:rsid w:val="0CF15CBA"/>
    <w:rsid w:val="0CF34AF1"/>
    <w:rsid w:val="0D0E5602"/>
    <w:rsid w:val="0D1B15ED"/>
    <w:rsid w:val="0D226B64"/>
    <w:rsid w:val="0D2A1CCE"/>
    <w:rsid w:val="0D355606"/>
    <w:rsid w:val="0D366907"/>
    <w:rsid w:val="0D3A62C0"/>
    <w:rsid w:val="0D4728C2"/>
    <w:rsid w:val="0D626AB5"/>
    <w:rsid w:val="0D6B035F"/>
    <w:rsid w:val="0DAE649D"/>
    <w:rsid w:val="0DC42165"/>
    <w:rsid w:val="0DC642C0"/>
    <w:rsid w:val="0DD64DA2"/>
    <w:rsid w:val="0DE43B39"/>
    <w:rsid w:val="0DF50570"/>
    <w:rsid w:val="0E0020B8"/>
    <w:rsid w:val="0E163D00"/>
    <w:rsid w:val="0E214EC1"/>
    <w:rsid w:val="0E396EFA"/>
    <w:rsid w:val="0E3A5F83"/>
    <w:rsid w:val="0E3C619F"/>
    <w:rsid w:val="0E567261"/>
    <w:rsid w:val="0E582D88"/>
    <w:rsid w:val="0E72396F"/>
    <w:rsid w:val="0E890458"/>
    <w:rsid w:val="0EA039FB"/>
    <w:rsid w:val="0EA16002"/>
    <w:rsid w:val="0EA74DE5"/>
    <w:rsid w:val="0EB16245"/>
    <w:rsid w:val="0EB775D4"/>
    <w:rsid w:val="0ED4462A"/>
    <w:rsid w:val="0ED85EC8"/>
    <w:rsid w:val="0EE26D46"/>
    <w:rsid w:val="0EEF6D6E"/>
    <w:rsid w:val="0EFF0B63"/>
    <w:rsid w:val="0F016F3B"/>
    <w:rsid w:val="0F040A6B"/>
    <w:rsid w:val="0F0947E6"/>
    <w:rsid w:val="0F0F11BE"/>
    <w:rsid w:val="0F225395"/>
    <w:rsid w:val="0F31382A"/>
    <w:rsid w:val="0F3F16E7"/>
    <w:rsid w:val="0F4977A8"/>
    <w:rsid w:val="0F4C0664"/>
    <w:rsid w:val="0F594BFD"/>
    <w:rsid w:val="0F5A68DD"/>
    <w:rsid w:val="0F621C35"/>
    <w:rsid w:val="0F643E6A"/>
    <w:rsid w:val="0F6553CE"/>
    <w:rsid w:val="0F7B1EE2"/>
    <w:rsid w:val="0F86458B"/>
    <w:rsid w:val="0F8807A8"/>
    <w:rsid w:val="0F9C0DBB"/>
    <w:rsid w:val="0FAC1EC7"/>
    <w:rsid w:val="0FAE1174"/>
    <w:rsid w:val="0FB7524E"/>
    <w:rsid w:val="0FBF2BE4"/>
    <w:rsid w:val="0FE1472E"/>
    <w:rsid w:val="0FE32625"/>
    <w:rsid w:val="0FEB1C2B"/>
    <w:rsid w:val="0FEB39D9"/>
    <w:rsid w:val="0FF31B7B"/>
    <w:rsid w:val="1001302C"/>
    <w:rsid w:val="100471E0"/>
    <w:rsid w:val="100D1BA1"/>
    <w:rsid w:val="100F5919"/>
    <w:rsid w:val="101728F4"/>
    <w:rsid w:val="10280789"/>
    <w:rsid w:val="102D24A1"/>
    <w:rsid w:val="105F7D4D"/>
    <w:rsid w:val="10686873"/>
    <w:rsid w:val="10833C11"/>
    <w:rsid w:val="108C6F6A"/>
    <w:rsid w:val="108F16F4"/>
    <w:rsid w:val="10AC1E65"/>
    <w:rsid w:val="10AD4D06"/>
    <w:rsid w:val="10B80B21"/>
    <w:rsid w:val="10B85FB1"/>
    <w:rsid w:val="10E50428"/>
    <w:rsid w:val="10E723F2"/>
    <w:rsid w:val="10F42D61"/>
    <w:rsid w:val="10F927CD"/>
    <w:rsid w:val="110135C3"/>
    <w:rsid w:val="1111746F"/>
    <w:rsid w:val="11147B6C"/>
    <w:rsid w:val="11472E91"/>
    <w:rsid w:val="11614166"/>
    <w:rsid w:val="11616526"/>
    <w:rsid w:val="1173012A"/>
    <w:rsid w:val="11761CAB"/>
    <w:rsid w:val="117A6082"/>
    <w:rsid w:val="11846E28"/>
    <w:rsid w:val="118C62FE"/>
    <w:rsid w:val="119562DA"/>
    <w:rsid w:val="11A006E2"/>
    <w:rsid w:val="11A40C7A"/>
    <w:rsid w:val="11AD363C"/>
    <w:rsid w:val="11B54C60"/>
    <w:rsid w:val="11C4304E"/>
    <w:rsid w:val="11C44B5E"/>
    <w:rsid w:val="11C75D80"/>
    <w:rsid w:val="11DC435D"/>
    <w:rsid w:val="11E6338C"/>
    <w:rsid w:val="11E726F7"/>
    <w:rsid w:val="11ED5507"/>
    <w:rsid w:val="11F00535"/>
    <w:rsid w:val="11F272A1"/>
    <w:rsid w:val="12072620"/>
    <w:rsid w:val="120C6A9E"/>
    <w:rsid w:val="120D1A82"/>
    <w:rsid w:val="120F14AE"/>
    <w:rsid w:val="121F796A"/>
    <w:rsid w:val="12331667"/>
    <w:rsid w:val="1246139A"/>
    <w:rsid w:val="124F2ECD"/>
    <w:rsid w:val="12575356"/>
    <w:rsid w:val="125B6606"/>
    <w:rsid w:val="12675ABB"/>
    <w:rsid w:val="127A7329"/>
    <w:rsid w:val="128B7E6C"/>
    <w:rsid w:val="128D0D77"/>
    <w:rsid w:val="129A3494"/>
    <w:rsid w:val="129B7B75"/>
    <w:rsid w:val="12A165D1"/>
    <w:rsid w:val="12AE7318"/>
    <w:rsid w:val="12C04D7F"/>
    <w:rsid w:val="12C44055"/>
    <w:rsid w:val="12C94F9C"/>
    <w:rsid w:val="12CA5A7D"/>
    <w:rsid w:val="12CA73D4"/>
    <w:rsid w:val="12DC70FB"/>
    <w:rsid w:val="12E27315"/>
    <w:rsid w:val="12FC3784"/>
    <w:rsid w:val="130025F0"/>
    <w:rsid w:val="13006247"/>
    <w:rsid w:val="13085B4B"/>
    <w:rsid w:val="13086729"/>
    <w:rsid w:val="130C4747"/>
    <w:rsid w:val="13125246"/>
    <w:rsid w:val="13271967"/>
    <w:rsid w:val="13280AA0"/>
    <w:rsid w:val="132C2EE2"/>
    <w:rsid w:val="1352062C"/>
    <w:rsid w:val="13581385"/>
    <w:rsid w:val="135875D7"/>
    <w:rsid w:val="13706C15"/>
    <w:rsid w:val="13797579"/>
    <w:rsid w:val="137F50E7"/>
    <w:rsid w:val="1384217A"/>
    <w:rsid w:val="13842E54"/>
    <w:rsid w:val="138A52B7"/>
    <w:rsid w:val="138D3493"/>
    <w:rsid w:val="138F28CD"/>
    <w:rsid w:val="139525D9"/>
    <w:rsid w:val="139908A5"/>
    <w:rsid w:val="139D323C"/>
    <w:rsid w:val="13A12823"/>
    <w:rsid w:val="13A26AA4"/>
    <w:rsid w:val="13A419F6"/>
    <w:rsid w:val="13BA282E"/>
    <w:rsid w:val="13C407C9"/>
    <w:rsid w:val="13EF7057"/>
    <w:rsid w:val="13F7164C"/>
    <w:rsid w:val="13FA41EA"/>
    <w:rsid w:val="13FC4A3E"/>
    <w:rsid w:val="14081B0B"/>
    <w:rsid w:val="140C2170"/>
    <w:rsid w:val="1414583C"/>
    <w:rsid w:val="14151024"/>
    <w:rsid w:val="1419732D"/>
    <w:rsid w:val="141A663B"/>
    <w:rsid w:val="141F1EA3"/>
    <w:rsid w:val="14533ADF"/>
    <w:rsid w:val="145F04F1"/>
    <w:rsid w:val="1468446D"/>
    <w:rsid w:val="14720225"/>
    <w:rsid w:val="147771C0"/>
    <w:rsid w:val="147D6BCA"/>
    <w:rsid w:val="148368D6"/>
    <w:rsid w:val="14856D31"/>
    <w:rsid w:val="14883EEC"/>
    <w:rsid w:val="14BA0252"/>
    <w:rsid w:val="14C32C02"/>
    <w:rsid w:val="14C760F9"/>
    <w:rsid w:val="14DF3776"/>
    <w:rsid w:val="14F12910"/>
    <w:rsid w:val="14F24D66"/>
    <w:rsid w:val="15163C58"/>
    <w:rsid w:val="15270BBD"/>
    <w:rsid w:val="15423271"/>
    <w:rsid w:val="154A3513"/>
    <w:rsid w:val="154B35ED"/>
    <w:rsid w:val="154D0C92"/>
    <w:rsid w:val="15604756"/>
    <w:rsid w:val="15951F88"/>
    <w:rsid w:val="15B25D27"/>
    <w:rsid w:val="15BA5E1A"/>
    <w:rsid w:val="15D16FE4"/>
    <w:rsid w:val="15D85C93"/>
    <w:rsid w:val="15FF5C8B"/>
    <w:rsid w:val="160B6B83"/>
    <w:rsid w:val="160D248F"/>
    <w:rsid w:val="160F29C4"/>
    <w:rsid w:val="16135A37"/>
    <w:rsid w:val="16237DCC"/>
    <w:rsid w:val="162639BD"/>
    <w:rsid w:val="16287735"/>
    <w:rsid w:val="16427FEB"/>
    <w:rsid w:val="16461969"/>
    <w:rsid w:val="1649153D"/>
    <w:rsid w:val="165146AA"/>
    <w:rsid w:val="16551BAC"/>
    <w:rsid w:val="16720692"/>
    <w:rsid w:val="16832BBD"/>
    <w:rsid w:val="169142F5"/>
    <w:rsid w:val="169225CD"/>
    <w:rsid w:val="169F72CB"/>
    <w:rsid w:val="16A14DF1"/>
    <w:rsid w:val="16A17ABC"/>
    <w:rsid w:val="16A71221"/>
    <w:rsid w:val="16AB5C70"/>
    <w:rsid w:val="16B33193"/>
    <w:rsid w:val="16BB0F97"/>
    <w:rsid w:val="16C44B09"/>
    <w:rsid w:val="16CC39B3"/>
    <w:rsid w:val="16EF3DAF"/>
    <w:rsid w:val="16EF5E9E"/>
    <w:rsid w:val="16F26CF8"/>
    <w:rsid w:val="16F41515"/>
    <w:rsid w:val="16FC471D"/>
    <w:rsid w:val="170B2BB3"/>
    <w:rsid w:val="17147FD8"/>
    <w:rsid w:val="17155834"/>
    <w:rsid w:val="171D0A49"/>
    <w:rsid w:val="17215F32"/>
    <w:rsid w:val="17277F06"/>
    <w:rsid w:val="173043C7"/>
    <w:rsid w:val="1743234C"/>
    <w:rsid w:val="17485BB5"/>
    <w:rsid w:val="17490692"/>
    <w:rsid w:val="17537364"/>
    <w:rsid w:val="1767603B"/>
    <w:rsid w:val="176F6C9D"/>
    <w:rsid w:val="17732C32"/>
    <w:rsid w:val="177978A3"/>
    <w:rsid w:val="178722F4"/>
    <w:rsid w:val="178D5376"/>
    <w:rsid w:val="17996410"/>
    <w:rsid w:val="17A56B63"/>
    <w:rsid w:val="17A728DB"/>
    <w:rsid w:val="17A83C8E"/>
    <w:rsid w:val="17B62B1E"/>
    <w:rsid w:val="17B73988"/>
    <w:rsid w:val="17B902BB"/>
    <w:rsid w:val="17BA7B45"/>
    <w:rsid w:val="17BC3ED4"/>
    <w:rsid w:val="17C0399D"/>
    <w:rsid w:val="17C4003D"/>
    <w:rsid w:val="17DC1639"/>
    <w:rsid w:val="17E05DED"/>
    <w:rsid w:val="17E175E6"/>
    <w:rsid w:val="17E53404"/>
    <w:rsid w:val="17E72CD8"/>
    <w:rsid w:val="17EB114F"/>
    <w:rsid w:val="17ED71F2"/>
    <w:rsid w:val="17EF3151"/>
    <w:rsid w:val="17F43647"/>
    <w:rsid w:val="18090EA0"/>
    <w:rsid w:val="180C273E"/>
    <w:rsid w:val="181451A4"/>
    <w:rsid w:val="18277B11"/>
    <w:rsid w:val="18300B23"/>
    <w:rsid w:val="18325C50"/>
    <w:rsid w:val="18383533"/>
    <w:rsid w:val="183C123F"/>
    <w:rsid w:val="183D6D9C"/>
    <w:rsid w:val="1843750D"/>
    <w:rsid w:val="18502F73"/>
    <w:rsid w:val="185365BF"/>
    <w:rsid w:val="18616F2E"/>
    <w:rsid w:val="186711BB"/>
    <w:rsid w:val="187A3B4C"/>
    <w:rsid w:val="1895033A"/>
    <w:rsid w:val="189D5A8C"/>
    <w:rsid w:val="18C474BD"/>
    <w:rsid w:val="18CE20EA"/>
    <w:rsid w:val="18CF62D0"/>
    <w:rsid w:val="18D117BE"/>
    <w:rsid w:val="18F25DD8"/>
    <w:rsid w:val="18FA2EDF"/>
    <w:rsid w:val="1901601B"/>
    <w:rsid w:val="19137AFC"/>
    <w:rsid w:val="19297320"/>
    <w:rsid w:val="19526877"/>
    <w:rsid w:val="19570331"/>
    <w:rsid w:val="19575C3B"/>
    <w:rsid w:val="195F2D42"/>
    <w:rsid w:val="19622F5E"/>
    <w:rsid w:val="19632832"/>
    <w:rsid w:val="19724C96"/>
    <w:rsid w:val="19735704"/>
    <w:rsid w:val="1981715C"/>
    <w:rsid w:val="19826FA5"/>
    <w:rsid w:val="19843A8E"/>
    <w:rsid w:val="19861875"/>
    <w:rsid w:val="19AF5A77"/>
    <w:rsid w:val="19B1359D"/>
    <w:rsid w:val="19E01178"/>
    <w:rsid w:val="19E76652"/>
    <w:rsid w:val="19E77697"/>
    <w:rsid w:val="19EA147C"/>
    <w:rsid w:val="19F55487"/>
    <w:rsid w:val="1A02029D"/>
    <w:rsid w:val="1A0F2518"/>
    <w:rsid w:val="1A105BAC"/>
    <w:rsid w:val="1A2A15A2"/>
    <w:rsid w:val="1A345F7C"/>
    <w:rsid w:val="1A3F60B0"/>
    <w:rsid w:val="1A4268EB"/>
    <w:rsid w:val="1A4E703E"/>
    <w:rsid w:val="1A58610F"/>
    <w:rsid w:val="1A596788"/>
    <w:rsid w:val="1A5E1AA1"/>
    <w:rsid w:val="1A6A7BF0"/>
    <w:rsid w:val="1A6E76E0"/>
    <w:rsid w:val="1A77329A"/>
    <w:rsid w:val="1A78230D"/>
    <w:rsid w:val="1A7867B1"/>
    <w:rsid w:val="1A837146"/>
    <w:rsid w:val="1A8B1033"/>
    <w:rsid w:val="1A8E38DF"/>
    <w:rsid w:val="1A976C37"/>
    <w:rsid w:val="1AA01219"/>
    <w:rsid w:val="1AAD1CA4"/>
    <w:rsid w:val="1ABA46D4"/>
    <w:rsid w:val="1AC429CB"/>
    <w:rsid w:val="1AC51F44"/>
    <w:rsid w:val="1ACF03B6"/>
    <w:rsid w:val="1ADC6D40"/>
    <w:rsid w:val="1ADF5EC2"/>
    <w:rsid w:val="1B0342CC"/>
    <w:rsid w:val="1B0C1B91"/>
    <w:rsid w:val="1B246BD6"/>
    <w:rsid w:val="1B3A3A66"/>
    <w:rsid w:val="1B442F1F"/>
    <w:rsid w:val="1B496D5D"/>
    <w:rsid w:val="1B5E59A7"/>
    <w:rsid w:val="1B682381"/>
    <w:rsid w:val="1B821058"/>
    <w:rsid w:val="1B8C2DA2"/>
    <w:rsid w:val="1B98135E"/>
    <w:rsid w:val="1B9A1E0C"/>
    <w:rsid w:val="1BB72BDE"/>
    <w:rsid w:val="1BDB3640"/>
    <w:rsid w:val="1BE6275F"/>
    <w:rsid w:val="1BF12377"/>
    <w:rsid w:val="1BFE6842"/>
    <w:rsid w:val="1C054074"/>
    <w:rsid w:val="1C093B64"/>
    <w:rsid w:val="1C11073C"/>
    <w:rsid w:val="1C1127EB"/>
    <w:rsid w:val="1C113A23"/>
    <w:rsid w:val="1C146065"/>
    <w:rsid w:val="1C193F27"/>
    <w:rsid w:val="1C250273"/>
    <w:rsid w:val="1C3B466F"/>
    <w:rsid w:val="1C3B5CE8"/>
    <w:rsid w:val="1C3B7A96"/>
    <w:rsid w:val="1C413CD1"/>
    <w:rsid w:val="1C4B0644"/>
    <w:rsid w:val="1C527EEE"/>
    <w:rsid w:val="1C533032"/>
    <w:rsid w:val="1C646FED"/>
    <w:rsid w:val="1C686CAE"/>
    <w:rsid w:val="1C782A98"/>
    <w:rsid w:val="1C7F5BD5"/>
    <w:rsid w:val="1C932361"/>
    <w:rsid w:val="1CA30CAE"/>
    <w:rsid w:val="1CB02232"/>
    <w:rsid w:val="1CB10425"/>
    <w:rsid w:val="1CB3587E"/>
    <w:rsid w:val="1CB8076E"/>
    <w:rsid w:val="1CC23487"/>
    <w:rsid w:val="1CC81FA3"/>
    <w:rsid w:val="1CCE3E00"/>
    <w:rsid w:val="1CD50125"/>
    <w:rsid w:val="1CEB3C2A"/>
    <w:rsid w:val="1CFF0F67"/>
    <w:rsid w:val="1D004467"/>
    <w:rsid w:val="1D0B3E46"/>
    <w:rsid w:val="1D183933"/>
    <w:rsid w:val="1D3C0674"/>
    <w:rsid w:val="1D3D0F5F"/>
    <w:rsid w:val="1D545500"/>
    <w:rsid w:val="1D6C26E5"/>
    <w:rsid w:val="1D7C3EC2"/>
    <w:rsid w:val="1D9A014E"/>
    <w:rsid w:val="1D9F5E03"/>
    <w:rsid w:val="1DBA6D75"/>
    <w:rsid w:val="1DC13FCB"/>
    <w:rsid w:val="1DC4428C"/>
    <w:rsid w:val="1DC87107"/>
    <w:rsid w:val="1DCD2970"/>
    <w:rsid w:val="1DDC0E05"/>
    <w:rsid w:val="1DE303E5"/>
    <w:rsid w:val="1DEB1048"/>
    <w:rsid w:val="1DEE4E27"/>
    <w:rsid w:val="1DF00BB6"/>
    <w:rsid w:val="1E004AF3"/>
    <w:rsid w:val="1E1265D5"/>
    <w:rsid w:val="1E195BB5"/>
    <w:rsid w:val="1E242305"/>
    <w:rsid w:val="1E3C503E"/>
    <w:rsid w:val="1E4C174B"/>
    <w:rsid w:val="1E5C100C"/>
    <w:rsid w:val="1E5D1F46"/>
    <w:rsid w:val="1E5F5CBE"/>
    <w:rsid w:val="1E7352C5"/>
    <w:rsid w:val="1E8214D9"/>
    <w:rsid w:val="1E8B1251"/>
    <w:rsid w:val="1E8E19E6"/>
    <w:rsid w:val="1EBA2EF4"/>
    <w:rsid w:val="1ED630FA"/>
    <w:rsid w:val="1EEA12FF"/>
    <w:rsid w:val="1EEB54F0"/>
    <w:rsid w:val="1EEE6983"/>
    <w:rsid w:val="1EF65EF6"/>
    <w:rsid w:val="1F0C571A"/>
    <w:rsid w:val="1F144B97"/>
    <w:rsid w:val="1F2629A0"/>
    <w:rsid w:val="1F301408"/>
    <w:rsid w:val="1F3015F5"/>
    <w:rsid w:val="1F313E21"/>
    <w:rsid w:val="1F471822"/>
    <w:rsid w:val="1F4C5B16"/>
    <w:rsid w:val="1F51312D"/>
    <w:rsid w:val="1F52137F"/>
    <w:rsid w:val="1F5453EE"/>
    <w:rsid w:val="1F612014"/>
    <w:rsid w:val="1F65445A"/>
    <w:rsid w:val="1F664E2A"/>
    <w:rsid w:val="1F6A2B6C"/>
    <w:rsid w:val="1F795149"/>
    <w:rsid w:val="1F862D65"/>
    <w:rsid w:val="1F882FF2"/>
    <w:rsid w:val="1F8D23B7"/>
    <w:rsid w:val="1F8D685B"/>
    <w:rsid w:val="1F904E89"/>
    <w:rsid w:val="1FA73DAD"/>
    <w:rsid w:val="1FB2006F"/>
    <w:rsid w:val="1FE32C12"/>
    <w:rsid w:val="1FEF6BCD"/>
    <w:rsid w:val="20032EDE"/>
    <w:rsid w:val="20052043"/>
    <w:rsid w:val="200C59D1"/>
    <w:rsid w:val="20120B0E"/>
    <w:rsid w:val="201D1F5A"/>
    <w:rsid w:val="201D7A2B"/>
    <w:rsid w:val="20323C44"/>
    <w:rsid w:val="20607908"/>
    <w:rsid w:val="20616F2F"/>
    <w:rsid w:val="206B6CDB"/>
    <w:rsid w:val="207F2647"/>
    <w:rsid w:val="20856C02"/>
    <w:rsid w:val="20987265"/>
    <w:rsid w:val="20CA4266"/>
    <w:rsid w:val="20D04861"/>
    <w:rsid w:val="20D858B3"/>
    <w:rsid w:val="20E406FC"/>
    <w:rsid w:val="21027150"/>
    <w:rsid w:val="213061FA"/>
    <w:rsid w:val="21545F8E"/>
    <w:rsid w:val="215C4736"/>
    <w:rsid w:val="216443BD"/>
    <w:rsid w:val="21696E53"/>
    <w:rsid w:val="216E6218"/>
    <w:rsid w:val="21742520"/>
    <w:rsid w:val="218B0B78"/>
    <w:rsid w:val="218B6DCA"/>
    <w:rsid w:val="21902632"/>
    <w:rsid w:val="21917C0B"/>
    <w:rsid w:val="219A0DBB"/>
    <w:rsid w:val="219C4B33"/>
    <w:rsid w:val="21A734D8"/>
    <w:rsid w:val="21C30C68"/>
    <w:rsid w:val="21DC423E"/>
    <w:rsid w:val="21EF46EC"/>
    <w:rsid w:val="21F17AFE"/>
    <w:rsid w:val="21F229A5"/>
    <w:rsid w:val="220D5096"/>
    <w:rsid w:val="221B014E"/>
    <w:rsid w:val="22244B28"/>
    <w:rsid w:val="22250FCC"/>
    <w:rsid w:val="22260FE9"/>
    <w:rsid w:val="222D1C2F"/>
    <w:rsid w:val="22415285"/>
    <w:rsid w:val="224376A4"/>
    <w:rsid w:val="22466B66"/>
    <w:rsid w:val="224A27E1"/>
    <w:rsid w:val="2254540E"/>
    <w:rsid w:val="225620E5"/>
    <w:rsid w:val="226B54AD"/>
    <w:rsid w:val="226F2247"/>
    <w:rsid w:val="22711F89"/>
    <w:rsid w:val="22833BBA"/>
    <w:rsid w:val="228F6446"/>
    <w:rsid w:val="229323DA"/>
    <w:rsid w:val="22AF0896"/>
    <w:rsid w:val="22B934C3"/>
    <w:rsid w:val="22C41308"/>
    <w:rsid w:val="22CB5E9A"/>
    <w:rsid w:val="22D3035D"/>
    <w:rsid w:val="22D5228D"/>
    <w:rsid w:val="22EC21D1"/>
    <w:rsid w:val="22EC411D"/>
    <w:rsid w:val="231057D9"/>
    <w:rsid w:val="232E10C8"/>
    <w:rsid w:val="23352B28"/>
    <w:rsid w:val="233D5EA2"/>
    <w:rsid w:val="235558E1"/>
    <w:rsid w:val="23662D0F"/>
    <w:rsid w:val="236B2A0F"/>
    <w:rsid w:val="236E24FF"/>
    <w:rsid w:val="238D507B"/>
    <w:rsid w:val="238E2BA1"/>
    <w:rsid w:val="23B343B6"/>
    <w:rsid w:val="23C8621A"/>
    <w:rsid w:val="23CF38C7"/>
    <w:rsid w:val="23D73E2E"/>
    <w:rsid w:val="23DA5DE6"/>
    <w:rsid w:val="23E10F23"/>
    <w:rsid w:val="23E4604A"/>
    <w:rsid w:val="23E6478B"/>
    <w:rsid w:val="23EB5D7A"/>
    <w:rsid w:val="23EE1B8E"/>
    <w:rsid w:val="23F55382"/>
    <w:rsid w:val="23F944BF"/>
    <w:rsid w:val="24044C11"/>
    <w:rsid w:val="24125580"/>
    <w:rsid w:val="24176D26"/>
    <w:rsid w:val="242D23BA"/>
    <w:rsid w:val="24374FE7"/>
    <w:rsid w:val="243B39EE"/>
    <w:rsid w:val="243F1AF3"/>
    <w:rsid w:val="244F00B3"/>
    <w:rsid w:val="24561911"/>
    <w:rsid w:val="245949BF"/>
    <w:rsid w:val="246A2B60"/>
    <w:rsid w:val="247C0C4C"/>
    <w:rsid w:val="248875F1"/>
    <w:rsid w:val="248B0E8F"/>
    <w:rsid w:val="248C5333"/>
    <w:rsid w:val="249544DC"/>
    <w:rsid w:val="24A3267C"/>
    <w:rsid w:val="24CC3981"/>
    <w:rsid w:val="24CE3D26"/>
    <w:rsid w:val="24DB1E16"/>
    <w:rsid w:val="24E011DB"/>
    <w:rsid w:val="24E54A43"/>
    <w:rsid w:val="24F01899"/>
    <w:rsid w:val="250C1FD0"/>
    <w:rsid w:val="250E2A23"/>
    <w:rsid w:val="250F386E"/>
    <w:rsid w:val="251E4AE3"/>
    <w:rsid w:val="2522549C"/>
    <w:rsid w:val="252833DE"/>
    <w:rsid w:val="2543366C"/>
    <w:rsid w:val="25826736"/>
    <w:rsid w:val="258778A8"/>
    <w:rsid w:val="25A80511"/>
    <w:rsid w:val="25C224AB"/>
    <w:rsid w:val="25C24D84"/>
    <w:rsid w:val="25CD5C03"/>
    <w:rsid w:val="25D074A1"/>
    <w:rsid w:val="25D61421"/>
    <w:rsid w:val="25E339F0"/>
    <w:rsid w:val="25F0369F"/>
    <w:rsid w:val="25F52A64"/>
    <w:rsid w:val="26005EE7"/>
    <w:rsid w:val="262618DA"/>
    <w:rsid w:val="262A3ED6"/>
    <w:rsid w:val="262B0B7B"/>
    <w:rsid w:val="26487719"/>
    <w:rsid w:val="264F6618"/>
    <w:rsid w:val="26543C2E"/>
    <w:rsid w:val="2654798F"/>
    <w:rsid w:val="26584B5B"/>
    <w:rsid w:val="266876DA"/>
    <w:rsid w:val="26B9718D"/>
    <w:rsid w:val="26C6338C"/>
    <w:rsid w:val="26D7660D"/>
    <w:rsid w:val="26DC3C24"/>
    <w:rsid w:val="26EB3E67"/>
    <w:rsid w:val="26EE78AF"/>
    <w:rsid w:val="26F70A5D"/>
    <w:rsid w:val="27003DB6"/>
    <w:rsid w:val="270C482E"/>
    <w:rsid w:val="270F6015"/>
    <w:rsid w:val="27127645"/>
    <w:rsid w:val="27231852"/>
    <w:rsid w:val="27233601"/>
    <w:rsid w:val="2723459D"/>
    <w:rsid w:val="27377FE3"/>
    <w:rsid w:val="273B094A"/>
    <w:rsid w:val="275065E5"/>
    <w:rsid w:val="275417A1"/>
    <w:rsid w:val="27547D16"/>
    <w:rsid w:val="275859A0"/>
    <w:rsid w:val="2767173F"/>
    <w:rsid w:val="276F071E"/>
    <w:rsid w:val="27AC5549"/>
    <w:rsid w:val="27BC5F2F"/>
    <w:rsid w:val="27D41477"/>
    <w:rsid w:val="27EC46EA"/>
    <w:rsid w:val="27ED4B35"/>
    <w:rsid w:val="27F03E2A"/>
    <w:rsid w:val="27F356C9"/>
    <w:rsid w:val="27F751B9"/>
    <w:rsid w:val="27F800E1"/>
    <w:rsid w:val="27F97290"/>
    <w:rsid w:val="27FA6A57"/>
    <w:rsid w:val="280E0B9D"/>
    <w:rsid w:val="281178FD"/>
    <w:rsid w:val="281F1BDE"/>
    <w:rsid w:val="282078AC"/>
    <w:rsid w:val="28277120"/>
    <w:rsid w:val="2839797F"/>
    <w:rsid w:val="285717B4"/>
    <w:rsid w:val="286914E7"/>
    <w:rsid w:val="286E175D"/>
    <w:rsid w:val="28773C04"/>
    <w:rsid w:val="288D7056"/>
    <w:rsid w:val="28935E6F"/>
    <w:rsid w:val="28A349F9"/>
    <w:rsid w:val="28AF339E"/>
    <w:rsid w:val="28B30D79"/>
    <w:rsid w:val="28CE5BAA"/>
    <w:rsid w:val="28E13773"/>
    <w:rsid w:val="28E47092"/>
    <w:rsid w:val="28E65517"/>
    <w:rsid w:val="291033C3"/>
    <w:rsid w:val="29252A6F"/>
    <w:rsid w:val="292F2E7A"/>
    <w:rsid w:val="29476D56"/>
    <w:rsid w:val="295977AD"/>
    <w:rsid w:val="29655DBC"/>
    <w:rsid w:val="296A51A1"/>
    <w:rsid w:val="29797084"/>
    <w:rsid w:val="29B046BC"/>
    <w:rsid w:val="29B12B77"/>
    <w:rsid w:val="29B84D30"/>
    <w:rsid w:val="29BB4423"/>
    <w:rsid w:val="29BB6B4E"/>
    <w:rsid w:val="29BF3AB4"/>
    <w:rsid w:val="29C86398"/>
    <w:rsid w:val="29CF1A0B"/>
    <w:rsid w:val="29D839C1"/>
    <w:rsid w:val="29DD3F3B"/>
    <w:rsid w:val="29E928DF"/>
    <w:rsid w:val="29EC0622"/>
    <w:rsid w:val="29F553A2"/>
    <w:rsid w:val="29FF65A7"/>
    <w:rsid w:val="2A04021D"/>
    <w:rsid w:val="2A090D1A"/>
    <w:rsid w:val="2A180971"/>
    <w:rsid w:val="2A306760"/>
    <w:rsid w:val="2A3104F8"/>
    <w:rsid w:val="2A41096D"/>
    <w:rsid w:val="2A465F84"/>
    <w:rsid w:val="2A49071B"/>
    <w:rsid w:val="2A743B27"/>
    <w:rsid w:val="2A7B7E9F"/>
    <w:rsid w:val="2A8D0E01"/>
    <w:rsid w:val="2A8F756A"/>
    <w:rsid w:val="2A914D5B"/>
    <w:rsid w:val="2A9D0A0A"/>
    <w:rsid w:val="2A9D36CA"/>
    <w:rsid w:val="2AA1140C"/>
    <w:rsid w:val="2AAB5DE7"/>
    <w:rsid w:val="2AB0164F"/>
    <w:rsid w:val="2AB02639"/>
    <w:rsid w:val="2AB52453"/>
    <w:rsid w:val="2AC3330D"/>
    <w:rsid w:val="2AC375D4"/>
    <w:rsid w:val="2AE5579D"/>
    <w:rsid w:val="2AE72F87"/>
    <w:rsid w:val="2AEB08D9"/>
    <w:rsid w:val="2AED797A"/>
    <w:rsid w:val="2AFB46F8"/>
    <w:rsid w:val="2B1625B3"/>
    <w:rsid w:val="2B232A0B"/>
    <w:rsid w:val="2B29133E"/>
    <w:rsid w:val="2B2C517A"/>
    <w:rsid w:val="2B2E25E1"/>
    <w:rsid w:val="2B374A31"/>
    <w:rsid w:val="2B3A3CA1"/>
    <w:rsid w:val="2B5640A9"/>
    <w:rsid w:val="2B5D2385"/>
    <w:rsid w:val="2B5F3ABE"/>
    <w:rsid w:val="2B625511"/>
    <w:rsid w:val="2B77798B"/>
    <w:rsid w:val="2B7D3C27"/>
    <w:rsid w:val="2B844FB6"/>
    <w:rsid w:val="2B8F603A"/>
    <w:rsid w:val="2B9B7031"/>
    <w:rsid w:val="2BB25F2B"/>
    <w:rsid w:val="2BBC3D43"/>
    <w:rsid w:val="2BC96E6C"/>
    <w:rsid w:val="2BDB12A6"/>
    <w:rsid w:val="2BDD7615"/>
    <w:rsid w:val="2BE37D65"/>
    <w:rsid w:val="2BE9306B"/>
    <w:rsid w:val="2C412EA7"/>
    <w:rsid w:val="2C427AF3"/>
    <w:rsid w:val="2C5A351E"/>
    <w:rsid w:val="2C5D4747"/>
    <w:rsid w:val="2C610E53"/>
    <w:rsid w:val="2C611306"/>
    <w:rsid w:val="2C672279"/>
    <w:rsid w:val="2C6E17C2"/>
    <w:rsid w:val="2C881211"/>
    <w:rsid w:val="2C931228"/>
    <w:rsid w:val="2C952AB0"/>
    <w:rsid w:val="2CAF2294"/>
    <w:rsid w:val="2CC541ED"/>
    <w:rsid w:val="2CCD3EBA"/>
    <w:rsid w:val="2CCE6B43"/>
    <w:rsid w:val="2CDE761A"/>
    <w:rsid w:val="2CF47F19"/>
    <w:rsid w:val="2CF717B7"/>
    <w:rsid w:val="2D0D2A0A"/>
    <w:rsid w:val="2D0D2D89"/>
    <w:rsid w:val="2D0D4B37"/>
    <w:rsid w:val="2D19172E"/>
    <w:rsid w:val="2D2D51D9"/>
    <w:rsid w:val="2D331209"/>
    <w:rsid w:val="2D335406"/>
    <w:rsid w:val="2D3A16A4"/>
    <w:rsid w:val="2D3B5B48"/>
    <w:rsid w:val="2D3E2F42"/>
    <w:rsid w:val="2D467FD3"/>
    <w:rsid w:val="2D6D7CCB"/>
    <w:rsid w:val="2D71156A"/>
    <w:rsid w:val="2D833E1B"/>
    <w:rsid w:val="2D8821CF"/>
    <w:rsid w:val="2D892D64"/>
    <w:rsid w:val="2D990AC0"/>
    <w:rsid w:val="2D9A4084"/>
    <w:rsid w:val="2DB248A0"/>
    <w:rsid w:val="2DBA12EA"/>
    <w:rsid w:val="2DBB4593"/>
    <w:rsid w:val="2DC45EB8"/>
    <w:rsid w:val="2DC518B5"/>
    <w:rsid w:val="2DD7660D"/>
    <w:rsid w:val="2DED65D5"/>
    <w:rsid w:val="2DF26DB4"/>
    <w:rsid w:val="2DFE0B23"/>
    <w:rsid w:val="2E102C3A"/>
    <w:rsid w:val="2E143942"/>
    <w:rsid w:val="2E222864"/>
    <w:rsid w:val="2E34556F"/>
    <w:rsid w:val="2E397AC4"/>
    <w:rsid w:val="2E3C1683"/>
    <w:rsid w:val="2E494294"/>
    <w:rsid w:val="2E5212F6"/>
    <w:rsid w:val="2E522BCA"/>
    <w:rsid w:val="2E705CB2"/>
    <w:rsid w:val="2E7806D6"/>
    <w:rsid w:val="2E795FE6"/>
    <w:rsid w:val="2E873D5E"/>
    <w:rsid w:val="2E935CCC"/>
    <w:rsid w:val="2E9A064C"/>
    <w:rsid w:val="2EA60904"/>
    <w:rsid w:val="2EA73638"/>
    <w:rsid w:val="2EC056C4"/>
    <w:rsid w:val="2EE16C73"/>
    <w:rsid w:val="2F0D5D93"/>
    <w:rsid w:val="2F1C72B3"/>
    <w:rsid w:val="2F222C61"/>
    <w:rsid w:val="2F2A7C22"/>
    <w:rsid w:val="2F4732BB"/>
    <w:rsid w:val="2F4E4CBC"/>
    <w:rsid w:val="2F707A66"/>
    <w:rsid w:val="2F827A5E"/>
    <w:rsid w:val="2F9652B7"/>
    <w:rsid w:val="2F9C5796"/>
    <w:rsid w:val="2FA16614"/>
    <w:rsid w:val="2FA46E15"/>
    <w:rsid w:val="2FB90FA6"/>
    <w:rsid w:val="2FBE65BC"/>
    <w:rsid w:val="2FDD4C94"/>
    <w:rsid w:val="2FE8682E"/>
    <w:rsid w:val="2FEA115F"/>
    <w:rsid w:val="2FEE50F3"/>
    <w:rsid w:val="2FF43D8C"/>
    <w:rsid w:val="2FFD0E93"/>
    <w:rsid w:val="30121A9A"/>
    <w:rsid w:val="30171CE7"/>
    <w:rsid w:val="301D32E3"/>
    <w:rsid w:val="302208F9"/>
    <w:rsid w:val="30234671"/>
    <w:rsid w:val="302D6B27"/>
    <w:rsid w:val="3038204F"/>
    <w:rsid w:val="30430D83"/>
    <w:rsid w:val="305F38FB"/>
    <w:rsid w:val="30607673"/>
    <w:rsid w:val="306B39F9"/>
    <w:rsid w:val="306B6D56"/>
    <w:rsid w:val="30703D5A"/>
    <w:rsid w:val="30717AD3"/>
    <w:rsid w:val="30726DAB"/>
    <w:rsid w:val="308B30A6"/>
    <w:rsid w:val="308C2216"/>
    <w:rsid w:val="308C66BA"/>
    <w:rsid w:val="30914C13"/>
    <w:rsid w:val="309B06AC"/>
    <w:rsid w:val="30B8300C"/>
    <w:rsid w:val="30DD70E3"/>
    <w:rsid w:val="30E3452C"/>
    <w:rsid w:val="30EB518F"/>
    <w:rsid w:val="30F46890"/>
    <w:rsid w:val="31070055"/>
    <w:rsid w:val="31077AEF"/>
    <w:rsid w:val="310F016D"/>
    <w:rsid w:val="31116156"/>
    <w:rsid w:val="31144954"/>
    <w:rsid w:val="312A6159"/>
    <w:rsid w:val="313516BD"/>
    <w:rsid w:val="3137014A"/>
    <w:rsid w:val="313E6147"/>
    <w:rsid w:val="31480833"/>
    <w:rsid w:val="314C03A8"/>
    <w:rsid w:val="3165602B"/>
    <w:rsid w:val="31692558"/>
    <w:rsid w:val="317B3C57"/>
    <w:rsid w:val="31886AE6"/>
    <w:rsid w:val="3193152F"/>
    <w:rsid w:val="31933523"/>
    <w:rsid w:val="319B6F3C"/>
    <w:rsid w:val="31A0241D"/>
    <w:rsid w:val="31A041CB"/>
    <w:rsid w:val="31AA6DF8"/>
    <w:rsid w:val="31AD68E8"/>
    <w:rsid w:val="31B53264"/>
    <w:rsid w:val="31C374B6"/>
    <w:rsid w:val="31C83722"/>
    <w:rsid w:val="31D051B0"/>
    <w:rsid w:val="320D1D2B"/>
    <w:rsid w:val="3220355E"/>
    <w:rsid w:val="3224687F"/>
    <w:rsid w:val="32295A9A"/>
    <w:rsid w:val="32427031"/>
    <w:rsid w:val="325027B4"/>
    <w:rsid w:val="325425A3"/>
    <w:rsid w:val="325B33A5"/>
    <w:rsid w:val="327F2033"/>
    <w:rsid w:val="32821B23"/>
    <w:rsid w:val="328E671A"/>
    <w:rsid w:val="32C078B5"/>
    <w:rsid w:val="32D7273B"/>
    <w:rsid w:val="32D73C02"/>
    <w:rsid w:val="32D92695"/>
    <w:rsid w:val="32DF1FDC"/>
    <w:rsid w:val="32E1565B"/>
    <w:rsid w:val="32ED1692"/>
    <w:rsid w:val="32F80037"/>
    <w:rsid w:val="32F8642C"/>
    <w:rsid w:val="32FF2694"/>
    <w:rsid w:val="330164A5"/>
    <w:rsid w:val="33044C2E"/>
    <w:rsid w:val="33221444"/>
    <w:rsid w:val="33224E0C"/>
    <w:rsid w:val="332A5CC2"/>
    <w:rsid w:val="33397F29"/>
    <w:rsid w:val="333F7A14"/>
    <w:rsid w:val="334B712D"/>
    <w:rsid w:val="33615BDC"/>
    <w:rsid w:val="33673093"/>
    <w:rsid w:val="336D1D02"/>
    <w:rsid w:val="33795270"/>
    <w:rsid w:val="33814875"/>
    <w:rsid w:val="338B4A07"/>
    <w:rsid w:val="338E62A6"/>
    <w:rsid w:val="339F0930"/>
    <w:rsid w:val="33AA3E46"/>
    <w:rsid w:val="33AD2BD0"/>
    <w:rsid w:val="33E80474"/>
    <w:rsid w:val="33ED05D6"/>
    <w:rsid w:val="33FC76B3"/>
    <w:rsid w:val="34032B64"/>
    <w:rsid w:val="340A1DD0"/>
    <w:rsid w:val="34140EA1"/>
    <w:rsid w:val="341669C7"/>
    <w:rsid w:val="3429592E"/>
    <w:rsid w:val="34311A53"/>
    <w:rsid w:val="343432F1"/>
    <w:rsid w:val="34357B42"/>
    <w:rsid w:val="34491534"/>
    <w:rsid w:val="344C063B"/>
    <w:rsid w:val="345B4250"/>
    <w:rsid w:val="346A0AC1"/>
    <w:rsid w:val="346F3E3C"/>
    <w:rsid w:val="347205B7"/>
    <w:rsid w:val="347A44F8"/>
    <w:rsid w:val="347C616F"/>
    <w:rsid w:val="348236C2"/>
    <w:rsid w:val="34876187"/>
    <w:rsid w:val="34973A76"/>
    <w:rsid w:val="349B3370"/>
    <w:rsid w:val="34CF34ED"/>
    <w:rsid w:val="34D86B0F"/>
    <w:rsid w:val="34DD157F"/>
    <w:rsid w:val="34E67AAD"/>
    <w:rsid w:val="350216B8"/>
    <w:rsid w:val="352E5F92"/>
    <w:rsid w:val="3538471B"/>
    <w:rsid w:val="355439C8"/>
    <w:rsid w:val="356B2D42"/>
    <w:rsid w:val="35797502"/>
    <w:rsid w:val="359202CF"/>
    <w:rsid w:val="35977693"/>
    <w:rsid w:val="35AF3850"/>
    <w:rsid w:val="35BD3C46"/>
    <w:rsid w:val="35E13004"/>
    <w:rsid w:val="35EB79DF"/>
    <w:rsid w:val="35EC5060"/>
    <w:rsid w:val="35F1662A"/>
    <w:rsid w:val="35F20D6E"/>
    <w:rsid w:val="35F41D8E"/>
    <w:rsid w:val="35F71860"/>
    <w:rsid w:val="36057F9B"/>
    <w:rsid w:val="36107446"/>
    <w:rsid w:val="36145188"/>
    <w:rsid w:val="361667E9"/>
    <w:rsid w:val="361E6007"/>
    <w:rsid w:val="3623361D"/>
    <w:rsid w:val="362353CB"/>
    <w:rsid w:val="363E3FB3"/>
    <w:rsid w:val="364A2958"/>
    <w:rsid w:val="364D2448"/>
    <w:rsid w:val="36554AB5"/>
    <w:rsid w:val="365E6403"/>
    <w:rsid w:val="365E6FC6"/>
    <w:rsid w:val="36603F29"/>
    <w:rsid w:val="36624145"/>
    <w:rsid w:val="366F4F31"/>
    <w:rsid w:val="36857E34"/>
    <w:rsid w:val="36866EC3"/>
    <w:rsid w:val="36AD31C9"/>
    <w:rsid w:val="36AE738B"/>
    <w:rsid w:val="36CE316A"/>
    <w:rsid w:val="36CE6E0C"/>
    <w:rsid w:val="36D6068F"/>
    <w:rsid w:val="36FD5C1C"/>
    <w:rsid w:val="37086DF7"/>
    <w:rsid w:val="371D1E1A"/>
    <w:rsid w:val="37265173"/>
    <w:rsid w:val="372E4027"/>
    <w:rsid w:val="3732110B"/>
    <w:rsid w:val="373553B6"/>
    <w:rsid w:val="37475A50"/>
    <w:rsid w:val="375652A5"/>
    <w:rsid w:val="37621F23"/>
    <w:rsid w:val="376561BE"/>
    <w:rsid w:val="376C17AE"/>
    <w:rsid w:val="37700C21"/>
    <w:rsid w:val="37705D3D"/>
    <w:rsid w:val="37744D0F"/>
    <w:rsid w:val="37773C20"/>
    <w:rsid w:val="37814AE6"/>
    <w:rsid w:val="37933DB2"/>
    <w:rsid w:val="37B75A65"/>
    <w:rsid w:val="37BC7885"/>
    <w:rsid w:val="37CE2564"/>
    <w:rsid w:val="37D66F4B"/>
    <w:rsid w:val="37F039D3"/>
    <w:rsid w:val="380241E8"/>
    <w:rsid w:val="380D1E8F"/>
    <w:rsid w:val="381B5E1E"/>
    <w:rsid w:val="38207E14"/>
    <w:rsid w:val="38335AA7"/>
    <w:rsid w:val="38447445"/>
    <w:rsid w:val="384A5E98"/>
    <w:rsid w:val="384F06F9"/>
    <w:rsid w:val="385365A5"/>
    <w:rsid w:val="387168C2"/>
    <w:rsid w:val="3873693A"/>
    <w:rsid w:val="387A58E0"/>
    <w:rsid w:val="38814E3A"/>
    <w:rsid w:val="388C54AA"/>
    <w:rsid w:val="38923B67"/>
    <w:rsid w:val="38980E69"/>
    <w:rsid w:val="38B3030B"/>
    <w:rsid w:val="38BA4145"/>
    <w:rsid w:val="38C614CB"/>
    <w:rsid w:val="38CA5458"/>
    <w:rsid w:val="38D9275D"/>
    <w:rsid w:val="38DB3D3B"/>
    <w:rsid w:val="38DD5D05"/>
    <w:rsid w:val="38DE493C"/>
    <w:rsid w:val="38DF280E"/>
    <w:rsid w:val="38E75D8E"/>
    <w:rsid w:val="38F1355F"/>
    <w:rsid w:val="38F71526"/>
    <w:rsid w:val="390428E4"/>
    <w:rsid w:val="391D3F7D"/>
    <w:rsid w:val="391D415F"/>
    <w:rsid w:val="391D4354"/>
    <w:rsid w:val="39205BF2"/>
    <w:rsid w:val="392121A5"/>
    <w:rsid w:val="39230C69"/>
    <w:rsid w:val="39344543"/>
    <w:rsid w:val="393605C7"/>
    <w:rsid w:val="39375143"/>
    <w:rsid w:val="394B2CA4"/>
    <w:rsid w:val="397A17A6"/>
    <w:rsid w:val="397F6DBC"/>
    <w:rsid w:val="398059C5"/>
    <w:rsid w:val="398236E5"/>
    <w:rsid w:val="39900FC9"/>
    <w:rsid w:val="39912518"/>
    <w:rsid w:val="39A36FB3"/>
    <w:rsid w:val="39B4636A"/>
    <w:rsid w:val="39B7532B"/>
    <w:rsid w:val="39B817BA"/>
    <w:rsid w:val="39C72511"/>
    <w:rsid w:val="39C867B7"/>
    <w:rsid w:val="39D94BEF"/>
    <w:rsid w:val="39E62997"/>
    <w:rsid w:val="39F727BE"/>
    <w:rsid w:val="3A0102E0"/>
    <w:rsid w:val="3A052BD8"/>
    <w:rsid w:val="3A124FA3"/>
    <w:rsid w:val="3A2445FF"/>
    <w:rsid w:val="3A286C16"/>
    <w:rsid w:val="3A4D1669"/>
    <w:rsid w:val="3A593A6E"/>
    <w:rsid w:val="3A8B463E"/>
    <w:rsid w:val="3A970136"/>
    <w:rsid w:val="3A9B1BBB"/>
    <w:rsid w:val="3AA52853"/>
    <w:rsid w:val="3AB52498"/>
    <w:rsid w:val="3AC543E6"/>
    <w:rsid w:val="3ACB0F9E"/>
    <w:rsid w:val="3AE42A27"/>
    <w:rsid w:val="3AE761B6"/>
    <w:rsid w:val="3AEA7B09"/>
    <w:rsid w:val="3AF17846"/>
    <w:rsid w:val="3AF235BE"/>
    <w:rsid w:val="3AF70BD4"/>
    <w:rsid w:val="3AF9494C"/>
    <w:rsid w:val="3AFD5C34"/>
    <w:rsid w:val="3B021A53"/>
    <w:rsid w:val="3B057795"/>
    <w:rsid w:val="3B0D0CA4"/>
    <w:rsid w:val="3B163750"/>
    <w:rsid w:val="3B265244"/>
    <w:rsid w:val="3B2F036E"/>
    <w:rsid w:val="3B3332F4"/>
    <w:rsid w:val="3B62588A"/>
    <w:rsid w:val="3B74225D"/>
    <w:rsid w:val="3B7A783B"/>
    <w:rsid w:val="3B8763FC"/>
    <w:rsid w:val="3B894744"/>
    <w:rsid w:val="3B94030F"/>
    <w:rsid w:val="3B9A7EDD"/>
    <w:rsid w:val="3B9F3746"/>
    <w:rsid w:val="3BA63ABA"/>
    <w:rsid w:val="3BD12B8F"/>
    <w:rsid w:val="3BF05D4F"/>
    <w:rsid w:val="3BF5780A"/>
    <w:rsid w:val="3BF85CB6"/>
    <w:rsid w:val="3C11070A"/>
    <w:rsid w:val="3C17152E"/>
    <w:rsid w:val="3C1934F8"/>
    <w:rsid w:val="3C1B66FB"/>
    <w:rsid w:val="3C1E47AE"/>
    <w:rsid w:val="3C1F4887"/>
    <w:rsid w:val="3C2974B3"/>
    <w:rsid w:val="3C2B6315"/>
    <w:rsid w:val="3C2C6F2F"/>
    <w:rsid w:val="3C362D74"/>
    <w:rsid w:val="3C395948"/>
    <w:rsid w:val="3C4079C2"/>
    <w:rsid w:val="3C4C0245"/>
    <w:rsid w:val="3C595532"/>
    <w:rsid w:val="3C597DBD"/>
    <w:rsid w:val="3C5C1637"/>
    <w:rsid w:val="3C5D41C3"/>
    <w:rsid w:val="3C623EED"/>
    <w:rsid w:val="3C7256D1"/>
    <w:rsid w:val="3C7E77FF"/>
    <w:rsid w:val="3C8263E5"/>
    <w:rsid w:val="3C9B3DA4"/>
    <w:rsid w:val="3CB74ABF"/>
    <w:rsid w:val="3CD64DC8"/>
    <w:rsid w:val="3CE0657B"/>
    <w:rsid w:val="3CE11C47"/>
    <w:rsid w:val="3CE8467D"/>
    <w:rsid w:val="3CEB6517"/>
    <w:rsid w:val="3CEC1EE9"/>
    <w:rsid w:val="3D1808FE"/>
    <w:rsid w:val="3D235CB1"/>
    <w:rsid w:val="3D4307CD"/>
    <w:rsid w:val="3D5A63BA"/>
    <w:rsid w:val="3D5E4F3B"/>
    <w:rsid w:val="3D646C74"/>
    <w:rsid w:val="3D695DB9"/>
    <w:rsid w:val="3D714C6E"/>
    <w:rsid w:val="3D734E8A"/>
    <w:rsid w:val="3D88127A"/>
    <w:rsid w:val="3D89020A"/>
    <w:rsid w:val="3D8C1AA8"/>
    <w:rsid w:val="3D9265B6"/>
    <w:rsid w:val="3D960B78"/>
    <w:rsid w:val="3D9B6CCC"/>
    <w:rsid w:val="3D9D399A"/>
    <w:rsid w:val="3DA07301"/>
    <w:rsid w:val="3DA46D54"/>
    <w:rsid w:val="3DB65DBB"/>
    <w:rsid w:val="3DBA2957"/>
    <w:rsid w:val="3DEE031B"/>
    <w:rsid w:val="3DF77869"/>
    <w:rsid w:val="3E047890"/>
    <w:rsid w:val="3E067AAC"/>
    <w:rsid w:val="3E1A3557"/>
    <w:rsid w:val="3E2717D1"/>
    <w:rsid w:val="3E30329A"/>
    <w:rsid w:val="3E3A5C31"/>
    <w:rsid w:val="3E5A3954"/>
    <w:rsid w:val="3E6B790F"/>
    <w:rsid w:val="3E76169E"/>
    <w:rsid w:val="3E8A38A3"/>
    <w:rsid w:val="3E8D1F7B"/>
    <w:rsid w:val="3E9760F9"/>
    <w:rsid w:val="3E9F1660"/>
    <w:rsid w:val="3EA352FB"/>
    <w:rsid w:val="3EBD7937"/>
    <w:rsid w:val="3ED15FEF"/>
    <w:rsid w:val="3ED607E5"/>
    <w:rsid w:val="3EE85404"/>
    <w:rsid w:val="3EFD2AC1"/>
    <w:rsid w:val="3F0E3630"/>
    <w:rsid w:val="3F1461F9"/>
    <w:rsid w:val="3F1E4982"/>
    <w:rsid w:val="3F214472"/>
    <w:rsid w:val="3F2D2E17"/>
    <w:rsid w:val="3F3A06BE"/>
    <w:rsid w:val="3F473521"/>
    <w:rsid w:val="3F485EA2"/>
    <w:rsid w:val="3F4C4E28"/>
    <w:rsid w:val="3F4D5267"/>
    <w:rsid w:val="3F56236D"/>
    <w:rsid w:val="3F584337"/>
    <w:rsid w:val="3F5B7984"/>
    <w:rsid w:val="3F5E17ED"/>
    <w:rsid w:val="3F626F64"/>
    <w:rsid w:val="3F663C97"/>
    <w:rsid w:val="3F692E37"/>
    <w:rsid w:val="3F6E3B5B"/>
    <w:rsid w:val="3F701AFB"/>
    <w:rsid w:val="3F762A0F"/>
    <w:rsid w:val="3F88629F"/>
    <w:rsid w:val="3F9D5862"/>
    <w:rsid w:val="3FAB6ABD"/>
    <w:rsid w:val="3FEB5E51"/>
    <w:rsid w:val="3FED3067"/>
    <w:rsid w:val="3FF94573"/>
    <w:rsid w:val="402528F6"/>
    <w:rsid w:val="40454F35"/>
    <w:rsid w:val="40464190"/>
    <w:rsid w:val="405E7ED6"/>
    <w:rsid w:val="40616057"/>
    <w:rsid w:val="406F1B68"/>
    <w:rsid w:val="40711D24"/>
    <w:rsid w:val="4077259B"/>
    <w:rsid w:val="40865519"/>
    <w:rsid w:val="40896772"/>
    <w:rsid w:val="40994C08"/>
    <w:rsid w:val="409C0254"/>
    <w:rsid w:val="40BA64E5"/>
    <w:rsid w:val="40CA10E4"/>
    <w:rsid w:val="40D5220D"/>
    <w:rsid w:val="40DC1EC9"/>
    <w:rsid w:val="40E06347"/>
    <w:rsid w:val="40E85247"/>
    <w:rsid w:val="40F63E08"/>
    <w:rsid w:val="412A7EFF"/>
    <w:rsid w:val="41326E0A"/>
    <w:rsid w:val="41362456"/>
    <w:rsid w:val="414D59F2"/>
    <w:rsid w:val="414F24E9"/>
    <w:rsid w:val="415F1E95"/>
    <w:rsid w:val="41604B57"/>
    <w:rsid w:val="418C0847"/>
    <w:rsid w:val="41943621"/>
    <w:rsid w:val="419812C6"/>
    <w:rsid w:val="41994793"/>
    <w:rsid w:val="41A2075D"/>
    <w:rsid w:val="41A575DC"/>
    <w:rsid w:val="41A749D8"/>
    <w:rsid w:val="41B61D1E"/>
    <w:rsid w:val="41B8730F"/>
    <w:rsid w:val="41C45CB4"/>
    <w:rsid w:val="41CF1CE4"/>
    <w:rsid w:val="41DF2AEE"/>
    <w:rsid w:val="41E2438C"/>
    <w:rsid w:val="41F31303"/>
    <w:rsid w:val="41FD11C6"/>
    <w:rsid w:val="420140A7"/>
    <w:rsid w:val="42026F12"/>
    <w:rsid w:val="42075BA1"/>
    <w:rsid w:val="420C765B"/>
    <w:rsid w:val="42103CF6"/>
    <w:rsid w:val="4218760A"/>
    <w:rsid w:val="42215201"/>
    <w:rsid w:val="42247764"/>
    <w:rsid w:val="422B3E99"/>
    <w:rsid w:val="426C3C04"/>
    <w:rsid w:val="427F1BDB"/>
    <w:rsid w:val="42855497"/>
    <w:rsid w:val="428C62AE"/>
    <w:rsid w:val="42903DE8"/>
    <w:rsid w:val="42927B60"/>
    <w:rsid w:val="42A11B51"/>
    <w:rsid w:val="42A86DAB"/>
    <w:rsid w:val="42B240B2"/>
    <w:rsid w:val="42B32777"/>
    <w:rsid w:val="42CC2D9D"/>
    <w:rsid w:val="42D1549D"/>
    <w:rsid w:val="42D40179"/>
    <w:rsid w:val="42D41E73"/>
    <w:rsid w:val="42DA3CF7"/>
    <w:rsid w:val="42DC702D"/>
    <w:rsid w:val="42E2191B"/>
    <w:rsid w:val="42F00A91"/>
    <w:rsid w:val="42FE51F6"/>
    <w:rsid w:val="430F689F"/>
    <w:rsid w:val="43101594"/>
    <w:rsid w:val="431540B7"/>
    <w:rsid w:val="431D5855"/>
    <w:rsid w:val="432A68F0"/>
    <w:rsid w:val="43413334"/>
    <w:rsid w:val="436B14C6"/>
    <w:rsid w:val="43963680"/>
    <w:rsid w:val="43A318F9"/>
    <w:rsid w:val="43A91D93"/>
    <w:rsid w:val="43BD0C0D"/>
    <w:rsid w:val="43DD3776"/>
    <w:rsid w:val="43E77A38"/>
    <w:rsid w:val="43ED543E"/>
    <w:rsid w:val="43EE45CF"/>
    <w:rsid w:val="43F65E72"/>
    <w:rsid w:val="43F81C45"/>
    <w:rsid w:val="44022AC4"/>
    <w:rsid w:val="440C56F0"/>
    <w:rsid w:val="44134488"/>
    <w:rsid w:val="4416656F"/>
    <w:rsid w:val="441C1C24"/>
    <w:rsid w:val="44210142"/>
    <w:rsid w:val="442E4185"/>
    <w:rsid w:val="44310014"/>
    <w:rsid w:val="44352D66"/>
    <w:rsid w:val="44464A80"/>
    <w:rsid w:val="444C672F"/>
    <w:rsid w:val="444E5D09"/>
    <w:rsid w:val="44540812"/>
    <w:rsid w:val="448376C0"/>
    <w:rsid w:val="4497145E"/>
    <w:rsid w:val="44B32010"/>
    <w:rsid w:val="44CF75B8"/>
    <w:rsid w:val="44D71DCB"/>
    <w:rsid w:val="44E126D9"/>
    <w:rsid w:val="44E328F5"/>
    <w:rsid w:val="45010AB8"/>
    <w:rsid w:val="450E5498"/>
    <w:rsid w:val="451167EB"/>
    <w:rsid w:val="45193CED"/>
    <w:rsid w:val="45376555"/>
    <w:rsid w:val="45447DAE"/>
    <w:rsid w:val="454C3631"/>
    <w:rsid w:val="45575091"/>
    <w:rsid w:val="455B77A0"/>
    <w:rsid w:val="455C1426"/>
    <w:rsid w:val="455F7AA2"/>
    <w:rsid w:val="4561639F"/>
    <w:rsid w:val="457D426B"/>
    <w:rsid w:val="458D0AB3"/>
    <w:rsid w:val="4593741F"/>
    <w:rsid w:val="459B28F4"/>
    <w:rsid w:val="45A95F05"/>
    <w:rsid w:val="45AF68D7"/>
    <w:rsid w:val="45C13EB6"/>
    <w:rsid w:val="45D7246D"/>
    <w:rsid w:val="45DA0B80"/>
    <w:rsid w:val="45E00BE3"/>
    <w:rsid w:val="45E87A97"/>
    <w:rsid w:val="45F13421"/>
    <w:rsid w:val="45F3117D"/>
    <w:rsid w:val="45FA7BF8"/>
    <w:rsid w:val="46024FFD"/>
    <w:rsid w:val="46146ADE"/>
    <w:rsid w:val="46224D46"/>
    <w:rsid w:val="46236D21"/>
    <w:rsid w:val="46380A1F"/>
    <w:rsid w:val="463F1DAD"/>
    <w:rsid w:val="465810C1"/>
    <w:rsid w:val="466B0DF4"/>
    <w:rsid w:val="467557CF"/>
    <w:rsid w:val="46794B93"/>
    <w:rsid w:val="46863764"/>
    <w:rsid w:val="468637BD"/>
    <w:rsid w:val="468772B0"/>
    <w:rsid w:val="46935EE4"/>
    <w:rsid w:val="469C3FEF"/>
    <w:rsid w:val="46A30218"/>
    <w:rsid w:val="46B06807"/>
    <w:rsid w:val="46B134CF"/>
    <w:rsid w:val="46B2770F"/>
    <w:rsid w:val="46B362F7"/>
    <w:rsid w:val="46B53706"/>
    <w:rsid w:val="46C202E8"/>
    <w:rsid w:val="46CE1383"/>
    <w:rsid w:val="46D130BD"/>
    <w:rsid w:val="46D130CC"/>
    <w:rsid w:val="46F04E55"/>
    <w:rsid w:val="46FC2CCE"/>
    <w:rsid w:val="46FC7C9E"/>
    <w:rsid w:val="47103A73"/>
    <w:rsid w:val="47154007"/>
    <w:rsid w:val="471C5C4A"/>
    <w:rsid w:val="472D7E58"/>
    <w:rsid w:val="47392CA0"/>
    <w:rsid w:val="474C0428"/>
    <w:rsid w:val="47520125"/>
    <w:rsid w:val="47543636"/>
    <w:rsid w:val="475C24EB"/>
    <w:rsid w:val="477261B2"/>
    <w:rsid w:val="477B0568"/>
    <w:rsid w:val="47A619B8"/>
    <w:rsid w:val="47B02837"/>
    <w:rsid w:val="47B2035D"/>
    <w:rsid w:val="47B73BC5"/>
    <w:rsid w:val="47BB1907"/>
    <w:rsid w:val="47CB0D34"/>
    <w:rsid w:val="47E42AF1"/>
    <w:rsid w:val="47E56984"/>
    <w:rsid w:val="47E65384"/>
    <w:rsid w:val="47F00E85"/>
    <w:rsid w:val="48036E0A"/>
    <w:rsid w:val="481608EC"/>
    <w:rsid w:val="481A2214"/>
    <w:rsid w:val="481A666F"/>
    <w:rsid w:val="481B3CA1"/>
    <w:rsid w:val="483E7E42"/>
    <w:rsid w:val="484250E1"/>
    <w:rsid w:val="484D4314"/>
    <w:rsid w:val="48645AFB"/>
    <w:rsid w:val="48684DC2"/>
    <w:rsid w:val="48870262"/>
    <w:rsid w:val="488C2652"/>
    <w:rsid w:val="489E07C7"/>
    <w:rsid w:val="48AB491D"/>
    <w:rsid w:val="48B3438D"/>
    <w:rsid w:val="48BF797B"/>
    <w:rsid w:val="48DE5EB1"/>
    <w:rsid w:val="48E94252"/>
    <w:rsid w:val="48F86677"/>
    <w:rsid w:val="48FD1AAC"/>
    <w:rsid w:val="490966A2"/>
    <w:rsid w:val="49197859"/>
    <w:rsid w:val="491B68B9"/>
    <w:rsid w:val="49271F07"/>
    <w:rsid w:val="493A5072"/>
    <w:rsid w:val="494E51AB"/>
    <w:rsid w:val="49521DF7"/>
    <w:rsid w:val="49656121"/>
    <w:rsid w:val="496E4757"/>
    <w:rsid w:val="4987458E"/>
    <w:rsid w:val="49922502"/>
    <w:rsid w:val="49A904FA"/>
    <w:rsid w:val="49B91E77"/>
    <w:rsid w:val="49BF4FB3"/>
    <w:rsid w:val="49C12AD9"/>
    <w:rsid w:val="49CC7DFC"/>
    <w:rsid w:val="49DB17A5"/>
    <w:rsid w:val="49EF7646"/>
    <w:rsid w:val="49F66C27"/>
    <w:rsid w:val="4A073DC4"/>
    <w:rsid w:val="4A4534F8"/>
    <w:rsid w:val="4A4F70CD"/>
    <w:rsid w:val="4A5A08C7"/>
    <w:rsid w:val="4A6948D1"/>
    <w:rsid w:val="4A6E2C61"/>
    <w:rsid w:val="4A7626C7"/>
    <w:rsid w:val="4A7A7858"/>
    <w:rsid w:val="4A9C6136"/>
    <w:rsid w:val="4AA13C22"/>
    <w:rsid w:val="4AC772E5"/>
    <w:rsid w:val="4ADF76BB"/>
    <w:rsid w:val="4AE051E1"/>
    <w:rsid w:val="4AF3440D"/>
    <w:rsid w:val="4AF74789"/>
    <w:rsid w:val="4B1748F1"/>
    <w:rsid w:val="4B174FA3"/>
    <w:rsid w:val="4B217CD3"/>
    <w:rsid w:val="4B271062"/>
    <w:rsid w:val="4B413ED2"/>
    <w:rsid w:val="4B46773A"/>
    <w:rsid w:val="4B626DA5"/>
    <w:rsid w:val="4B712AD3"/>
    <w:rsid w:val="4B8C3A5E"/>
    <w:rsid w:val="4B9376AB"/>
    <w:rsid w:val="4B977F95"/>
    <w:rsid w:val="4BA70210"/>
    <w:rsid w:val="4BA95F1B"/>
    <w:rsid w:val="4BB70638"/>
    <w:rsid w:val="4BB73B85"/>
    <w:rsid w:val="4BC34C93"/>
    <w:rsid w:val="4BF74ED8"/>
    <w:rsid w:val="4BFB6FBE"/>
    <w:rsid w:val="4BFF4E42"/>
    <w:rsid w:val="4C0B44E0"/>
    <w:rsid w:val="4C135861"/>
    <w:rsid w:val="4C1635B0"/>
    <w:rsid w:val="4C1C66ED"/>
    <w:rsid w:val="4C267D14"/>
    <w:rsid w:val="4C382EC4"/>
    <w:rsid w:val="4C3C28EB"/>
    <w:rsid w:val="4C43733C"/>
    <w:rsid w:val="4C4C0789"/>
    <w:rsid w:val="4C5F7AAF"/>
    <w:rsid w:val="4C675BBA"/>
    <w:rsid w:val="4C687B84"/>
    <w:rsid w:val="4C73415B"/>
    <w:rsid w:val="4C782571"/>
    <w:rsid w:val="4C83051A"/>
    <w:rsid w:val="4C8A7AFA"/>
    <w:rsid w:val="4CA93F8C"/>
    <w:rsid w:val="4CAF7775"/>
    <w:rsid w:val="4CC04FF6"/>
    <w:rsid w:val="4CD43AE5"/>
    <w:rsid w:val="4CD566AA"/>
    <w:rsid w:val="4D084563"/>
    <w:rsid w:val="4D292E6F"/>
    <w:rsid w:val="4D2D1E46"/>
    <w:rsid w:val="4D355CB8"/>
    <w:rsid w:val="4D387DAC"/>
    <w:rsid w:val="4D3A1520"/>
    <w:rsid w:val="4D3B0DF4"/>
    <w:rsid w:val="4D810EFD"/>
    <w:rsid w:val="4D88228C"/>
    <w:rsid w:val="4D906F26"/>
    <w:rsid w:val="4DAB41CC"/>
    <w:rsid w:val="4DAE5A6A"/>
    <w:rsid w:val="4DB47DBF"/>
    <w:rsid w:val="4DBD5597"/>
    <w:rsid w:val="4DC34779"/>
    <w:rsid w:val="4DCE7F49"/>
    <w:rsid w:val="4DCF7EBB"/>
    <w:rsid w:val="4DE17BEE"/>
    <w:rsid w:val="4DEF3563"/>
    <w:rsid w:val="4DF27705"/>
    <w:rsid w:val="4DF6443C"/>
    <w:rsid w:val="4E023BB8"/>
    <w:rsid w:val="4E0458D0"/>
    <w:rsid w:val="4E200716"/>
    <w:rsid w:val="4E232AB0"/>
    <w:rsid w:val="4E2A6B67"/>
    <w:rsid w:val="4E2B0351"/>
    <w:rsid w:val="4E2F2707"/>
    <w:rsid w:val="4E313794"/>
    <w:rsid w:val="4E326364"/>
    <w:rsid w:val="4E3C6544"/>
    <w:rsid w:val="4E4B55DF"/>
    <w:rsid w:val="4E5056C3"/>
    <w:rsid w:val="4E6472B8"/>
    <w:rsid w:val="4E653EC5"/>
    <w:rsid w:val="4E6E55FB"/>
    <w:rsid w:val="4E74636C"/>
    <w:rsid w:val="4E817347"/>
    <w:rsid w:val="4E891F8F"/>
    <w:rsid w:val="4E8C5DAC"/>
    <w:rsid w:val="4E8F764A"/>
    <w:rsid w:val="4E964534"/>
    <w:rsid w:val="4E9A706A"/>
    <w:rsid w:val="4E9F71E3"/>
    <w:rsid w:val="4EAD4CEB"/>
    <w:rsid w:val="4ECB6950"/>
    <w:rsid w:val="4ED05258"/>
    <w:rsid w:val="4ED41501"/>
    <w:rsid w:val="4EEA1080"/>
    <w:rsid w:val="4EF120B3"/>
    <w:rsid w:val="4F046B2F"/>
    <w:rsid w:val="4F05790C"/>
    <w:rsid w:val="4F0C0C9A"/>
    <w:rsid w:val="4F0E056F"/>
    <w:rsid w:val="4F2316E5"/>
    <w:rsid w:val="4F260B04"/>
    <w:rsid w:val="4F2E29BF"/>
    <w:rsid w:val="4F383697"/>
    <w:rsid w:val="4F532425"/>
    <w:rsid w:val="4F5543EF"/>
    <w:rsid w:val="4F59151E"/>
    <w:rsid w:val="4F5E1BF2"/>
    <w:rsid w:val="4F624D5E"/>
    <w:rsid w:val="4F9842DC"/>
    <w:rsid w:val="4FAE1D52"/>
    <w:rsid w:val="4FCC413C"/>
    <w:rsid w:val="4FCE0841"/>
    <w:rsid w:val="4FCE7CFE"/>
    <w:rsid w:val="4FD313CD"/>
    <w:rsid w:val="4FD355AF"/>
    <w:rsid w:val="4FD92DB7"/>
    <w:rsid w:val="4FDD3A7F"/>
    <w:rsid w:val="4FFA4FF5"/>
    <w:rsid w:val="4FFD2FB1"/>
    <w:rsid w:val="50055E16"/>
    <w:rsid w:val="500951DA"/>
    <w:rsid w:val="500A60BD"/>
    <w:rsid w:val="50175B49"/>
    <w:rsid w:val="50324731"/>
    <w:rsid w:val="503E4E84"/>
    <w:rsid w:val="5041514D"/>
    <w:rsid w:val="50564B41"/>
    <w:rsid w:val="505D565F"/>
    <w:rsid w:val="5060129E"/>
    <w:rsid w:val="50646B95"/>
    <w:rsid w:val="506B206A"/>
    <w:rsid w:val="50744D49"/>
    <w:rsid w:val="50746AF7"/>
    <w:rsid w:val="508257A8"/>
    <w:rsid w:val="5086682B"/>
    <w:rsid w:val="50A9508C"/>
    <w:rsid w:val="50AA2519"/>
    <w:rsid w:val="50B86DB8"/>
    <w:rsid w:val="50C66C58"/>
    <w:rsid w:val="50D66D27"/>
    <w:rsid w:val="50D94BAC"/>
    <w:rsid w:val="50DC644B"/>
    <w:rsid w:val="50E66F8B"/>
    <w:rsid w:val="50EC4324"/>
    <w:rsid w:val="50FD7B81"/>
    <w:rsid w:val="510A3C2F"/>
    <w:rsid w:val="511D4DBE"/>
    <w:rsid w:val="511F776F"/>
    <w:rsid w:val="513242BC"/>
    <w:rsid w:val="513A35F1"/>
    <w:rsid w:val="51404C2B"/>
    <w:rsid w:val="51420539"/>
    <w:rsid w:val="5152726F"/>
    <w:rsid w:val="51606F67"/>
    <w:rsid w:val="51631477"/>
    <w:rsid w:val="517F254E"/>
    <w:rsid w:val="51890380"/>
    <w:rsid w:val="51891DFE"/>
    <w:rsid w:val="518F43E7"/>
    <w:rsid w:val="5191310E"/>
    <w:rsid w:val="519311FF"/>
    <w:rsid w:val="51985C65"/>
    <w:rsid w:val="519D5BDA"/>
    <w:rsid w:val="51A86BCC"/>
    <w:rsid w:val="51A86C4A"/>
    <w:rsid w:val="51BD7840"/>
    <w:rsid w:val="51C05345"/>
    <w:rsid w:val="51C76345"/>
    <w:rsid w:val="51CD1C66"/>
    <w:rsid w:val="51D27F79"/>
    <w:rsid w:val="51DC15CB"/>
    <w:rsid w:val="51E113EE"/>
    <w:rsid w:val="51E14DAF"/>
    <w:rsid w:val="51F223CA"/>
    <w:rsid w:val="5208399B"/>
    <w:rsid w:val="520A3C3A"/>
    <w:rsid w:val="5226253D"/>
    <w:rsid w:val="52327D1E"/>
    <w:rsid w:val="5241099C"/>
    <w:rsid w:val="524D5852"/>
    <w:rsid w:val="525A1D1D"/>
    <w:rsid w:val="525D3232"/>
    <w:rsid w:val="525E35BB"/>
    <w:rsid w:val="52677F6F"/>
    <w:rsid w:val="5271732B"/>
    <w:rsid w:val="527419EE"/>
    <w:rsid w:val="52830427"/>
    <w:rsid w:val="528D6C21"/>
    <w:rsid w:val="529A7E78"/>
    <w:rsid w:val="52AB4326"/>
    <w:rsid w:val="52BC020C"/>
    <w:rsid w:val="52C673B2"/>
    <w:rsid w:val="52DD7B03"/>
    <w:rsid w:val="52E53CDC"/>
    <w:rsid w:val="52F061DD"/>
    <w:rsid w:val="52F45CCD"/>
    <w:rsid w:val="52F67C97"/>
    <w:rsid w:val="52F826CA"/>
    <w:rsid w:val="52FC2DD4"/>
    <w:rsid w:val="52FE4D9E"/>
    <w:rsid w:val="53111FDA"/>
    <w:rsid w:val="531D5224"/>
    <w:rsid w:val="53256C2F"/>
    <w:rsid w:val="53360094"/>
    <w:rsid w:val="533D58C6"/>
    <w:rsid w:val="53440C72"/>
    <w:rsid w:val="534719E1"/>
    <w:rsid w:val="534B0781"/>
    <w:rsid w:val="53654E1D"/>
    <w:rsid w:val="538A6632"/>
    <w:rsid w:val="539546D7"/>
    <w:rsid w:val="53986FA1"/>
    <w:rsid w:val="53A02C20"/>
    <w:rsid w:val="53A616BE"/>
    <w:rsid w:val="53B10062"/>
    <w:rsid w:val="53B33FCE"/>
    <w:rsid w:val="53E21FCA"/>
    <w:rsid w:val="53E323BE"/>
    <w:rsid w:val="53E974CC"/>
    <w:rsid w:val="53EB70D0"/>
    <w:rsid w:val="53F61F3F"/>
    <w:rsid w:val="5406215C"/>
    <w:rsid w:val="540B7773"/>
    <w:rsid w:val="54146568"/>
    <w:rsid w:val="541B2FD4"/>
    <w:rsid w:val="54523610"/>
    <w:rsid w:val="545729B8"/>
    <w:rsid w:val="545853DC"/>
    <w:rsid w:val="54624EB9"/>
    <w:rsid w:val="546F2378"/>
    <w:rsid w:val="546F5544"/>
    <w:rsid w:val="547846DC"/>
    <w:rsid w:val="547B03D3"/>
    <w:rsid w:val="547F1F0F"/>
    <w:rsid w:val="54843081"/>
    <w:rsid w:val="54905ECA"/>
    <w:rsid w:val="5492305F"/>
    <w:rsid w:val="54947768"/>
    <w:rsid w:val="54C739A5"/>
    <w:rsid w:val="54E16725"/>
    <w:rsid w:val="54E65AEA"/>
    <w:rsid w:val="54EA55DA"/>
    <w:rsid w:val="54EB1352"/>
    <w:rsid w:val="54F27090"/>
    <w:rsid w:val="54FB786E"/>
    <w:rsid w:val="550744A5"/>
    <w:rsid w:val="550A222F"/>
    <w:rsid w:val="551663CF"/>
    <w:rsid w:val="55190780"/>
    <w:rsid w:val="55200FFC"/>
    <w:rsid w:val="552D0279"/>
    <w:rsid w:val="55456CB4"/>
    <w:rsid w:val="554B19F5"/>
    <w:rsid w:val="554D7917"/>
    <w:rsid w:val="555E7D76"/>
    <w:rsid w:val="5560589C"/>
    <w:rsid w:val="5563494C"/>
    <w:rsid w:val="55796440"/>
    <w:rsid w:val="55822DAE"/>
    <w:rsid w:val="55895335"/>
    <w:rsid w:val="558C7A4D"/>
    <w:rsid w:val="558D221A"/>
    <w:rsid w:val="558F2E36"/>
    <w:rsid w:val="55A0038E"/>
    <w:rsid w:val="55AB0D07"/>
    <w:rsid w:val="55B81234"/>
    <w:rsid w:val="55BC4DD7"/>
    <w:rsid w:val="55C71477"/>
    <w:rsid w:val="55DC7658"/>
    <w:rsid w:val="55E24503"/>
    <w:rsid w:val="55E82366"/>
    <w:rsid w:val="55FB55C5"/>
    <w:rsid w:val="56014B81"/>
    <w:rsid w:val="56114DE8"/>
    <w:rsid w:val="561641AD"/>
    <w:rsid w:val="561D19DF"/>
    <w:rsid w:val="565D002E"/>
    <w:rsid w:val="565F5B54"/>
    <w:rsid w:val="566724AF"/>
    <w:rsid w:val="56680EAC"/>
    <w:rsid w:val="567E247E"/>
    <w:rsid w:val="56A766A0"/>
    <w:rsid w:val="56A82E53"/>
    <w:rsid w:val="56A87127"/>
    <w:rsid w:val="56B94E26"/>
    <w:rsid w:val="56BC0C64"/>
    <w:rsid w:val="56BF52DA"/>
    <w:rsid w:val="56BF65F2"/>
    <w:rsid w:val="56C836F9"/>
    <w:rsid w:val="56CA49B1"/>
    <w:rsid w:val="56D914CD"/>
    <w:rsid w:val="56E524FD"/>
    <w:rsid w:val="56FD40EB"/>
    <w:rsid w:val="57120E18"/>
    <w:rsid w:val="57263C7F"/>
    <w:rsid w:val="572A4C26"/>
    <w:rsid w:val="572F79C6"/>
    <w:rsid w:val="57362D58"/>
    <w:rsid w:val="573E358E"/>
    <w:rsid w:val="574D7CCE"/>
    <w:rsid w:val="575419A4"/>
    <w:rsid w:val="5755438D"/>
    <w:rsid w:val="57560D05"/>
    <w:rsid w:val="57672F12"/>
    <w:rsid w:val="577949F3"/>
    <w:rsid w:val="57816EED"/>
    <w:rsid w:val="57855BEF"/>
    <w:rsid w:val="578B4C0A"/>
    <w:rsid w:val="57975015"/>
    <w:rsid w:val="57AA1051"/>
    <w:rsid w:val="57B36157"/>
    <w:rsid w:val="57B65C47"/>
    <w:rsid w:val="57C15E41"/>
    <w:rsid w:val="57C33EC0"/>
    <w:rsid w:val="57C52D30"/>
    <w:rsid w:val="580E6203"/>
    <w:rsid w:val="582708F3"/>
    <w:rsid w:val="58274FEF"/>
    <w:rsid w:val="582D5FA4"/>
    <w:rsid w:val="582F1E77"/>
    <w:rsid w:val="5832484A"/>
    <w:rsid w:val="584A04AF"/>
    <w:rsid w:val="585039A6"/>
    <w:rsid w:val="58517DB8"/>
    <w:rsid w:val="585A2A77"/>
    <w:rsid w:val="585C1720"/>
    <w:rsid w:val="585D60C3"/>
    <w:rsid w:val="585E0371"/>
    <w:rsid w:val="587D1F7A"/>
    <w:rsid w:val="58CD3249"/>
    <w:rsid w:val="58DF5C1C"/>
    <w:rsid w:val="58EF3D6C"/>
    <w:rsid w:val="58EF50C6"/>
    <w:rsid w:val="58F20F01"/>
    <w:rsid w:val="59100148"/>
    <w:rsid w:val="591A3FB4"/>
    <w:rsid w:val="59330727"/>
    <w:rsid w:val="593C217C"/>
    <w:rsid w:val="593E4F53"/>
    <w:rsid w:val="595B61CB"/>
    <w:rsid w:val="595C2E2B"/>
    <w:rsid w:val="595C7C23"/>
    <w:rsid w:val="59666D27"/>
    <w:rsid w:val="596F4300"/>
    <w:rsid w:val="59701E26"/>
    <w:rsid w:val="597933D0"/>
    <w:rsid w:val="59815163"/>
    <w:rsid w:val="598A2EE8"/>
    <w:rsid w:val="598A481E"/>
    <w:rsid w:val="598A738C"/>
    <w:rsid w:val="59A815C0"/>
    <w:rsid w:val="59AD307A"/>
    <w:rsid w:val="59BE5287"/>
    <w:rsid w:val="59BE7035"/>
    <w:rsid w:val="59C034C1"/>
    <w:rsid w:val="59C16B55"/>
    <w:rsid w:val="59C208D3"/>
    <w:rsid w:val="59C6772F"/>
    <w:rsid w:val="59DD205E"/>
    <w:rsid w:val="59DE1485"/>
    <w:rsid w:val="59DE2418"/>
    <w:rsid w:val="59F111B9"/>
    <w:rsid w:val="59FB65FE"/>
    <w:rsid w:val="59FD4B7F"/>
    <w:rsid w:val="5A0B11E1"/>
    <w:rsid w:val="5A3806A7"/>
    <w:rsid w:val="5A3B6CCC"/>
    <w:rsid w:val="5A47527D"/>
    <w:rsid w:val="5A6600D3"/>
    <w:rsid w:val="5A6E45B7"/>
    <w:rsid w:val="5A6F20DD"/>
    <w:rsid w:val="5A8F48FC"/>
    <w:rsid w:val="5AA0079B"/>
    <w:rsid w:val="5AB02589"/>
    <w:rsid w:val="5ABC1175"/>
    <w:rsid w:val="5AC643F3"/>
    <w:rsid w:val="5ACD39D4"/>
    <w:rsid w:val="5ACE5056"/>
    <w:rsid w:val="5AD07020"/>
    <w:rsid w:val="5ADA1C4D"/>
    <w:rsid w:val="5AE32B59"/>
    <w:rsid w:val="5AFD593B"/>
    <w:rsid w:val="5B092532"/>
    <w:rsid w:val="5B0B44FC"/>
    <w:rsid w:val="5B145A58"/>
    <w:rsid w:val="5B161F8B"/>
    <w:rsid w:val="5B1C2D81"/>
    <w:rsid w:val="5B332698"/>
    <w:rsid w:val="5B383A66"/>
    <w:rsid w:val="5B454466"/>
    <w:rsid w:val="5B5163B3"/>
    <w:rsid w:val="5B6B5057"/>
    <w:rsid w:val="5BA54992"/>
    <w:rsid w:val="5BA81D4B"/>
    <w:rsid w:val="5BB04DF0"/>
    <w:rsid w:val="5BD82630"/>
    <w:rsid w:val="5BE80399"/>
    <w:rsid w:val="5BF154A0"/>
    <w:rsid w:val="5C0206B5"/>
    <w:rsid w:val="5C0F2DC3"/>
    <w:rsid w:val="5C245875"/>
    <w:rsid w:val="5C381321"/>
    <w:rsid w:val="5C392E41"/>
    <w:rsid w:val="5C420A59"/>
    <w:rsid w:val="5C484BDD"/>
    <w:rsid w:val="5C4C6DFE"/>
    <w:rsid w:val="5C52446F"/>
    <w:rsid w:val="5C5477DD"/>
    <w:rsid w:val="5C580DFB"/>
    <w:rsid w:val="5C637CFF"/>
    <w:rsid w:val="5C642CAF"/>
    <w:rsid w:val="5C747B79"/>
    <w:rsid w:val="5C987130"/>
    <w:rsid w:val="5CA95D7B"/>
    <w:rsid w:val="5CAF66C2"/>
    <w:rsid w:val="5CB515D3"/>
    <w:rsid w:val="5CB61659"/>
    <w:rsid w:val="5CB62831"/>
    <w:rsid w:val="5CCB5CF1"/>
    <w:rsid w:val="5CCD3D82"/>
    <w:rsid w:val="5CD526CC"/>
    <w:rsid w:val="5CDD5CC4"/>
    <w:rsid w:val="5CE943C9"/>
    <w:rsid w:val="5CFD2168"/>
    <w:rsid w:val="5D0073BE"/>
    <w:rsid w:val="5D027239"/>
    <w:rsid w:val="5D102B51"/>
    <w:rsid w:val="5D1934F3"/>
    <w:rsid w:val="5D4B5084"/>
    <w:rsid w:val="5D577585"/>
    <w:rsid w:val="5D6121B1"/>
    <w:rsid w:val="5D777C27"/>
    <w:rsid w:val="5D841A1A"/>
    <w:rsid w:val="5D852E80"/>
    <w:rsid w:val="5D8D597E"/>
    <w:rsid w:val="5D905938"/>
    <w:rsid w:val="5D9E1BA5"/>
    <w:rsid w:val="5DB449D7"/>
    <w:rsid w:val="5DD706C5"/>
    <w:rsid w:val="5DDE7CA6"/>
    <w:rsid w:val="5DEA21A7"/>
    <w:rsid w:val="5DEE4387"/>
    <w:rsid w:val="5E015742"/>
    <w:rsid w:val="5E071F55"/>
    <w:rsid w:val="5E1E62F4"/>
    <w:rsid w:val="5E1F431D"/>
    <w:rsid w:val="5E287173"/>
    <w:rsid w:val="5E323990"/>
    <w:rsid w:val="5E334E9B"/>
    <w:rsid w:val="5E371164"/>
    <w:rsid w:val="5E3873B6"/>
    <w:rsid w:val="5E40270F"/>
    <w:rsid w:val="5E47584B"/>
    <w:rsid w:val="5E4775F9"/>
    <w:rsid w:val="5E4A6FEA"/>
    <w:rsid w:val="5E5230B5"/>
    <w:rsid w:val="5E565A8E"/>
    <w:rsid w:val="5E6A778C"/>
    <w:rsid w:val="5E6B3663"/>
    <w:rsid w:val="5E784964"/>
    <w:rsid w:val="5E824AD5"/>
    <w:rsid w:val="5E9842F9"/>
    <w:rsid w:val="5E9D66EE"/>
    <w:rsid w:val="5EBE53E1"/>
    <w:rsid w:val="5EC428F3"/>
    <w:rsid w:val="5ED66209"/>
    <w:rsid w:val="5EDF4EE7"/>
    <w:rsid w:val="5EE575A7"/>
    <w:rsid w:val="5EFD263A"/>
    <w:rsid w:val="5F03474A"/>
    <w:rsid w:val="5F066C9A"/>
    <w:rsid w:val="5F1628B3"/>
    <w:rsid w:val="5F1F3B6A"/>
    <w:rsid w:val="5F2416E8"/>
    <w:rsid w:val="5F2C67EF"/>
    <w:rsid w:val="5F304531"/>
    <w:rsid w:val="5F355B06"/>
    <w:rsid w:val="5F487ACD"/>
    <w:rsid w:val="5F4E74CF"/>
    <w:rsid w:val="5F5F0972"/>
    <w:rsid w:val="5F685ADB"/>
    <w:rsid w:val="5F6F1279"/>
    <w:rsid w:val="5F7F40F4"/>
    <w:rsid w:val="5F802F11"/>
    <w:rsid w:val="5F896013"/>
    <w:rsid w:val="5F9156AE"/>
    <w:rsid w:val="5F9E593F"/>
    <w:rsid w:val="5FA32B10"/>
    <w:rsid w:val="5FAB1E0A"/>
    <w:rsid w:val="5FB41059"/>
    <w:rsid w:val="5FB512F4"/>
    <w:rsid w:val="5FBB1776"/>
    <w:rsid w:val="5FBE5F6C"/>
    <w:rsid w:val="5FC31E07"/>
    <w:rsid w:val="5FD1323B"/>
    <w:rsid w:val="5FE85258"/>
    <w:rsid w:val="5FE91C23"/>
    <w:rsid w:val="5FF81F8A"/>
    <w:rsid w:val="6001183F"/>
    <w:rsid w:val="60076477"/>
    <w:rsid w:val="60163727"/>
    <w:rsid w:val="602530D0"/>
    <w:rsid w:val="602A71D2"/>
    <w:rsid w:val="60406E4B"/>
    <w:rsid w:val="60574DD5"/>
    <w:rsid w:val="60756C2C"/>
    <w:rsid w:val="607D37A6"/>
    <w:rsid w:val="60862B47"/>
    <w:rsid w:val="6089214B"/>
    <w:rsid w:val="609A2D0B"/>
    <w:rsid w:val="60BF7F5D"/>
    <w:rsid w:val="60F95BFE"/>
    <w:rsid w:val="61120392"/>
    <w:rsid w:val="6118527D"/>
    <w:rsid w:val="611A5DAC"/>
    <w:rsid w:val="61241E74"/>
    <w:rsid w:val="61275087"/>
    <w:rsid w:val="61300818"/>
    <w:rsid w:val="616109D2"/>
    <w:rsid w:val="6166248C"/>
    <w:rsid w:val="61693D2A"/>
    <w:rsid w:val="617A7CE6"/>
    <w:rsid w:val="61811074"/>
    <w:rsid w:val="61994610"/>
    <w:rsid w:val="61997E87"/>
    <w:rsid w:val="61A00A4C"/>
    <w:rsid w:val="61A84853"/>
    <w:rsid w:val="61AB4343"/>
    <w:rsid w:val="61B74A96"/>
    <w:rsid w:val="61B76844"/>
    <w:rsid w:val="61BE5E24"/>
    <w:rsid w:val="61BF394A"/>
    <w:rsid w:val="61C45941"/>
    <w:rsid w:val="61E575C5"/>
    <w:rsid w:val="61EC1897"/>
    <w:rsid w:val="61F62C86"/>
    <w:rsid w:val="61FA72DA"/>
    <w:rsid w:val="61FC06FB"/>
    <w:rsid w:val="62261494"/>
    <w:rsid w:val="623616DF"/>
    <w:rsid w:val="623C6124"/>
    <w:rsid w:val="62622755"/>
    <w:rsid w:val="628C1A7E"/>
    <w:rsid w:val="62925BAD"/>
    <w:rsid w:val="629E5C56"/>
    <w:rsid w:val="62A0765A"/>
    <w:rsid w:val="62A768B8"/>
    <w:rsid w:val="62AE5E99"/>
    <w:rsid w:val="62B845B7"/>
    <w:rsid w:val="62DB45C2"/>
    <w:rsid w:val="62E573E1"/>
    <w:rsid w:val="62EF09FC"/>
    <w:rsid w:val="62F861C3"/>
    <w:rsid w:val="62FF4946"/>
    <w:rsid w:val="63011D6F"/>
    <w:rsid w:val="63027F93"/>
    <w:rsid w:val="63220D80"/>
    <w:rsid w:val="632B2942"/>
    <w:rsid w:val="633137E9"/>
    <w:rsid w:val="633B0109"/>
    <w:rsid w:val="63545442"/>
    <w:rsid w:val="635C3B47"/>
    <w:rsid w:val="635E4BF7"/>
    <w:rsid w:val="636D25DA"/>
    <w:rsid w:val="63735735"/>
    <w:rsid w:val="637766D3"/>
    <w:rsid w:val="63911317"/>
    <w:rsid w:val="639D0223"/>
    <w:rsid w:val="63A16C97"/>
    <w:rsid w:val="63B6421B"/>
    <w:rsid w:val="63C339A7"/>
    <w:rsid w:val="63C83D08"/>
    <w:rsid w:val="63CB5574"/>
    <w:rsid w:val="63D25BB7"/>
    <w:rsid w:val="63DD630A"/>
    <w:rsid w:val="63E47B89"/>
    <w:rsid w:val="63EC3C2E"/>
    <w:rsid w:val="63EF496F"/>
    <w:rsid w:val="63FF0B7B"/>
    <w:rsid w:val="64216B3E"/>
    <w:rsid w:val="64382509"/>
    <w:rsid w:val="64405216"/>
    <w:rsid w:val="64433DB1"/>
    <w:rsid w:val="644F0FB6"/>
    <w:rsid w:val="644F26FB"/>
    <w:rsid w:val="64771C4B"/>
    <w:rsid w:val="647A138C"/>
    <w:rsid w:val="648C220A"/>
    <w:rsid w:val="64AF3DF0"/>
    <w:rsid w:val="64CA6FED"/>
    <w:rsid w:val="64D82251"/>
    <w:rsid w:val="64DF023C"/>
    <w:rsid w:val="64E224D4"/>
    <w:rsid w:val="64EB604E"/>
    <w:rsid w:val="64FA6E36"/>
    <w:rsid w:val="650A75D2"/>
    <w:rsid w:val="650D7978"/>
    <w:rsid w:val="653C55F0"/>
    <w:rsid w:val="65434594"/>
    <w:rsid w:val="65685987"/>
    <w:rsid w:val="656A4910"/>
    <w:rsid w:val="657414E1"/>
    <w:rsid w:val="65901886"/>
    <w:rsid w:val="65956E9C"/>
    <w:rsid w:val="659F2D14"/>
    <w:rsid w:val="65A34405"/>
    <w:rsid w:val="65A74E21"/>
    <w:rsid w:val="65A92947"/>
    <w:rsid w:val="65BC231A"/>
    <w:rsid w:val="65C459D3"/>
    <w:rsid w:val="65DD7031"/>
    <w:rsid w:val="65E334B8"/>
    <w:rsid w:val="65F22497"/>
    <w:rsid w:val="660B53B0"/>
    <w:rsid w:val="660D5121"/>
    <w:rsid w:val="661324B7"/>
    <w:rsid w:val="66140709"/>
    <w:rsid w:val="66214BD4"/>
    <w:rsid w:val="662326FA"/>
    <w:rsid w:val="66263F98"/>
    <w:rsid w:val="662B15AE"/>
    <w:rsid w:val="662D41D7"/>
    <w:rsid w:val="66457F17"/>
    <w:rsid w:val="664A7BAF"/>
    <w:rsid w:val="66504B3F"/>
    <w:rsid w:val="66564A62"/>
    <w:rsid w:val="6659611C"/>
    <w:rsid w:val="666D606B"/>
    <w:rsid w:val="667747CC"/>
    <w:rsid w:val="6683763C"/>
    <w:rsid w:val="66882EA5"/>
    <w:rsid w:val="66990C0E"/>
    <w:rsid w:val="66B0047A"/>
    <w:rsid w:val="66B9305E"/>
    <w:rsid w:val="66C53CD6"/>
    <w:rsid w:val="66D71736"/>
    <w:rsid w:val="66E04A8F"/>
    <w:rsid w:val="66E77BCB"/>
    <w:rsid w:val="66EA76BB"/>
    <w:rsid w:val="66EB51F1"/>
    <w:rsid w:val="670B4D29"/>
    <w:rsid w:val="6712451C"/>
    <w:rsid w:val="6718005C"/>
    <w:rsid w:val="671A307D"/>
    <w:rsid w:val="672447C5"/>
    <w:rsid w:val="67281F92"/>
    <w:rsid w:val="6728417E"/>
    <w:rsid w:val="672A6EBC"/>
    <w:rsid w:val="67332E10"/>
    <w:rsid w:val="674275AA"/>
    <w:rsid w:val="674566A0"/>
    <w:rsid w:val="676C6322"/>
    <w:rsid w:val="67973E39"/>
    <w:rsid w:val="67AD173A"/>
    <w:rsid w:val="67C53BE8"/>
    <w:rsid w:val="67CE6721"/>
    <w:rsid w:val="67E759A9"/>
    <w:rsid w:val="67EB1E05"/>
    <w:rsid w:val="67F54D57"/>
    <w:rsid w:val="67FF0F45"/>
    <w:rsid w:val="68007FF7"/>
    <w:rsid w:val="68046C31"/>
    <w:rsid w:val="681C08A2"/>
    <w:rsid w:val="681C2C23"/>
    <w:rsid w:val="68212C69"/>
    <w:rsid w:val="683A1F7D"/>
    <w:rsid w:val="684E59A6"/>
    <w:rsid w:val="685C6397"/>
    <w:rsid w:val="68663078"/>
    <w:rsid w:val="68664117"/>
    <w:rsid w:val="68744C21"/>
    <w:rsid w:val="687F3E33"/>
    <w:rsid w:val="688B0A2A"/>
    <w:rsid w:val="689E42BA"/>
    <w:rsid w:val="68A02D65"/>
    <w:rsid w:val="68B15AD4"/>
    <w:rsid w:val="68B41D2F"/>
    <w:rsid w:val="68C36416"/>
    <w:rsid w:val="68C710D5"/>
    <w:rsid w:val="68D7675D"/>
    <w:rsid w:val="68DC276D"/>
    <w:rsid w:val="68E4494E"/>
    <w:rsid w:val="68F71C1C"/>
    <w:rsid w:val="68F72B31"/>
    <w:rsid w:val="68FE6652"/>
    <w:rsid w:val="690305C1"/>
    <w:rsid w:val="690B3981"/>
    <w:rsid w:val="691A0A70"/>
    <w:rsid w:val="69335A48"/>
    <w:rsid w:val="69374BA3"/>
    <w:rsid w:val="69387649"/>
    <w:rsid w:val="693B41FE"/>
    <w:rsid w:val="694F038A"/>
    <w:rsid w:val="694F2375"/>
    <w:rsid w:val="695E1C9B"/>
    <w:rsid w:val="6969328D"/>
    <w:rsid w:val="697B0A9F"/>
    <w:rsid w:val="697C5B0A"/>
    <w:rsid w:val="69853C70"/>
    <w:rsid w:val="69855479"/>
    <w:rsid w:val="698C4A5A"/>
    <w:rsid w:val="699833FF"/>
    <w:rsid w:val="69A41DA4"/>
    <w:rsid w:val="69B306F9"/>
    <w:rsid w:val="69CA7330"/>
    <w:rsid w:val="69E00898"/>
    <w:rsid w:val="69E44896"/>
    <w:rsid w:val="69F9197A"/>
    <w:rsid w:val="69FA696C"/>
    <w:rsid w:val="6A044A50"/>
    <w:rsid w:val="6A081FB2"/>
    <w:rsid w:val="6A1109C3"/>
    <w:rsid w:val="6A203AEF"/>
    <w:rsid w:val="6A3D3953"/>
    <w:rsid w:val="6A3E4FF2"/>
    <w:rsid w:val="6A404B28"/>
    <w:rsid w:val="6A407686"/>
    <w:rsid w:val="6A4D41E9"/>
    <w:rsid w:val="6A5731D0"/>
    <w:rsid w:val="6A5B1D3E"/>
    <w:rsid w:val="6A5C267E"/>
    <w:rsid w:val="6A611A43"/>
    <w:rsid w:val="6A6D45E3"/>
    <w:rsid w:val="6A81158B"/>
    <w:rsid w:val="6A876FCF"/>
    <w:rsid w:val="6ACB15B2"/>
    <w:rsid w:val="6ADA17F5"/>
    <w:rsid w:val="6ADC556D"/>
    <w:rsid w:val="6B080110"/>
    <w:rsid w:val="6B101B28"/>
    <w:rsid w:val="6B163D0D"/>
    <w:rsid w:val="6B1673E4"/>
    <w:rsid w:val="6B25184E"/>
    <w:rsid w:val="6B2A1D3D"/>
    <w:rsid w:val="6B2F1F21"/>
    <w:rsid w:val="6B302303"/>
    <w:rsid w:val="6B376C47"/>
    <w:rsid w:val="6B43383E"/>
    <w:rsid w:val="6B755662"/>
    <w:rsid w:val="6B7E4007"/>
    <w:rsid w:val="6B827EC3"/>
    <w:rsid w:val="6B862C3A"/>
    <w:rsid w:val="6B995B8F"/>
    <w:rsid w:val="6B9D2F4E"/>
    <w:rsid w:val="6BA37E39"/>
    <w:rsid w:val="6BA633A5"/>
    <w:rsid w:val="6BBE4C73"/>
    <w:rsid w:val="6BD61FBC"/>
    <w:rsid w:val="6BF67CD7"/>
    <w:rsid w:val="6BFD0669"/>
    <w:rsid w:val="6C021657"/>
    <w:rsid w:val="6C1D68D2"/>
    <w:rsid w:val="6C214EBC"/>
    <w:rsid w:val="6C316EB7"/>
    <w:rsid w:val="6C4A6942"/>
    <w:rsid w:val="6C664218"/>
    <w:rsid w:val="6C687F95"/>
    <w:rsid w:val="6C740735"/>
    <w:rsid w:val="6C7A503E"/>
    <w:rsid w:val="6C8B31EC"/>
    <w:rsid w:val="6CB80F05"/>
    <w:rsid w:val="6CCF5389"/>
    <w:rsid w:val="6CD66C64"/>
    <w:rsid w:val="6CDA3733"/>
    <w:rsid w:val="6CDF30F3"/>
    <w:rsid w:val="6CE04D08"/>
    <w:rsid w:val="6CE150BD"/>
    <w:rsid w:val="6CE202C5"/>
    <w:rsid w:val="6CF14747"/>
    <w:rsid w:val="6CFC5A53"/>
    <w:rsid w:val="6D04274B"/>
    <w:rsid w:val="6D07411F"/>
    <w:rsid w:val="6D137CCF"/>
    <w:rsid w:val="6D17288C"/>
    <w:rsid w:val="6D2D20B0"/>
    <w:rsid w:val="6D3C0545"/>
    <w:rsid w:val="6D4436F7"/>
    <w:rsid w:val="6D68758C"/>
    <w:rsid w:val="6D7D4DE5"/>
    <w:rsid w:val="6D875C64"/>
    <w:rsid w:val="6D9B526C"/>
    <w:rsid w:val="6DA02882"/>
    <w:rsid w:val="6DB63E53"/>
    <w:rsid w:val="6DBA50FC"/>
    <w:rsid w:val="6DBBA87E"/>
    <w:rsid w:val="6DBC69C9"/>
    <w:rsid w:val="6DC36570"/>
    <w:rsid w:val="6DDF30E4"/>
    <w:rsid w:val="6DDF6736"/>
    <w:rsid w:val="6DE76703"/>
    <w:rsid w:val="6E0033A7"/>
    <w:rsid w:val="6E02758F"/>
    <w:rsid w:val="6E082AA3"/>
    <w:rsid w:val="6E0E3640"/>
    <w:rsid w:val="6E21103A"/>
    <w:rsid w:val="6E22598D"/>
    <w:rsid w:val="6E352B05"/>
    <w:rsid w:val="6E431CE2"/>
    <w:rsid w:val="6E466CF9"/>
    <w:rsid w:val="6E4A44E4"/>
    <w:rsid w:val="6E5813AF"/>
    <w:rsid w:val="6E5D11E2"/>
    <w:rsid w:val="6E6733A0"/>
    <w:rsid w:val="6E6E472E"/>
    <w:rsid w:val="6E755ABD"/>
    <w:rsid w:val="6E782940"/>
    <w:rsid w:val="6E7F7640"/>
    <w:rsid w:val="6E82642B"/>
    <w:rsid w:val="6E8F41AA"/>
    <w:rsid w:val="6E954335"/>
    <w:rsid w:val="6E9D6B11"/>
    <w:rsid w:val="6EAD5F0E"/>
    <w:rsid w:val="6EB8009F"/>
    <w:rsid w:val="6EBB5C2A"/>
    <w:rsid w:val="6EBD1212"/>
    <w:rsid w:val="6EC42B4F"/>
    <w:rsid w:val="6ED07197"/>
    <w:rsid w:val="6EDC1FE0"/>
    <w:rsid w:val="6EDF609F"/>
    <w:rsid w:val="6EE93814"/>
    <w:rsid w:val="6EEA194B"/>
    <w:rsid w:val="6EF94940"/>
    <w:rsid w:val="6F096552"/>
    <w:rsid w:val="6F1E43A6"/>
    <w:rsid w:val="6F3522E6"/>
    <w:rsid w:val="6F593630"/>
    <w:rsid w:val="6F6107B0"/>
    <w:rsid w:val="6F6D49E6"/>
    <w:rsid w:val="6F8165F2"/>
    <w:rsid w:val="6F866FBD"/>
    <w:rsid w:val="6F9E1043"/>
    <w:rsid w:val="6FA26D85"/>
    <w:rsid w:val="6FB22D40"/>
    <w:rsid w:val="6FBC1868"/>
    <w:rsid w:val="6FCA62DC"/>
    <w:rsid w:val="6FDE58E3"/>
    <w:rsid w:val="6FEB1D4F"/>
    <w:rsid w:val="6FEF460B"/>
    <w:rsid w:val="7002236D"/>
    <w:rsid w:val="701A625D"/>
    <w:rsid w:val="70221C74"/>
    <w:rsid w:val="70333E81"/>
    <w:rsid w:val="70390D6C"/>
    <w:rsid w:val="704A62D0"/>
    <w:rsid w:val="7054616B"/>
    <w:rsid w:val="705C1573"/>
    <w:rsid w:val="705E44AE"/>
    <w:rsid w:val="70756248"/>
    <w:rsid w:val="707D50FC"/>
    <w:rsid w:val="70805D6F"/>
    <w:rsid w:val="7084648B"/>
    <w:rsid w:val="708A2616"/>
    <w:rsid w:val="70934A76"/>
    <w:rsid w:val="70A95EF1"/>
    <w:rsid w:val="70B07280"/>
    <w:rsid w:val="70B52A3B"/>
    <w:rsid w:val="70BA00FF"/>
    <w:rsid w:val="70C67A2A"/>
    <w:rsid w:val="70D07922"/>
    <w:rsid w:val="70DF2CEC"/>
    <w:rsid w:val="712E4649"/>
    <w:rsid w:val="71353C29"/>
    <w:rsid w:val="713D663A"/>
    <w:rsid w:val="713F23B2"/>
    <w:rsid w:val="714D1533"/>
    <w:rsid w:val="714F6A99"/>
    <w:rsid w:val="71573B9F"/>
    <w:rsid w:val="715C7408"/>
    <w:rsid w:val="715E0F62"/>
    <w:rsid w:val="715F2A54"/>
    <w:rsid w:val="71620B5C"/>
    <w:rsid w:val="716562BC"/>
    <w:rsid w:val="716A5681"/>
    <w:rsid w:val="71774A76"/>
    <w:rsid w:val="718A0384"/>
    <w:rsid w:val="7195247B"/>
    <w:rsid w:val="71955D8A"/>
    <w:rsid w:val="71A15918"/>
    <w:rsid w:val="71A768D5"/>
    <w:rsid w:val="71B9549B"/>
    <w:rsid w:val="71C13420"/>
    <w:rsid w:val="71CB1E97"/>
    <w:rsid w:val="71E05943"/>
    <w:rsid w:val="71E44849"/>
    <w:rsid w:val="71F03A37"/>
    <w:rsid w:val="71FE14B8"/>
    <w:rsid w:val="72082610"/>
    <w:rsid w:val="72111353"/>
    <w:rsid w:val="722577FA"/>
    <w:rsid w:val="722F0678"/>
    <w:rsid w:val="726A7EC7"/>
    <w:rsid w:val="7275252F"/>
    <w:rsid w:val="72850298"/>
    <w:rsid w:val="728555C9"/>
    <w:rsid w:val="728B1D53"/>
    <w:rsid w:val="72A75159"/>
    <w:rsid w:val="72C2329A"/>
    <w:rsid w:val="72C84D97"/>
    <w:rsid w:val="72DB0901"/>
    <w:rsid w:val="72DE26DD"/>
    <w:rsid w:val="72E06781"/>
    <w:rsid w:val="72ED78BC"/>
    <w:rsid w:val="72F9683F"/>
    <w:rsid w:val="730613D9"/>
    <w:rsid w:val="731D0BD6"/>
    <w:rsid w:val="73353A6C"/>
    <w:rsid w:val="734273A9"/>
    <w:rsid w:val="73876F38"/>
    <w:rsid w:val="73921BF1"/>
    <w:rsid w:val="73993FFB"/>
    <w:rsid w:val="73C03169"/>
    <w:rsid w:val="73C66DBA"/>
    <w:rsid w:val="73DA58ED"/>
    <w:rsid w:val="73DC038C"/>
    <w:rsid w:val="73F67590"/>
    <w:rsid w:val="73FD1CA4"/>
    <w:rsid w:val="740729EC"/>
    <w:rsid w:val="74137CAF"/>
    <w:rsid w:val="741D2E7E"/>
    <w:rsid w:val="74285E12"/>
    <w:rsid w:val="74501588"/>
    <w:rsid w:val="74505170"/>
    <w:rsid w:val="745443C6"/>
    <w:rsid w:val="74642B28"/>
    <w:rsid w:val="746D2B87"/>
    <w:rsid w:val="747E1443"/>
    <w:rsid w:val="748A428C"/>
    <w:rsid w:val="748B5D18"/>
    <w:rsid w:val="748D7732"/>
    <w:rsid w:val="74A64492"/>
    <w:rsid w:val="74AC45B2"/>
    <w:rsid w:val="74C002E8"/>
    <w:rsid w:val="74C01A5C"/>
    <w:rsid w:val="74C7103C"/>
    <w:rsid w:val="74D9456E"/>
    <w:rsid w:val="74FC0CE6"/>
    <w:rsid w:val="75077CE1"/>
    <w:rsid w:val="75293EB7"/>
    <w:rsid w:val="752B3379"/>
    <w:rsid w:val="752D5158"/>
    <w:rsid w:val="7548217D"/>
    <w:rsid w:val="75537ACE"/>
    <w:rsid w:val="755521A4"/>
    <w:rsid w:val="755F74C6"/>
    <w:rsid w:val="75862CA5"/>
    <w:rsid w:val="75947170"/>
    <w:rsid w:val="75A31161"/>
    <w:rsid w:val="75BA734C"/>
    <w:rsid w:val="75C6618F"/>
    <w:rsid w:val="75CD61DE"/>
    <w:rsid w:val="75CF63FA"/>
    <w:rsid w:val="75D065B6"/>
    <w:rsid w:val="75D43EFE"/>
    <w:rsid w:val="75E1612D"/>
    <w:rsid w:val="75F45E61"/>
    <w:rsid w:val="76032465"/>
    <w:rsid w:val="7617086B"/>
    <w:rsid w:val="762C2832"/>
    <w:rsid w:val="7631178C"/>
    <w:rsid w:val="76391AC6"/>
    <w:rsid w:val="764566BC"/>
    <w:rsid w:val="764F0905"/>
    <w:rsid w:val="76760B82"/>
    <w:rsid w:val="76790114"/>
    <w:rsid w:val="76A41635"/>
    <w:rsid w:val="76B807C3"/>
    <w:rsid w:val="76C21ABB"/>
    <w:rsid w:val="76C77A80"/>
    <w:rsid w:val="76C91FBE"/>
    <w:rsid w:val="76D57A40"/>
    <w:rsid w:val="76D87530"/>
    <w:rsid w:val="76E12374"/>
    <w:rsid w:val="76E71DB6"/>
    <w:rsid w:val="76ED52B4"/>
    <w:rsid w:val="76FE5441"/>
    <w:rsid w:val="77135B79"/>
    <w:rsid w:val="772229C6"/>
    <w:rsid w:val="772C3965"/>
    <w:rsid w:val="772D781E"/>
    <w:rsid w:val="774279C4"/>
    <w:rsid w:val="774A1D90"/>
    <w:rsid w:val="774E5954"/>
    <w:rsid w:val="775B023A"/>
    <w:rsid w:val="77640DC4"/>
    <w:rsid w:val="77692793"/>
    <w:rsid w:val="77722EA8"/>
    <w:rsid w:val="77786603"/>
    <w:rsid w:val="77796881"/>
    <w:rsid w:val="77933457"/>
    <w:rsid w:val="77B238DE"/>
    <w:rsid w:val="77B97C9B"/>
    <w:rsid w:val="77C47AB5"/>
    <w:rsid w:val="77D704AF"/>
    <w:rsid w:val="77E7580C"/>
    <w:rsid w:val="77EF68E0"/>
    <w:rsid w:val="78000AED"/>
    <w:rsid w:val="780103C1"/>
    <w:rsid w:val="781F70CF"/>
    <w:rsid w:val="782A3DBC"/>
    <w:rsid w:val="782F431C"/>
    <w:rsid w:val="78500BF8"/>
    <w:rsid w:val="785250C1"/>
    <w:rsid w:val="785B3F75"/>
    <w:rsid w:val="7863107C"/>
    <w:rsid w:val="78703D21"/>
    <w:rsid w:val="78861DE4"/>
    <w:rsid w:val="78941235"/>
    <w:rsid w:val="78970D25"/>
    <w:rsid w:val="78A33604"/>
    <w:rsid w:val="78A622A3"/>
    <w:rsid w:val="78BB2967"/>
    <w:rsid w:val="78C45356"/>
    <w:rsid w:val="78D6184E"/>
    <w:rsid w:val="78F341AE"/>
    <w:rsid w:val="79052133"/>
    <w:rsid w:val="790F19B7"/>
    <w:rsid w:val="791C030C"/>
    <w:rsid w:val="79267E40"/>
    <w:rsid w:val="792B4A96"/>
    <w:rsid w:val="792D7B75"/>
    <w:rsid w:val="79332FC4"/>
    <w:rsid w:val="7936673D"/>
    <w:rsid w:val="794964C4"/>
    <w:rsid w:val="795A4AC9"/>
    <w:rsid w:val="797572B9"/>
    <w:rsid w:val="797F22DA"/>
    <w:rsid w:val="799A287B"/>
    <w:rsid w:val="79AA3BA0"/>
    <w:rsid w:val="79B232D8"/>
    <w:rsid w:val="79BD1A06"/>
    <w:rsid w:val="79BF6786"/>
    <w:rsid w:val="79D03EC6"/>
    <w:rsid w:val="79D20267"/>
    <w:rsid w:val="79DF4732"/>
    <w:rsid w:val="79E104AA"/>
    <w:rsid w:val="79E81839"/>
    <w:rsid w:val="79EC0B0A"/>
    <w:rsid w:val="7A0F4EAF"/>
    <w:rsid w:val="7A104581"/>
    <w:rsid w:val="7A106FE1"/>
    <w:rsid w:val="7A2A00A3"/>
    <w:rsid w:val="7A3727C0"/>
    <w:rsid w:val="7A3A5E0C"/>
    <w:rsid w:val="7A3E58FC"/>
    <w:rsid w:val="7A4D1FE3"/>
    <w:rsid w:val="7A5108D1"/>
    <w:rsid w:val="7A560E98"/>
    <w:rsid w:val="7A684727"/>
    <w:rsid w:val="7A6F189F"/>
    <w:rsid w:val="7A70195B"/>
    <w:rsid w:val="7A7C4677"/>
    <w:rsid w:val="7A860B49"/>
    <w:rsid w:val="7A901427"/>
    <w:rsid w:val="7A903791"/>
    <w:rsid w:val="7A927198"/>
    <w:rsid w:val="7A9C6D0C"/>
    <w:rsid w:val="7AA42371"/>
    <w:rsid w:val="7AAC0AB8"/>
    <w:rsid w:val="7ADC7472"/>
    <w:rsid w:val="7AE43DF9"/>
    <w:rsid w:val="7AF16E13"/>
    <w:rsid w:val="7AF406B1"/>
    <w:rsid w:val="7B0A1C83"/>
    <w:rsid w:val="7B12399A"/>
    <w:rsid w:val="7B152B01"/>
    <w:rsid w:val="7B1B4472"/>
    <w:rsid w:val="7B1B7A41"/>
    <w:rsid w:val="7B2F16E9"/>
    <w:rsid w:val="7B3E6D30"/>
    <w:rsid w:val="7B503B39"/>
    <w:rsid w:val="7B69732D"/>
    <w:rsid w:val="7B8053B0"/>
    <w:rsid w:val="7B884E80"/>
    <w:rsid w:val="7B90649D"/>
    <w:rsid w:val="7B99466E"/>
    <w:rsid w:val="7BA1199F"/>
    <w:rsid w:val="7BAD2967"/>
    <w:rsid w:val="7BBA0FB3"/>
    <w:rsid w:val="7BC02341"/>
    <w:rsid w:val="7BD47CD5"/>
    <w:rsid w:val="7BD5403F"/>
    <w:rsid w:val="7BE47080"/>
    <w:rsid w:val="7BE95D3C"/>
    <w:rsid w:val="7C0A4330"/>
    <w:rsid w:val="7C1E59E5"/>
    <w:rsid w:val="7C211032"/>
    <w:rsid w:val="7C237D85"/>
    <w:rsid w:val="7C262451"/>
    <w:rsid w:val="7C336FB7"/>
    <w:rsid w:val="7C3915A8"/>
    <w:rsid w:val="7C5E2286"/>
    <w:rsid w:val="7C5F6E81"/>
    <w:rsid w:val="7C6B49A3"/>
    <w:rsid w:val="7C776EA4"/>
    <w:rsid w:val="7C826BE0"/>
    <w:rsid w:val="7CB60F70"/>
    <w:rsid w:val="7CC06B77"/>
    <w:rsid w:val="7CCA3BF6"/>
    <w:rsid w:val="7CCD740C"/>
    <w:rsid w:val="7CDF1AE6"/>
    <w:rsid w:val="7CF1047B"/>
    <w:rsid w:val="7CF6426C"/>
    <w:rsid w:val="7CFE2D37"/>
    <w:rsid w:val="7D012C11"/>
    <w:rsid w:val="7D146DE8"/>
    <w:rsid w:val="7D250FF6"/>
    <w:rsid w:val="7D2700CC"/>
    <w:rsid w:val="7D297151"/>
    <w:rsid w:val="7D2C7C8E"/>
    <w:rsid w:val="7D382AD7"/>
    <w:rsid w:val="7D697134"/>
    <w:rsid w:val="7D6F15A6"/>
    <w:rsid w:val="7D7358BD"/>
    <w:rsid w:val="7D80447E"/>
    <w:rsid w:val="7D9046C1"/>
    <w:rsid w:val="7D9B038B"/>
    <w:rsid w:val="7DA235B4"/>
    <w:rsid w:val="7DA912DF"/>
    <w:rsid w:val="7DAE5F4A"/>
    <w:rsid w:val="7DB5310B"/>
    <w:rsid w:val="7DB5325A"/>
    <w:rsid w:val="7DB9757F"/>
    <w:rsid w:val="7DCA2AB1"/>
    <w:rsid w:val="7DD813CB"/>
    <w:rsid w:val="7DD95693"/>
    <w:rsid w:val="7DE8467D"/>
    <w:rsid w:val="7DF67F72"/>
    <w:rsid w:val="7DF86D11"/>
    <w:rsid w:val="7DF976EC"/>
    <w:rsid w:val="7E0230E5"/>
    <w:rsid w:val="7E0724A9"/>
    <w:rsid w:val="7E094473"/>
    <w:rsid w:val="7E132BFC"/>
    <w:rsid w:val="7E141A72"/>
    <w:rsid w:val="7E16569F"/>
    <w:rsid w:val="7E1C0204"/>
    <w:rsid w:val="7E1C5F55"/>
    <w:rsid w:val="7E355268"/>
    <w:rsid w:val="7E363AB8"/>
    <w:rsid w:val="7E3808B5"/>
    <w:rsid w:val="7E416623"/>
    <w:rsid w:val="7E4A42BB"/>
    <w:rsid w:val="7E505BFE"/>
    <w:rsid w:val="7E550B1A"/>
    <w:rsid w:val="7E5D76A5"/>
    <w:rsid w:val="7E617E0B"/>
    <w:rsid w:val="7E6D0DCE"/>
    <w:rsid w:val="7E73248E"/>
    <w:rsid w:val="7E741236"/>
    <w:rsid w:val="7E906943"/>
    <w:rsid w:val="7EA146AC"/>
    <w:rsid w:val="7EA67F14"/>
    <w:rsid w:val="7EB025C7"/>
    <w:rsid w:val="7EB83DD5"/>
    <w:rsid w:val="7EBB6922"/>
    <w:rsid w:val="7ECA59B1"/>
    <w:rsid w:val="7ECB7A37"/>
    <w:rsid w:val="7ECD724F"/>
    <w:rsid w:val="7ED46A07"/>
    <w:rsid w:val="7EDA1403"/>
    <w:rsid w:val="7EE30820"/>
    <w:rsid w:val="7EF667A6"/>
    <w:rsid w:val="7EFF05C1"/>
    <w:rsid w:val="7F062761"/>
    <w:rsid w:val="7F17496E"/>
    <w:rsid w:val="7F1C1F84"/>
    <w:rsid w:val="7F1C440C"/>
    <w:rsid w:val="7F296912"/>
    <w:rsid w:val="7F376DBE"/>
    <w:rsid w:val="7F38003A"/>
    <w:rsid w:val="7F420AF4"/>
    <w:rsid w:val="7F4E65E2"/>
    <w:rsid w:val="7F4F53CA"/>
    <w:rsid w:val="7F575AD5"/>
    <w:rsid w:val="7F5D25FF"/>
    <w:rsid w:val="7F5E65F0"/>
    <w:rsid w:val="7F853FCE"/>
    <w:rsid w:val="7FB977D3"/>
    <w:rsid w:val="7FBC0C66"/>
    <w:rsid w:val="7FBF1B57"/>
    <w:rsid w:val="7FC61585"/>
    <w:rsid w:val="7FC91006"/>
    <w:rsid w:val="7FC93EBA"/>
    <w:rsid w:val="7FCA19E0"/>
    <w:rsid w:val="7FE577D9"/>
    <w:rsid w:val="7FFA0CBF"/>
    <w:rsid w:val="BCEF9C7F"/>
    <w:rsid w:val="BE35D34A"/>
    <w:rsid w:val="E75F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Calibri"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6" w:lineRule="auto"/>
      <w:outlineLvl w:val="0"/>
    </w:pPr>
    <w:rPr>
      <w:rFonts w:ascii="Calibri" w:hAnsi="Calibri"/>
      <w:b/>
      <w:kern w:val="44"/>
      <w:sz w:val="44"/>
    </w:rPr>
  </w:style>
  <w:style w:type="paragraph" w:styleId="3">
    <w:name w:val="heading 2"/>
    <w:basedOn w:val="1"/>
    <w:next w:val="1"/>
    <w:link w:val="53"/>
    <w:autoRedefine/>
    <w:qFormat/>
    <w:uiPriority w:val="0"/>
    <w:pPr>
      <w:keepNext/>
      <w:keepLines/>
      <w:spacing w:before="260" w:after="260" w:line="413" w:lineRule="auto"/>
      <w:outlineLvl w:val="1"/>
    </w:pPr>
    <w:rPr>
      <w:rFonts w:ascii="Arial" w:hAnsi="Arial" w:eastAsia="黑体"/>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unhideWhenUsed/>
    <w:qFormat/>
    <w:uiPriority w:val="99"/>
    <w:pPr>
      <w:ind w:left="420" w:leftChars="200"/>
    </w:pPr>
  </w:style>
  <w:style w:type="paragraph" w:styleId="5">
    <w:name w:val="List Number"/>
    <w:basedOn w:val="1"/>
    <w:autoRedefine/>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6">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caption"/>
    <w:basedOn w:val="1"/>
    <w:next w:val="1"/>
    <w:autoRedefine/>
    <w:qFormat/>
    <w:uiPriority w:val="99"/>
    <w:rPr>
      <w:rFonts w:ascii="Cambria" w:hAnsi="Cambria" w:eastAsia="黑体" w:cs="Cambria"/>
      <w:sz w:val="20"/>
      <w:szCs w:val="20"/>
    </w:r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autoRedefine/>
    <w:unhideWhenUsed/>
    <w:qFormat/>
    <w:uiPriority w:val="99"/>
    <w:pPr>
      <w:jc w:val="left"/>
    </w:pPr>
  </w:style>
  <w:style w:type="paragraph" w:styleId="10">
    <w:name w:val="Body Text 3"/>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w:basedOn w:val="1"/>
    <w:next w:val="12"/>
    <w:autoRedefine/>
    <w:qFormat/>
    <w:uiPriority w:val="0"/>
    <w:pPr>
      <w:spacing w:after="120"/>
    </w:pPr>
    <w:rPr>
      <w:rFonts w:ascii="Calibri" w:hAnsi="Calibri"/>
    </w:rPr>
  </w:style>
  <w:style w:type="paragraph" w:customStyle="1" w:styleId="12">
    <w:name w:val="Default"/>
    <w:basedOn w:val="13"/>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3">
    <w:name w:val="Plain Text"/>
    <w:basedOn w:val="1"/>
    <w:next w:val="11"/>
    <w:link w:val="54"/>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Indent"/>
    <w:basedOn w:val="1"/>
    <w:next w:val="15"/>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14"/>
    <w:link w:val="142"/>
    <w:autoRedefine/>
    <w:qFormat/>
    <w:uiPriority w:val="0"/>
    <w:pPr>
      <w:ind w:firstLine="420" w:firstLineChars="200"/>
    </w:pPr>
    <w:rPr>
      <w:rFonts w:ascii="Calibri" w:hAnsi="Calibri" w:cs="Times New Roman"/>
    </w:rPr>
  </w:style>
  <w:style w:type="paragraph" w:styleId="16">
    <w:name w:val="List 2"/>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Date"/>
    <w:basedOn w:val="1"/>
    <w:next w:val="1"/>
    <w:autoRedefine/>
    <w:qFormat/>
    <w:uiPriority w:val="0"/>
    <w:pPr>
      <w:ind w:left="100" w:leftChars="2500"/>
    </w:pPr>
    <w:rPr>
      <w:rFonts w:ascii="Calibri" w:hAnsi="Calibri"/>
      <w:b/>
      <w:bCs/>
      <w:snapToGrid w:val="0"/>
      <w:sz w:val="36"/>
    </w:rPr>
  </w:style>
  <w:style w:type="paragraph" w:styleId="18">
    <w:name w:val="Body Text Indent 2"/>
    <w:basedOn w:val="1"/>
    <w:autoRedefine/>
    <w:qFormat/>
    <w:uiPriority w:val="0"/>
    <w:pPr>
      <w:spacing w:after="120" w:line="480" w:lineRule="auto"/>
      <w:ind w:left="420" w:leftChars="200"/>
    </w:pPr>
    <w:rPr>
      <w:rFonts w:ascii="Calibri" w:hAnsi="Calibri"/>
      <w:kern w:val="0"/>
      <w:sz w:val="20"/>
    </w:rPr>
  </w:style>
  <w:style w:type="paragraph" w:styleId="19">
    <w:name w:val="footer"/>
    <w:basedOn w:val="1"/>
    <w:autoRedefine/>
    <w:qFormat/>
    <w:uiPriority w:val="0"/>
    <w:pPr>
      <w:tabs>
        <w:tab w:val="center" w:pos="4153"/>
        <w:tab w:val="right" w:pos="8306"/>
      </w:tabs>
      <w:snapToGrid w:val="0"/>
      <w:jc w:val="left"/>
    </w:pPr>
    <w:rPr>
      <w:rFonts w:ascii="Calibri" w:hAnsi="Calibri"/>
      <w:sz w:val="18"/>
      <w:szCs w:val="18"/>
    </w:rPr>
  </w:style>
  <w:style w:type="paragraph" w:styleId="20">
    <w:name w:val="envelope return"/>
    <w:basedOn w:val="1"/>
    <w:autoRedefine/>
    <w:qFormat/>
    <w:uiPriority w:val="0"/>
    <w:pPr>
      <w:snapToGrid w:val="0"/>
    </w:pPr>
    <w:rPr>
      <w:rFonts w:ascii="Arial" w:hAnsi="Arial"/>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2">
    <w:name w:val="footnote text"/>
    <w:basedOn w:val="1"/>
    <w:autoRedefine/>
    <w:qFormat/>
    <w:uiPriority w:val="0"/>
    <w:pPr>
      <w:snapToGrid w:val="0"/>
    </w:pPr>
    <w:rPr>
      <w:sz w:val="18"/>
      <w:szCs w:val="18"/>
    </w:rPr>
  </w:style>
  <w:style w:type="paragraph" w:styleId="23">
    <w:name w:val="Body Text 2"/>
    <w:basedOn w:val="1"/>
    <w:next w:val="11"/>
    <w:autoRedefine/>
    <w:qFormat/>
    <w:uiPriority w:val="0"/>
    <w:pPr>
      <w:spacing w:after="120" w:line="480" w:lineRule="auto"/>
    </w:pPr>
    <w:rPr>
      <w:szCs w:val="2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autoRedefine/>
    <w:qFormat/>
    <w:uiPriority w:val="0"/>
    <w:pPr>
      <w:spacing w:before="120" w:after="60"/>
      <w:jc w:val="center"/>
    </w:pPr>
    <w:rPr>
      <w:rFonts w:ascii="Arial" w:hAnsi="Arial"/>
      <w:b/>
      <w:sz w:val="44"/>
      <w:szCs w:val="20"/>
    </w:rPr>
  </w:style>
  <w:style w:type="paragraph" w:styleId="26">
    <w:name w:val="Body Text First Indent"/>
    <w:basedOn w:val="11"/>
    <w:next w:val="1"/>
    <w:autoRedefine/>
    <w:qFormat/>
    <w:uiPriority w:val="0"/>
    <w:pPr>
      <w:ind w:firstLine="420" w:firstLineChars="100"/>
    </w:pPr>
    <w:rPr>
      <w:rFonts w:eastAsia="仿宋_GB2312"/>
      <w:sz w:val="28"/>
    </w:rPr>
  </w:style>
  <w:style w:type="table" w:styleId="28">
    <w:name w:val="Table Grid"/>
    <w:basedOn w:val="27"/>
    <w:autoRedefine/>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style>
  <w:style w:type="character" w:styleId="31">
    <w:name w:val="page number"/>
    <w:basedOn w:val="29"/>
    <w:autoRedefine/>
    <w:qFormat/>
    <w:uiPriority w:val="0"/>
    <w:rPr>
      <w:rFonts w:ascii="Calibri" w:hAnsi="Calibri" w:eastAsia="Calibri" w:cs="Times New Roman"/>
    </w:rPr>
  </w:style>
  <w:style w:type="character" w:styleId="32">
    <w:name w:val="FollowedHyperlink"/>
    <w:autoRedefine/>
    <w:qFormat/>
    <w:uiPriority w:val="0"/>
    <w:rPr>
      <w:rFonts w:ascii="Calibri" w:hAnsi="Calibri" w:eastAsia="Calibri" w:cs="Times New Roman"/>
      <w:color w:val="000000"/>
      <w:u w:val="none"/>
    </w:rPr>
  </w:style>
  <w:style w:type="character" w:styleId="33">
    <w:name w:val="Emphasis"/>
    <w:basedOn w:val="29"/>
    <w:autoRedefine/>
    <w:qFormat/>
    <w:uiPriority w:val="20"/>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autoRedefine/>
    <w:qFormat/>
    <w:uiPriority w:val="0"/>
    <w:rPr>
      <w:rFonts w:ascii="Calibri" w:hAnsi="Calibri" w:eastAsia="Calibri" w:cs="Times New Roman"/>
      <w:color w:val="000000"/>
      <w:u w:val="non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annotation reference"/>
    <w:basedOn w:val="29"/>
    <w:autoRedefine/>
    <w:qFormat/>
    <w:uiPriority w:val="0"/>
    <w:rPr>
      <w:sz w:val="21"/>
      <w:szCs w:val="21"/>
    </w:rPr>
  </w:style>
  <w:style w:type="character" w:styleId="41">
    <w:name w:val="HTML Cite"/>
    <w:basedOn w:val="29"/>
    <w:autoRedefine/>
    <w:semiHidden/>
    <w:unhideWhenUsed/>
    <w:qFormat/>
    <w:uiPriority w:val="99"/>
  </w:style>
  <w:style w:type="character" w:styleId="42">
    <w:name w:val="HTML Keyboard"/>
    <w:basedOn w:val="29"/>
    <w:autoRedefine/>
    <w:semiHidden/>
    <w:unhideWhenUsed/>
    <w:qFormat/>
    <w:uiPriority w:val="99"/>
    <w:rPr>
      <w:rFonts w:ascii="monospace" w:hAnsi="monospace" w:eastAsia="monospace" w:cs="monospace"/>
      <w:sz w:val="20"/>
    </w:rPr>
  </w:style>
  <w:style w:type="character" w:styleId="43">
    <w:name w:val="HTML Sample"/>
    <w:basedOn w:val="29"/>
    <w:autoRedefine/>
    <w:semiHidden/>
    <w:unhideWhenUsed/>
    <w:qFormat/>
    <w:uiPriority w:val="99"/>
    <w:rPr>
      <w:rFonts w:hint="default" w:ascii="monospace" w:hAnsi="monospace" w:eastAsia="monospace" w:cs="monospace"/>
    </w:rPr>
  </w:style>
  <w:style w:type="paragraph" w:customStyle="1" w:styleId="44">
    <w:name w:val="_Style 2"/>
    <w:basedOn w:val="1"/>
    <w:next w:val="1"/>
    <w:autoRedefine/>
    <w:qFormat/>
    <w:uiPriority w:val="0"/>
    <w:pPr>
      <w:ind w:firstLine="420" w:firstLineChars="200"/>
    </w:pPr>
  </w:style>
  <w:style w:type="paragraph" w:customStyle="1" w:styleId="45">
    <w:name w:val="无间隔1"/>
    <w:basedOn w:val="1"/>
    <w:next w:val="7"/>
    <w:autoRedefine/>
    <w:qFormat/>
    <w:uiPriority w:val="0"/>
    <w:pPr>
      <w:widowControl/>
      <w:spacing w:afterLines="50"/>
      <w:ind w:firstLine="200" w:firstLineChars="200"/>
      <w:jc w:val="left"/>
    </w:pPr>
    <w:rPr>
      <w:rFonts w:ascii="Calibri" w:hAnsi="Calibri"/>
      <w:kern w:val="0"/>
      <w:sz w:val="22"/>
      <w:szCs w:val="20"/>
    </w:rPr>
  </w:style>
  <w:style w:type="paragraph" w:customStyle="1" w:styleId="46">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7">
    <w:name w:val="正文1"/>
    <w:basedOn w:val="1"/>
    <w:autoRedefine/>
    <w:qFormat/>
    <w:uiPriority w:val="0"/>
    <w:pPr>
      <w:spacing w:line="360" w:lineRule="auto"/>
      <w:ind w:firstLine="180"/>
    </w:pPr>
    <w:rPr>
      <w:rFonts w:ascii="黑体" w:hAnsi="宋体"/>
      <w:bCs/>
      <w:color w:val="000000"/>
      <w:szCs w:val="21"/>
    </w:rPr>
  </w:style>
  <w:style w:type="paragraph" w:customStyle="1" w:styleId="48">
    <w:name w:val="UserStyle_0"/>
    <w:basedOn w:val="1"/>
    <w:next w:val="49"/>
    <w:autoRedefine/>
    <w:qFormat/>
    <w:uiPriority w:val="0"/>
    <w:pPr>
      <w:spacing w:line="420" w:lineRule="atLeast"/>
      <w:jc w:val="left"/>
    </w:pPr>
    <w:rPr>
      <w:kern w:val="0"/>
      <w:szCs w:val="20"/>
    </w:rPr>
  </w:style>
  <w:style w:type="paragraph" w:customStyle="1" w:styleId="49">
    <w:name w:val="BodyText"/>
    <w:basedOn w:val="1"/>
    <w:next w:val="50"/>
    <w:autoRedefine/>
    <w:qFormat/>
    <w:uiPriority w:val="0"/>
    <w:pPr>
      <w:spacing w:after="120"/>
    </w:pPr>
    <w:rPr>
      <w:kern w:val="0"/>
      <w:sz w:val="20"/>
      <w:lang w:val="zh-CN"/>
    </w:rPr>
  </w:style>
  <w:style w:type="paragraph" w:customStyle="1" w:styleId="50">
    <w:name w:val="BodyText2"/>
    <w:basedOn w:val="1"/>
    <w:autoRedefine/>
    <w:qFormat/>
    <w:uiPriority w:val="0"/>
    <w:pPr>
      <w:spacing w:after="120" w:line="480" w:lineRule="auto"/>
      <w:ind w:right="357"/>
    </w:pPr>
    <w:rPr>
      <w:szCs w:val="20"/>
    </w:rPr>
  </w:style>
  <w:style w:type="paragraph" w:customStyle="1" w:styleId="51">
    <w:name w:val="正文 缩进2字符"/>
    <w:basedOn w:val="1"/>
    <w:autoRedefine/>
    <w:qFormat/>
    <w:uiPriority w:val="0"/>
    <w:pPr>
      <w:spacing w:line="288" w:lineRule="auto"/>
    </w:pPr>
    <w:rPr>
      <w:szCs w:val="28"/>
    </w:rPr>
  </w:style>
  <w:style w:type="character" w:customStyle="1" w:styleId="52">
    <w:name w:val="标题 1 Char"/>
    <w:link w:val="2"/>
    <w:autoRedefine/>
    <w:qFormat/>
    <w:uiPriority w:val="0"/>
    <w:rPr>
      <w:rFonts w:ascii="Calibri" w:hAnsi="Calibri" w:eastAsia="Calibri" w:cs="Times New Roman"/>
      <w:b/>
      <w:kern w:val="44"/>
      <w:sz w:val="44"/>
      <w:szCs w:val="24"/>
    </w:rPr>
  </w:style>
  <w:style w:type="character" w:customStyle="1" w:styleId="53">
    <w:name w:val="标题 2 Char"/>
    <w:link w:val="3"/>
    <w:autoRedefine/>
    <w:qFormat/>
    <w:uiPriority w:val="0"/>
    <w:rPr>
      <w:rFonts w:ascii="Arial" w:hAnsi="Arial" w:eastAsia="黑体" w:cs="Times New Roman"/>
      <w:b/>
      <w:kern w:val="2"/>
      <w:sz w:val="32"/>
      <w:szCs w:val="24"/>
    </w:rPr>
  </w:style>
  <w:style w:type="character" w:customStyle="1" w:styleId="54">
    <w:name w:val="纯文本 Char"/>
    <w:link w:val="13"/>
    <w:autoRedefine/>
    <w:qFormat/>
    <w:uiPriority w:val="0"/>
    <w:rPr>
      <w:rFonts w:ascii="宋体" w:hAnsi="宋体" w:eastAsia="宋体" w:cs="宋体"/>
      <w:sz w:val="24"/>
      <w:szCs w:val="24"/>
      <w:lang w:val="en-US" w:eastAsia="zh-CN" w:bidi="ar-SA"/>
    </w:rPr>
  </w:style>
  <w:style w:type="character" w:customStyle="1" w:styleId="55">
    <w:name w:val="font01"/>
    <w:autoRedefine/>
    <w:qFormat/>
    <w:uiPriority w:val="0"/>
    <w:rPr>
      <w:rFonts w:hint="eastAsia" w:ascii="宋体" w:hAnsi="宋体" w:eastAsia="宋体" w:cs="宋体"/>
      <w:color w:val="000000"/>
      <w:sz w:val="22"/>
      <w:szCs w:val="22"/>
      <w:u w:val="none"/>
    </w:rPr>
  </w:style>
  <w:style w:type="character" w:customStyle="1" w:styleId="56">
    <w:name w:val="font41"/>
    <w:basedOn w:val="29"/>
    <w:autoRedefine/>
    <w:qFormat/>
    <w:uiPriority w:val="0"/>
    <w:rPr>
      <w:rFonts w:hint="default" w:ascii="Tahoma" w:hAnsi="Tahoma" w:eastAsia="Tahoma" w:cs="Tahoma"/>
      <w:color w:val="000000"/>
      <w:sz w:val="22"/>
      <w:szCs w:val="22"/>
      <w:u w:val="none"/>
    </w:rPr>
  </w:style>
  <w:style w:type="character" w:customStyle="1" w:styleId="57">
    <w:name w:val="prev"/>
    <w:autoRedefine/>
    <w:qFormat/>
    <w:uiPriority w:val="0"/>
    <w:rPr>
      <w:rFonts w:ascii="微软雅黑" w:hAnsi="微软雅黑" w:eastAsia="微软雅黑" w:cs="微软雅黑"/>
      <w:sz w:val="14"/>
      <w:szCs w:val="14"/>
    </w:rPr>
  </w:style>
  <w:style w:type="character" w:customStyle="1" w:styleId="58">
    <w:name w:val="next3"/>
    <w:autoRedefine/>
    <w:qFormat/>
    <w:uiPriority w:val="0"/>
    <w:rPr>
      <w:rFonts w:ascii="Calibri" w:hAnsi="Calibri" w:eastAsia="Calibri" w:cs="Times New Roman"/>
      <w:color w:val="888888"/>
    </w:rPr>
  </w:style>
  <w:style w:type="character" w:customStyle="1" w:styleId="59">
    <w:name w:val="next"/>
    <w:autoRedefine/>
    <w:qFormat/>
    <w:uiPriority w:val="0"/>
    <w:rPr>
      <w:rFonts w:hint="eastAsia" w:ascii="微软雅黑" w:hAnsi="微软雅黑" w:eastAsia="微软雅黑" w:cs="微软雅黑"/>
      <w:sz w:val="14"/>
      <w:szCs w:val="14"/>
    </w:rPr>
  </w:style>
  <w:style w:type="character" w:customStyle="1" w:styleId="60">
    <w:name w:val="selected"/>
    <w:autoRedefine/>
    <w:qFormat/>
    <w:uiPriority w:val="0"/>
    <w:rPr>
      <w:rFonts w:ascii="Calibri" w:hAnsi="Calibri" w:eastAsia="Calibri" w:cs="Times New Roman"/>
      <w:shd w:val="clear" w:color="auto" w:fill="B00006"/>
    </w:rPr>
  </w:style>
  <w:style w:type="character" w:customStyle="1" w:styleId="61">
    <w:name w:val="gpa"/>
    <w:autoRedefine/>
    <w:qFormat/>
    <w:uiPriority w:val="0"/>
    <w:rPr>
      <w:rFonts w:ascii="Arial" w:hAnsi="Arial" w:eastAsia="Calibri" w:cs="Arial"/>
      <w:sz w:val="15"/>
      <w:szCs w:val="15"/>
    </w:rPr>
  </w:style>
  <w:style w:type="character" w:customStyle="1" w:styleId="62">
    <w:name w:val="redfilefwwh"/>
    <w:autoRedefine/>
    <w:qFormat/>
    <w:uiPriority w:val="0"/>
    <w:rPr>
      <w:rFonts w:ascii="Calibri" w:hAnsi="Calibri" w:eastAsia="Calibri" w:cs="Times New Roman"/>
      <w:color w:val="BA2636"/>
      <w:sz w:val="12"/>
      <w:szCs w:val="12"/>
    </w:rPr>
  </w:style>
  <w:style w:type="character" w:customStyle="1" w:styleId="63">
    <w:name w:val="so-ask-best"/>
    <w:autoRedefine/>
    <w:qFormat/>
    <w:uiPriority w:val="0"/>
    <w:rPr>
      <w:rFonts w:ascii="Calibri" w:hAnsi="Calibri" w:eastAsia="Calibri" w:cs="Times New Roman"/>
    </w:rPr>
  </w:style>
  <w:style w:type="character" w:customStyle="1" w:styleId="64">
    <w:name w:val="cfdate"/>
    <w:autoRedefine/>
    <w:qFormat/>
    <w:uiPriority w:val="0"/>
    <w:rPr>
      <w:rFonts w:ascii="Calibri" w:hAnsi="Calibri" w:eastAsia="Calibri" w:cs="Times New Roman"/>
      <w:color w:val="333333"/>
      <w:sz w:val="12"/>
      <w:szCs w:val="12"/>
    </w:rPr>
  </w:style>
  <w:style w:type="character" w:customStyle="1" w:styleId="65">
    <w:name w:val="prev1"/>
    <w:autoRedefine/>
    <w:qFormat/>
    <w:uiPriority w:val="0"/>
    <w:rPr>
      <w:rFonts w:ascii="Calibri" w:hAnsi="Calibri" w:eastAsia="Calibri" w:cs="Times New Roman"/>
      <w:color w:val="888888"/>
    </w:rPr>
  </w:style>
  <w:style w:type="character" w:customStyle="1" w:styleId="66">
    <w:name w:val="next1"/>
    <w:autoRedefine/>
    <w:qFormat/>
    <w:uiPriority w:val="0"/>
    <w:rPr>
      <w:rFonts w:ascii="Calibri" w:hAnsi="Calibri" w:eastAsia="Calibri" w:cs="Times New Roman"/>
      <w:color w:val="888888"/>
    </w:rPr>
  </w:style>
  <w:style w:type="character" w:customStyle="1" w:styleId="67">
    <w:name w:val="qxdate"/>
    <w:autoRedefine/>
    <w:qFormat/>
    <w:uiPriority w:val="0"/>
    <w:rPr>
      <w:rFonts w:ascii="Calibri" w:hAnsi="Calibri" w:eastAsia="Calibri" w:cs="Times New Roman"/>
      <w:color w:val="333333"/>
      <w:sz w:val="12"/>
      <w:szCs w:val="12"/>
    </w:rPr>
  </w:style>
  <w:style w:type="character" w:customStyle="1" w:styleId="68">
    <w:name w:val="redfilenumber"/>
    <w:autoRedefine/>
    <w:qFormat/>
    <w:uiPriority w:val="0"/>
    <w:rPr>
      <w:rFonts w:ascii="Calibri" w:hAnsi="Calibri" w:eastAsia="Calibri" w:cs="Times New Roman"/>
      <w:color w:val="BA2636"/>
      <w:sz w:val="12"/>
      <w:szCs w:val="12"/>
    </w:rPr>
  </w:style>
  <w:style w:type="character" w:customStyle="1" w:styleId="69">
    <w:name w:val="next2"/>
    <w:autoRedefine/>
    <w:qFormat/>
    <w:uiPriority w:val="0"/>
    <w:rPr>
      <w:rFonts w:hint="eastAsia" w:ascii="微软雅黑" w:hAnsi="微软雅黑" w:eastAsia="微软雅黑" w:cs="微软雅黑"/>
      <w:sz w:val="14"/>
      <w:szCs w:val="14"/>
    </w:rPr>
  </w:style>
  <w:style w:type="character" w:customStyle="1" w:styleId="70">
    <w:name w:val="displayarti"/>
    <w:autoRedefine/>
    <w:qFormat/>
    <w:uiPriority w:val="0"/>
    <w:rPr>
      <w:rFonts w:ascii="Calibri" w:hAnsi="Calibri" w:eastAsia="Calibri" w:cs="Times New Roman"/>
      <w:color w:val="FFFFFF"/>
      <w:shd w:val="clear" w:color="auto" w:fill="A00000"/>
    </w:rPr>
  </w:style>
  <w:style w:type="character" w:customStyle="1" w:styleId="71">
    <w:name w:val="gjfg"/>
    <w:autoRedefine/>
    <w:qFormat/>
    <w:uiPriority w:val="0"/>
    <w:rPr>
      <w:rFonts w:ascii="Calibri" w:hAnsi="Calibri" w:eastAsia="Calibri" w:cs="Times New Roman"/>
    </w:rPr>
  </w:style>
  <w:style w:type="paragraph" w:customStyle="1" w:styleId="72">
    <w:name w:val="td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ki"/>
    <w:basedOn w:val="1"/>
    <w:autoRedefine/>
    <w:qFormat/>
    <w:uiPriority w:val="0"/>
    <w:pPr>
      <w:widowControl/>
      <w:spacing w:before="100" w:beforeAutospacing="1" w:after="100" w:afterAutospacing="1"/>
      <w:jc w:val="left"/>
    </w:pPr>
    <w:rPr>
      <w:rFonts w:ascii="宋体" w:hAnsi="宋体" w:cs="宋体"/>
      <w:b/>
      <w:bCs/>
      <w:color w:val="FF6600"/>
      <w:kern w:val="0"/>
      <w:sz w:val="24"/>
    </w:rPr>
  </w:style>
  <w:style w:type="paragraph" w:customStyle="1" w:styleId="74">
    <w:name w:val="td-b"/>
    <w:basedOn w:val="1"/>
    <w:autoRedefine/>
    <w:qFormat/>
    <w:uiPriority w:val="0"/>
    <w:pPr>
      <w:widowControl/>
      <w:pBdr>
        <w:left w:val="single" w:color="9DC9EC" w:sz="6" w:space="0"/>
        <w:bottom w:val="single" w:color="9DC9EC" w:sz="6" w:space="0"/>
        <w:right w:val="single" w:color="9DC9EC" w:sz="6" w:space="0"/>
      </w:pBdr>
      <w:spacing w:before="100" w:beforeAutospacing="1" w:after="100" w:afterAutospacing="1"/>
      <w:jc w:val="left"/>
    </w:pPr>
    <w:rPr>
      <w:rFonts w:ascii="宋体" w:hAnsi="宋体" w:cs="宋体"/>
      <w:kern w:val="0"/>
      <w:sz w:val="24"/>
    </w:rPr>
  </w:style>
  <w:style w:type="paragraph" w:customStyle="1" w:styleId="75">
    <w:name w:val="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6">
    <w:name w:val="scroll-1"/>
    <w:basedOn w:val="1"/>
    <w:autoRedefine/>
    <w:qFormat/>
    <w:uiPriority w:val="0"/>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77">
    <w:name w:val="button"/>
    <w:basedOn w:val="1"/>
    <w:autoRedefine/>
    <w:qFormat/>
    <w:uiPriority w:val="0"/>
    <w:pPr>
      <w:widowControl/>
      <w:pBdr>
        <w:top w:val="single" w:color="FFFFFF" w:sz="36" w:space="0"/>
        <w:left w:val="single" w:color="FFFFFF" w:sz="2" w:space="0"/>
        <w:bottom w:val="single" w:color="FFFFFF" w:sz="36" w:space="0"/>
        <w:right w:val="single" w:color="FFFFFF" w:sz="48" w:space="0"/>
      </w:pBdr>
      <w:shd w:val="clear" w:color="auto" w:fill="3269C4"/>
      <w:spacing w:before="90" w:after="90"/>
      <w:ind w:left="90" w:right="90"/>
      <w:jc w:val="left"/>
    </w:pPr>
    <w:rPr>
      <w:rFonts w:ascii="宋体" w:hAnsi="宋体" w:cs="宋体"/>
      <w:color w:val="FFFFFF"/>
      <w:kern w:val="0"/>
      <w:sz w:val="18"/>
      <w:szCs w:val="18"/>
    </w:rPr>
  </w:style>
  <w:style w:type="paragraph" w:customStyle="1" w:styleId="78">
    <w:name w:val="st_ftcss"/>
    <w:basedOn w:val="1"/>
    <w:autoRedefine/>
    <w:qFormat/>
    <w:uiPriority w:val="0"/>
    <w:pPr>
      <w:widowControl/>
      <w:jc w:val="left"/>
    </w:pPr>
    <w:rPr>
      <w:rFonts w:ascii="宋体" w:hAnsi="宋体" w:cs="宋体"/>
      <w:kern w:val="0"/>
      <w:sz w:val="24"/>
    </w:rPr>
  </w:style>
  <w:style w:type="paragraph" w:customStyle="1" w:styleId="79">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0">
    <w:name w:val="_Style 56"/>
    <w:basedOn w:val="1"/>
    <w:next w:val="1"/>
    <w:autoRedefine/>
    <w:qFormat/>
    <w:uiPriority w:val="0"/>
    <w:pPr>
      <w:pBdr>
        <w:bottom w:val="single" w:color="auto" w:sz="6" w:space="1"/>
      </w:pBdr>
      <w:jc w:val="center"/>
    </w:pPr>
    <w:rPr>
      <w:rFonts w:ascii="Arial" w:hAnsi="Calibri" w:eastAsia="宋体"/>
      <w:vanish/>
      <w:sz w:val="16"/>
    </w:rPr>
  </w:style>
  <w:style w:type="paragraph" w:customStyle="1" w:styleId="81">
    <w:name w:val="sec1"/>
    <w:basedOn w:val="1"/>
    <w:autoRedefine/>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82">
    <w:name w:val="sec2"/>
    <w:basedOn w:val="1"/>
    <w:autoRedefine/>
    <w:qFormat/>
    <w:uiPriority w:val="0"/>
    <w:pPr>
      <w:widowControl/>
      <w:pBdr>
        <w:top w:val="single" w:color="C5E1FE" w:sz="6" w:space="0"/>
        <w:left w:val="single" w:color="C5E1FE" w:sz="6" w:space="0"/>
        <w:right w:val="single" w:color="C5E1FE" w:sz="6" w:space="0"/>
      </w:pBdr>
      <w:spacing w:before="100" w:beforeAutospacing="1" w:after="100" w:afterAutospacing="1"/>
      <w:jc w:val="left"/>
    </w:pPr>
    <w:rPr>
      <w:rFonts w:ascii="宋体" w:hAnsi="宋体" w:cs="宋体"/>
      <w:b/>
      <w:bCs/>
      <w:color w:val="247ED1"/>
      <w:kern w:val="0"/>
      <w:szCs w:val="21"/>
    </w:rPr>
  </w:style>
  <w:style w:type="paragraph" w:customStyle="1" w:styleId="83">
    <w:name w:val="title-4"/>
    <w:basedOn w:val="1"/>
    <w:autoRedefine/>
    <w:qFormat/>
    <w:uiPriority w:val="0"/>
    <w:pPr>
      <w:widowControl/>
      <w:spacing w:before="100" w:beforeAutospacing="1" w:after="100" w:afterAutospacing="1"/>
      <w:jc w:val="left"/>
    </w:pPr>
    <w:rPr>
      <w:rFonts w:ascii="宋体" w:hAnsi="宋体" w:cs="宋体"/>
      <w:color w:val="095498"/>
      <w:kern w:val="0"/>
      <w:sz w:val="18"/>
      <w:szCs w:val="18"/>
    </w:rPr>
  </w:style>
  <w:style w:type="paragraph" w:customStyle="1" w:styleId="84">
    <w:name w:val="st_tbcss"/>
    <w:basedOn w:val="1"/>
    <w:autoRedefine/>
    <w:qFormat/>
    <w:uiPriority w:val="0"/>
    <w:pPr>
      <w:widowControl/>
      <w:jc w:val="left"/>
    </w:pPr>
    <w:rPr>
      <w:rFonts w:ascii="宋体" w:hAnsi="宋体" w:cs="宋体"/>
      <w:kern w:val="0"/>
      <w:sz w:val="24"/>
    </w:rPr>
  </w:style>
  <w:style w:type="paragraph" w:customStyle="1" w:styleId="85">
    <w:name w:val="td-right"/>
    <w:basedOn w:val="1"/>
    <w:autoRedefine/>
    <w:qFormat/>
    <w:uiPriority w:val="0"/>
    <w:pPr>
      <w:widowControl/>
      <w:pBdr>
        <w:right w:val="dotted" w:color="999999" w:sz="6" w:space="0"/>
      </w:pBdr>
      <w:spacing w:before="100" w:beforeAutospacing="1" w:after="100" w:afterAutospacing="1"/>
      <w:jc w:val="left"/>
    </w:pPr>
    <w:rPr>
      <w:rFonts w:ascii="宋体" w:hAnsi="宋体" w:cs="宋体"/>
      <w:kern w:val="0"/>
      <w:sz w:val="24"/>
    </w:rPr>
  </w:style>
  <w:style w:type="paragraph" w:customStyle="1" w:styleId="86">
    <w:name w:val="text4"/>
    <w:basedOn w:val="1"/>
    <w:autoRedefine/>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87">
    <w:name w:val="tableborer"/>
    <w:basedOn w:val="1"/>
    <w:autoRedefine/>
    <w:qFormat/>
    <w:uiPriority w:val="0"/>
    <w:pPr>
      <w:widowControl/>
      <w:pBdr>
        <w:top w:val="dotted" w:color="EEEEEE" w:sz="6" w:space="0"/>
        <w:left w:val="dotted" w:color="EEEEEE" w:sz="6" w:space="0"/>
        <w:bottom w:val="dotted" w:color="EEEEEE" w:sz="6" w:space="0"/>
        <w:right w:val="dotted" w:color="EEEEEE" w:sz="6" w:space="0"/>
      </w:pBdr>
      <w:spacing w:before="100" w:beforeAutospacing="1" w:after="100" w:afterAutospacing="1"/>
      <w:jc w:val="left"/>
    </w:pPr>
    <w:rPr>
      <w:rFonts w:ascii="宋体" w:hAnsi="宋体" w:cs="宋体"/>
      <w:kern w:val="0"/>
      <w:sz w:val="24"/>
    </w:rPr>
  </w:style>
  <w:style w:type="paragraph" w:customStyle="1" w:styleId="88">
    <w:name w:val="title-3"/>
    <w:basedOn w:val="1"/>
    <w:autoRedefine/>
    <w:qFormat/>
    <w:uiPriority w:val="0"/>
    <w:pPr>
      <w:widowControl/>
      <w:spacing w:before="100" w:beforeAutospacing="1" w:after="100" w:afterAutospacing="1"/>
      <w:jc w:val="left"/>
    </w:pPr>
    <w:rPr>
      <w:rFonts w:ascii="宋体" w:hAnsi="宋体" w:cs="宋体"/>
      <w:b/>
      <w:bCs/>
      <w:color w:val="474747"/>
      <w:kern w:val="0"/>
      <w:sz w:val="18"/>
      <w:szCs w:val="18"/>
    </w:rPr>
  </w:style>
  <w:style w:type="paragraph" w:customStyle="1" w:styleId="89">
    <w:name w:val="style3"/>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90">
    <w:name w:val="st_divcss"/>
    <w:basedOn w:val="1"/>
    <w:autoRedefine/>
    <w:qFormat/>
    <w:uiPriority w:val="0"/>
    <w:pPr>
      <w:widowControl/>
      <w:jc w:val="left"/>
    </w:pPr>
    <w:rPr>
      <w:rFonts w:ascii="宋体" w:hAnsi="宋体" w:cs="宋体"/>
      <w:kern w:val="0"/>
      <w:sz w:val="24"/>
    </w:rPr>
  </w:style>
  <w:style w:type="paragraph" w:customStyle="1" w:styleId="91">
    <w:name w:val="text3"/>
    <w:basedOn w:val="1"/>
    <w:autoRedefine/>
    <w:qFormat/>
    <w:uiPriority w:val="0"/>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92">
    <w:name w:val="td-top"/>
    <w:basedOn w:val="1"/>
    <w:autoRedefine/>
    <w:qFormat/>
    <w:uiPriority w:val="0"/>
    <w:pPr>
      <w:widowControl/>
      <w:pBdr>
        <w:top w:val="dotted" w:color="0000FF" w:sz="6" w:space="0"/>
      </w:pBdr>
      <w:spacing w:before="100" w:beforeAutospacing="1" w:after="100" w:afterAutospacing="1"/>
      <w:jc w:val="left"/>
    </w:pPr>
    <w:rPr>
      <w:rFonts w:ascii="宋体" w:hAnsi="宋体" w:cs="宋体"/>
      <w:kern w:val="0"/>
      <w:sz w:val="18"/>
      <w:szCs w:val="18"/>
    </w:rPr>
  </w:style>
  <w:style w:type="paragraph" w:customStyle="1" w:styleId="93">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4">
    <w:name w:val="title-1"/>
    <w:basedOn w:val="1"/>
    <w:autoRedefine/>
    <w:qFormat/>
    <w:uiPriority w:val="0"/>
    <w:pPr>
      <w:widowControl/>
      <w:spacing w:before="100" w:beforeAutospacing="1" w:after="100" w:afterAutospacing="1"/>
      <w:jc w:val="left"/>
    </w:pPr>
    <w:rPr>
      <w:rFonts w:ascii="宋体" w:hAnsi="宋体" w:cs="宋体"/>
      <w:b/>
      <w:bCs/>
      <w:color w:val="0A3886"/>
      <w:kern w:val="0"/>
      <w:sz w:val="18"/>
      <w:szCs w:val="18"/>
    </w:rPr>
  </w:style>
  <w:style w:type="paragraph" w:customStyle="1" w:styleId="95">
    <w:name w:val="样式 首行缩进:  2 字符"/>
    <w:basedOn w:val="1"/>
    <w:autoRedefine/>
    <w:qFormat/>
    <w:uiPriority w:val="0"/>
    <w:pPr>
      <w:ind w:firstLine="560"/>
    </w:pPr>
    <w:rPr>
      <w:rFonts w:ascii="Calibri" w:hAnsi="Calibri" w:eastAsia="仿宋_GB2312" w:cs="宋体"/>
      <w:sz w:val="24"/>
      <w:szCs w:val="20"/>
    </w:rPr>
  </w:style>
  <w:style w:type="paragraph" w:customStyle="1" w:styleId="96">
    <w:name w:val="td-botton-2"/>
    <w:basedOn w:val="1"/>
    <w:autoRedefine/>
    <w:qFormat/>
    <w:uiPriority w:val="0"/>
    <w:pPr>
      <w:widowControl/>
      <w:pBdr>
        <w:bottom w:val="dotted" w:color="FF0000" w:sz="6" w:space="0"/>
      </w:pBdr>
      <w:spacing w:before="100" w:beforeAutospacing="1" w:after="100" w:afterAutospacing="1"/>
      <w:jc w:val="left"/>
    </w:pPr>
    <w:rPr>
      <w:rFonts w:ascii="宋体" w:hAnsi="宋体" w:cs="宋体"/>
      <w:kern w:val="0"/>
      <w:sz w:val="24"/>
    </w:rPr>
  </w:style>
  <w:style w:type="paragraph" w:customStyle="1" w:styleId="97">
    <w:name w:val="td-top-2"/>
    <w:basedOn w:val="1"/>
    <w:autoRedefine/>
    <w:qFormat/>
    <w:uiPriority w:val="0"/>
    <w:pPr>
      <w:widowControl/>
      <w:pBdr>
        <w:top w:val="dotted" w:color="0000FF" w:sz="6" w:space="0"/>
      </w:pBdr>
      <w:spacing w:before="100" w:beforeAutospacing="1" w:after="100" w:afterAutospacing="1"/>
      <w:jc w:val="left"/>
    </w:pPr>
    <w:rPr>
      <w:rFonts w:ascii="宋体" w:hAnsi="宋体" w:cs="宋体"/>
      <w:kern w:val="0"/>
      <w:sz w:val="24"/>
    </w:rPr>
  </w:style>
  <w:style w:type="paragraph" w:customStyle="1" w:styleId="98">
    <w:name w:val="td-right-2"/>
    <w:basedOn w:val="1"/>
    <w:autoRedefine/>
    <w:qFormat/>
    <w:uiPriority w:val="0"/>
    <w:pPr>
      <w:widowControl/>
      <w:pBdr>
        <w:right w:val="dotted" w:color="0000FF" w:sz="6" w:space="0"/>
      </w:pBdr>
      <w:spacing w:before="100" w:beforeAutospacing="1" w:after="100" w:afterAutospacing="1"/>
      <w:jc w:val="left"/>
    </w:pPr>
    <w:rPr>
      <w:rFonts w:ascii="宋体" w:hAnsi="宋体" w:cs="宋体"/>
      <w:kern w:val="0"/>
      <w:sz w:val="24"/>
    </w:rPr>
  </w:style>
  <w:style w:type="paragraph" w:customStyle="1" w:styleId="99">
    <w:name w:val="shadow1"/>
    <w:basedOn w:val="1"/>
    <w:autoRedefine/>
    <w:qFormat/>
    <w:uiPriority w:val="0"/>
    <w:pPr>
      <w:widowControl/>
      <w:jc w:val="left"/>
    </w:pPr>
    <w:rPr>
      <w:rFonts w:ascii="宋体" w:hAnsi="宋体" w:cs="宋体"/>
      <w:b/>
      <w:bCs/>
      <w:color w:val="0048AA"/>
      <w:kern w:val="0"/>
      <w:sz w:val="24"/>
    </w:rPr>
  </w:style>
  <w:style w:type="paragraph" w:customStyle="1" w:styleId="100">
    <w:name w:val="plain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p"/>
    <w:basedOn w:val="1"/>
    <w:autoRedefine/>
    <w:qFormat/>
    <w:uiPriority w:val="0"/>
    <w:pPr>
      <w:widowControl/>
      <w:spacing w:line="432" w:lineRule="auto"/>
      <w:jc w:val="left"/>
    </w:pPr>
    <w:rPr>
      <w:rFonts w:ascii="宋体" w:hAnsi="宋体" w:cs="宋体"/>
      <w:kern w:val="0"/>
      <w:sz w:val="24"/>
    </w:rPr>
  </w:style>
  <w:style w:type="paragraph" w:customStyle="1" w:styleId="10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3">
    <w:name w:val="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title-2"/>
    <w:basedOn w:val="1"/>
    <w:autoRedefine/>
    <w:qFormat/>
    <w:uiPriority w:val="0"/>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105">
    <w:name w:val="_Style 82"/>
    <w:basedOn w:val="1"/>
    <w:next w:val="1"/>
    <w:autoRedefine/>
    <w:qFormat/>
    <w:uiPriority w:val="0"/>
    <w:pPr>
      <w:pBdr>
        <w:top w:val="single" w:color="auto" w:sz="6" w:space="1"/>
      </w:pBdr>
      <w:jc w:val="center"/>
    </w:pPr>
    <w:rPr>
      <w:rFonts w:ascii="Arial" w:hAnsi="Calibri" w:eastAsia="宋体"/>
      <w:vanish/>
      <w:sz w:val="16"/>
    </w:rPr>
  </w:style>
  <w:style w:type="paragraph" w:customStyle="1" w:styleId="106">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列表段落1"/>
    <w:basedOn w:val="1"/>
    <w:autoRedefine/>
    <w:qFormat/>
    <w:uiPriority w:val="0"/>
    <w:pPr>
      <w:ind w:firstLine="420" w:firstLineChars="200"/>
    </w:pPr>
    <w:rPr>
      <w:rFonts w:ascii="Calibri" w:hAnsi="Calibri"/>
    </w:rPr>
  </w:style>
  <w:style w:type="paragraph" w:customStyle="1" w:styleId="108">
    <w:name w:val="style1"/>
    <w:basedOn w:val="1"/>
    <w:autoRedefine/>
    <w:qFormat/>
    <w:uiPriority w:val="0"/>
    <w:pPr>
      <w:widowControl/>
      <w:spacing w:before="100" w:beforeAutospacing="1" w:after="100" w:afterAutospacing="1"/>
      <w:jc w:val="left"/>
    </w:pPr>
    <w:rPr>
      <w:rFonts w:ascii="宋体" w:hAnsi="宋体" w:cs="宋体"/>
      <w:b/>
      <w:bCs/>
      <w:color w:val="FF3300"/>
      <w:kern w:val="0"/>
      <w:szCs w:val="21"/>
    </w:rPr>
  </w:style>
  <w:style w:type="paragraph" w:customStyle="1" w:styleId="109">
    <w:name w:val="st_tdcss"/>
    <w:basedOn w:val="1"/>
    <w:autoRedefine/>
    <w:qFormat/>
    <w:uiPriority w:val="0"/>
    <w:pPr>
      <w:widowControl/>
      <w:jc w:val="left"/>
    </w:pPr>
    <w:rPr>
      <w:rFonts w:ascii="宋体" w:hAnsi="宋体" w:cs="宋体"/>
      <w:kern w:val="0"/>
      <w:sz w:val="24"/>
    </w:rPr>
  </w:style>
  <w:style w:type="paragraph" w:customStyle="1" w:styleId="110">
    <w:name w:val="text1"/>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11">
    <w:name w:val="tableborer-2"/>
    <w:basedOn w:val="1"/>
    <w:autoRedefine/>
    <w:qFormat/>
    <w:uiPriority w:val="0"/>
    <w:pPr>
      <w:widowControl/>
      <w:pBdr>
        <w:right w:val="single" w:color="109BF8" w:sz="6" w:space="0"/>
      </w:pBdr>
      <w:spacing w:before="100" w:beforeAutospacing="1" w:after="100" w:afterAutospacing="1"/>
      <w:jc w:val="left"/>
    </w:pPr>
    <w:rPr>
      <w:rFonts w:ascii="宋体" w:hAnsi="宋体" w:cs="宋体"/>
      <w:kern w:val="0"/>
      <w:sz w:val="24"/>
    </w:rPr>
  </w:style>
  <w:style w:type="paragraph" w:customStyle="1" w:styleId="112">
    <w:name w:val="input-pass"/>
    <w:basedOn w:val="1"/>
    <w:autoRedefine/>
    <w:qFormat/>
    <w:uiPriority w:val="0"/>
    <w:pPr>
      <w:widowControl/>
      <w:pBdr>
        <w:top w:val="single" w:color="auto" w:sz="6" w:space="0"/>
        <w:left w:val="single" w:color="auto" w:sz="6" w:space="0"/>
        <w:bottom w:val="single" w:color="auto" w:sz="6" w:space="0"/>
        <w:right w:val="single" w:color="auto" w:sz="6" w:space="0"/>
      </w:pBdr>
      <w:spacing w:before="100" w:beforeAutospacing="1" w:after="100" w:afterAutospacing="1"/>
      <w:jc w:val="left"/>
    </w:pPr>
    <w:rPr>
      <w:rFonts w:ascii="宋体" w:hAnsi="宋体" w:cs="宋体"/>
      <w:kern w:val="0"/>
      <w:sz w:val="18"/>
      <w:szCs w:val="18"/>
    </w:rPr>
  </w:style>
  <w:style w:type="paragraph" w:customStyle="1" w:styleId="113">
    <w:name w:val="menu"/>
    <w:basedOn w:val="1"/>
    <w:autoRedefine/>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14">
    <w:name w:val="td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td-left-2"/>
    <w:basedOn w:val="1"/>
    <w:autoRedefine/>
    <w:qFormat/>
    <w:uiPriority w:val="0"/>
    <w:pPr>
      <w:widowControl/>
      <w:pBdr>
        <w:left w:val="dotted" w:color="FF0000" w:sz="6" w:space="0"/>
      </w:pBdr>
      <w:spacing w:before="100" w:beforeAutospacing="1" w:after="100" w:afterAutospacing="1"/>
      <w:jc w:val="left"/>
    </w:pPr>
    <w:rPr>
      <w:rFonts w:ascii="宋体" w:hAnsi="宋体" w:cs="宋体"/>
      <w:kern w:val="0"/>
      <w:sz w:val="24"/>
    </w:rPr>
  </w:style>
  <w:style w:type="paragraph" w:customStyle="1" w:styleId="116">
    <w:name w:val="menu2"/>
    <w:basedOn w:val="1"/>
    <w:autoRedefine/>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117">
    <w:name w:val="二级无"/>
    <w:basedOn w:val="1"/>
    <w:autoRedefine/>
    <w:qFormat/>
    <w:uiPriority w:val="0"/>
    <w:pPr>
      <w:widowControl/>
      <w:numPr>
        <w:ilvl w:val="2"/>
        <w:numId w:val="2"/>
      </w:numPr>
      <w:jc w:val="left"/>
      <w:outlineLvl w:val="3"/>
    </w:pPr>
    <w:rPr>
      <w:rFonts w:ascii="宋体"/>
      <w:kern w:val="0"/>
      <w:szCs w:val="21"/>
    </w:rPr>
  </w:style>
  <w:style w:type="paragraph" w:customStyle="1" w:styleId="118">
    <w:name w:val="td-left"/>
    <w:basedOn w:val="1"/>
    <w:autoRedefine/>
    <w:qFormat/>
    <w:uiPriority w:val="0"/>
    <w:pPr>
      <w:widowControl/>
      <w:pBdr>
        <w:left w:val="dotted" w:color="CCCCCC" w:sz="6" w:space="0"/>
        <w:right w:val="dotted" w:color="CCCCCC" w:sz="6" w:space="0"/>
      </w:pBdr>
      <w:spacing w:before="100" w:beforeAutospacing="1" w:after="100" w:afterAutospacing="1"/>
      <w:jc w:val="left"/>
    </w:pPr>
    <w:rPr>
      <w:rFonts w:ascii="宋体" w:hAnsi="宋体" w:cs="宋体"/>
      <w:kern w:val="0"/>
      <w:sz w:val="24"/>
    </w:rPr>
  </w:style>
  <w:style w:type="paragraph" w:customStyle="1" w:styleId="119">
    <w:name w:val="Char1 Char Char Char"/>
    <w:basedOn w:val="1"/>
    <w:autoRedefine/>
    <w:qFormat/>
    <w:uiPriority w:val="0"/>
    <w:rPr>
      <w:rFonts w:ascii="Calibri" w:hAnsi="Calibri"/>
    </w:rPr>
  </w:style>
  <w:style w:type="paragraph" w:customStyle="1" w:styleId="120">
    <w:name w:val="td-botton"/>
    <w:basedOn w:val="1"/>
    <w:autoRedefine/>
    <w:qFormat/>
    <w:uiPriority w:val="0"/>
    <w:pPr>
      <w:widowControl/>
      <w:pBdr>
        <w:bottom w:val="dotted" w:color="999999" w:sz="6" w:space="0"/>
      </w:pBdr>
      <w:spacing w:before="100" w:beforeAutospacing="1" w:after="100" w:afterAutospacing="1"/>
      <w:jc w:val="left"/>
    </w:pPr>
    <w:rPr>
      <w:rFonts w:ascii="宋体" w:hAnsi="宋体" w:cs="宋体"/>
      <w:kern w:val="0"/>
      <w:sz w:val="24"/>
    </w:rPr>
  </w:style>
  <w:style w:type="paragraph" w:customStyle="1" w:styleId="121">
    <w:name w:val="Table Paragraph"/>
    <w:basedOn w:val="1"/>
    <w:autoRedefine/>
    <w:qFormat/>
    <w:uiPriority w:val="0"/>
    <w:rPr>
      <w:rFonts w:ascii="Calibri" w:hAnsi="Calibri"/>
    </w:rPr>
  </w:style>
  <w:style w:type="paragraph" w:customStyle="1" w:styleId="122">
    <w:name w:val="shadow"/>
    <w:basedOn w:val="1"/>
    <w:autoRedefine/>
    <w:qFormat/>
    <w:uiPriority w:val="0"/>
    <w:pPr>
      <w:widowControl/>
      <w:jc w:val="left"/>
    </w:pPr>
    <w:rPr>
      <w:rFonts w:ascii="宋体" w:hAnsi="宋体" w:cs="宋体"/>
      <w:color w:val="FFFFFF"/>
      <w:kern w:val="0"/>
      <w:sz w:val="24"/>
    </w:rPr>
  </w:style>
  <w:style w:type="paragraph" w:customStyle="1" w:styleId="123">
    <w:name w:val="Char1 Char Char Char1"/>
    <w:basedOn w:val="1"/>
    <w:autoRedefine/>
    <w:qFormat/>
    <w:uiPriority w:val="0"/>
    <w:rPr>
      <w:rFonts w:ascii="Calibri" w:hAnsi="Calibri"/>
    </w:rPr>
  </w:style>
  <w:style w:type="paragraph" w:customStyle="1" w:styleId="124">
    <w:name w:val="text2"/>
    <w:basedOn w:val="1"/>
    <w:autoRedefine/>
    <w:qFormat/>
    <w:uiPriority w:val="0"/>
    <w:pPr>
      <w:widowControl/>
      <w:spacing w:before="100" w:beforeAutospacing="1" w:after="100" w:afterAutospacing="1"/>
      <w:jc w:val="left"/>
    </w:pPr>
    <w:rPr>
      <w:rFonts w:ascii="宋体" w:hAnsi="宋体" w:cs="宋体"/>
      <w:color w:val="FFFFFF"/>
      <w:kern w:val="0"/>
      <w:sz w:val="18"/>
      <w:szCs w:val="18"/>
    </w:rPr>
  </w:style>
  <w:style w:type="paragraph" w:customStyle="1" w:styleId="125">
    <w:name w:val="td2"/>
    <w:basedOn w:val="1"/>
    <w:autoRedefine/>
    <w:qFormat/>
    <w:uiPriority w:val="0"/>
    <w:pPr>
      <w:widowControl/>
      <w:pBdr>
        <w:top w:val="single" w:color="FF9900" w:sz="6" w:space="0"/>
      </w:pBdr>
      <w:spacing w:before="100" w:beforeAutospacing="1" w:after="100" w:afterAutospacing="1"/>
      <w:jc w:val="left"/>
    </w:pPr>
    <w:rPr>
      <w:rFonts w:ascii="宋体" w:hAnsi="宋体" w:cs="宋体"/>
      <w:kern w:val="0"/>
      <w:sz w:val="24"/>
    </w:rPr>
  </w:style>
  <w:style w:type="paragraph" w:customStyle="1" w:styleId="126">
    <w:name w:val="wwz"/>
    <w:basedOn w:val="1"/>
    <w:autoRedefine/>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27">
    <w:name w:val="td1"/>
    <w:basedOn w:val="1"/>
    <w:autoRedefine/>
    <w:qFormat/>
    <w:uiPriority w:val="0"/>
    <w:pPr>
      <w:widowControl/>
      <w:pBdr>
        <w:top w:val="single" w:color="003399" w:sz="6" w:space="0"/>
        <w:left w:val="single" w:color="003399" w:sz="6" w:space="0"/>
        <w:bottom w:val="single" w:color="003399" w:sz="6" w:space="0"/>
        <w:right w:val="single" w:color="003399" w:sz="6" w:space="0"/>
      </w:pBdr>
      <w:spacing w:before="100" w:beforeAutospacing="1" w:after="100" w:afterAutospacing="1"/>
      <w:jc w:val="left"/>
    </w:pPr>
    <w:rPr>
      <w:rFonts w:ascii="宋体" w:hAnsi="宋体" w:cs="宋体"/>
      <w:kern w:val="0"/>
      <w:sz w:val="18"/>
      <w:szCs w:val="18"/>
    </w:rPr>
  </w:style>
  <w:style w:type="table" w:customStyle="1" w:styleId="128">
    <w:name w:val="Table Normal"/>
    <w:autoRedefine/>
    <w:unhideWhenUsed/>
    <w:qFormat/>
    <w:uiPriority w:val="0"/>
    <w:tblPr>
      <w:tblCellMar>
        <w:top w:w="0" w:type="dxa"/>
        <w:left w:w="0" w:type="dxa"/>
        <w:bottom w:w="0" w:type="dxa"/>
        <w:right w:w="0" w:type="dxa"/>
      </w:tblCellMar>
    </w:tblPr>
  </w:style>
  <w:style w:type="paragraph" w:customStyle="1" w:styleId="129">
    <w:name w:val="列表段落11"/>
    <w:basedOn w:val="1"/>
    <w:autoRedefine/>
    <w:qFormat/>
    <w:uiPriority w:val="0"/>
    <w:pPr>
      <w:ind w:left="100" w:firstLine="451"/>
    </w:pPr>
  </w:style>
  <w:style w:type="paragraph" w:customStyle="1" w:styleId="130">
    <w:name w:val="_Style 108"/>
    <w:autoRedefine/>
    <w:unhideWhenUsed/>
    <w:qFormat/>
    <w:uiPriority w:val="99"/>
    <w:rPr>
      <w:rFonts w:ascii="Times New Roman" w:hAnsi="Times New Roman" w:eastAsia="Calibri" w:cs="Times New Roman"/>
      <w:kern w:val="2"/>
      <w:sz w:val="21"/>
      <w:szCs w:val="24"/>
      <w:lang w:val="en-US" w:eastAsia="zh-CN" w:bidi="ar-SA"/>
    </w:rPr>
  </w:style>
  <w:style w:type="character" w:customStyle="1" w:styleId="131">
    <w:name w:val="标题 1 1 Char2"/>
    <w:autoRedefine/>
    <w:qFormat/>
    <w:uiPriority w:val="99"/>
    <w:rPr>
      <w:b/>
      <w:kern w:val="44"/>
      <w:sz w:val="44"/>
    </w:rPr>
  </w:style>
  <w:style w:type="paragraph" w:customStyle="1" w:styleId="132">
    <w:name w:val="文档正文5"/>
    <w:basedOn w:val="133"/>
    <w:autoRedefine/>
    <w:qFormat/>
    <w:uiPriority w:val="0"/>
    <w:pPr>
      <w:autoSpaceDE w:val="0"/>
      <w:autoSpaceDN w:val="0"/>
      <w:snapToGrid w:val="0"/>
      <w:spacing w:line="440" w:lineRule="exact"/>
      <w:ind w:firstLine="505"/>
    </w:pPr>
    <w:rPr>
      <w:spacing w:val="4"/>
    </w:rPr>
  </w:style>
  <w:style w:type="paragraph" w:customStyle="1" w:styleId="133">
    <w:name w:val="正文缩进1"/>
    <w:basedOn w:val="1"/>
    <w:autoRedefine/>
    <w:qFormat/>
    <w:uiPriority w:val="0"/>
    <w:pPr>
      <w:adjustRightInd w:val="0"/>
      <w:spacing w:line="360" w:lineRule="atLeast"/>
      <w:ind w:firstLine="420" w:firstLineChars="200"/>
      <w:jc w:val="left"/>
      <w:textAlignment w:val="baseline"/>
    </w:pPr>
    <w:rPr>
      <w:kern w:val="0"/>
      <w:sz w:val="24"/>
      <w:szCs w:val="20"/>
    </w:rPr>
  </w:style>
  <w:style w:type="character" w:customStyle="1" w:styleId="134">
    <w:name w:val="hover16"/>
    <w:basedOn w:val="29"/>
    <w:autoRedefine/>
    <w:qFormat/>
    <w:uiPriority w:val="0"/>
  </w:style>
  <w:style w:type="character" w:customStyle="1" w:styleId="135">
    <w:name w:val="hover"/>
    <w:basedOn w:val="29"/>
    <w:autoRedefine/>
    <w:qFormat/>
    <w:uiPriority w:val="0"/>
  </w:style>
  <w:style w:type="character" w:customStyle="1" w:styleId="136">
    <w:name w:val="font31"/>
    <w:basedOn w:val="29"/>
    <w:autoRedefine/>
    <w:qFormat/>
    <w:uiPriority w:val="0"/>
    <w:rPr>
      <w:rFonts w:hint="default" w:ascii="等线 Regular" w:hAnsi="等线 Regular" w:eastAsia="等线 Regular" w:cs="等线 Regular"/>
      <w:color w:val="0070C0"/>
      <w:sz w:val="28"/>
      <w:szCs w:val="28"/>
      <w:u w:val="none"/>
    </w:rPr>
  </w:style>
  <w:style w:type="character" w:customStyle="1" w:styleId="137">
    <w:name w:val="font51"/>
    <w:basedOn w:val="29"/>
    <w:autoRedefine/>
    <w:qFormat/>
    <w:uiPriority w:val="0"/>
    <w:rPr>
      <w:rFonts w:hint="default" w:ascii="等线 Regular" w:hAnsi="等线 Regular" w:eastAsia="等线 Regular" w:cs="等线 Regular"/>
      <w:color w:val="000000"/>
      <w:sz w:val="28"/>
      <w:szCs w:val="28"/>
      <w:u w:val="none"/>
    </w:rPr>
  </w:style>
  <w:style w:type="paragraph" w:customStyle="1" w:styleId="138">
    <w:name w:val="表头"/>
    <w:basedOn w:val="139"/>
    <w:next w:val="1"/>
    <w:autoRedefine/>
    <w:qFormat/>
    <w:uiPriority w:val="0"/>
    <w:rPr>
      <w:b/>
      <w:bCs/>
    </w:rPr>
  </w:style>
  <w:style w:type="paragraph" w:customStyle="1" w:styleId="139">
    <w:name w:val="表格"/>
    <w:basedOn w:val="1"/>
    <w:next w:val="1"/>
    <w:autoRedefine/>
    <w:qFormat/>
    <w:uiPriority w:val="0"/>
    <w:pPr>
      <w:widowControl/>
      <w:jc w:val="center"/>
    </w:pPr>
    <w:rPr>
      <w:rFonts w:ascii="宋体" w:hAnsi="宋体" w:eastAsia="宋体" w:cs="宋体"/>
      <w:color w:val="000000"/>
      <w:kern w:val="0"/>
      <w:sz w:val="18"/>
      <w:szCs w:val="18"/>
    </w:rPr>
  </w:style>
  <w:style w:type="paragraph" w:customStyle="1" w:styleId="140">
    <w:name w:val="列出段落1"/>
    <w:basedOn w:val="1"/>
    <w:autoRedefine/>
    <w:qFormat/>
    <w:uiPriority w:val="34"/>
    <w:pPr>
      <w:widowControl/>
      <w:spacing w:line="360" w:lineRule="auto"/>
      <w:ind w:firstLine="420" w:firstLineChars="200"/>
      <w:jc w:val="left"/>
    </w:pPr>
    <w:rPr>
      <w:rFonts w:ascii="Calibri" w:hAnsi="Calibri" w:eastAsia="宋体"/>
      <w:kern w:val="0"/>
      <w:sz w:val="24"/>
      <w:lang w:val="en-GB"/>
    </w:rPr>
  </w:style>
  <w:style w:type="paragraph" w:styleId="141">
    <w:name w:val="List Paragraph"/>
    <w:basedOn w:val="1"/>
    <w:autoRedefine/>
    <w:qFormat/>
    <w:uiPriority w:val="99"/>
    <w:pPr>
      <w:ind w:firstLine="420" w:firstLineChars="200"/>
    </w:pPr>
  </w:style>
  <w:style w:type="character" w:customStyle="1" w:styleId="142">
    <w:name w:val="正文首行缩进 2 Char"/>
    <w:basedOn w:val="29"/>
    <w:link w:val="15"/>
    <w:autoRedefine/>
    <w:qFormat/>
    <w:uiPriority w:val="0"/>
    <w:rPr>
      <w:rFonts w:ascii="Calibri" w:hAnsi="Calibri" w:eastAsia="Calibri"/>
      <w:sz w:val="24"/>
      <w:szCs w:val="24"/>
    </w:rPr>
  </w:style>
  <w:style w:type="paragraph" w:styleId="143">
    <w:name w:val="No Spacing"/>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144">
    <w:name w:val="font11"/>
    <w:basedOn w:val="29"/>
    <w:autoRedefine/>
    <w:qFormat/>
    <w:uiPriority w:val="0"/>
    <w:rPr>
      <w:rFonts w:hint="eastAsia" w:ascii="宋体" w:hAnsi="宋体" w:eastAsia="宋体" w:cs="宋体"/>
      <w:color w:val="000000"/>
      <w:sz w:val="20"/>
      <w:szCs w:val="20"/>
      <w:u w:val="none"/>
    </w:rPr>
  </w:style>
  <w:style w:type="character" w:customStyle="1" w:styleId="145">
    <w:name w:val="font101"/>
    <w:basedOn w:val="29"/>
    <w:qFormat/>
    <w:uiPriority w:val="0"/>
    <w:rPr>
      <w:rFonts w:ascii="Calibri" w:hAnsi="Calibri" w:cs="Calibri"/>
      <w:color w:val="000000"/>
      <w:sz w:val="18"/>
      <w:szCs w:val="18"/>
      <w:u w:val="none"/>
    </w:rPr>
  </w:style>
  <w:style w:type="character" w:customStyle="1" w:styleId="146">
    <w:name w:val="NormalCharacter"/>
    <w:link w:val="147"/>
    <w:semiHidden/>
    <w:qFormat/>
    <w:uiPriority w:val="0"/>
    <w:rPr>
      <w:rFonts w:ascii="Tahoma" w:hAnsi="Tahoma" w:eastAsia="宋体"/>
      <w:spacing w:val="6"/>
      <w:kern w:val="2"/>
      <w:sz w:val="24"/>
      <w:szCs w:val="20"/>
      <w:lang w:val="en-US" w:eastAsia="zh-CN" w:bidi="ar-SA"/>
    </w:rPr>
  </w:style>
  <w:style w:type="paragraph" w:customStyle="1" w:styleId="147">
    <w:name w:val="UserStyle_1"/>
    <w:basedOn w:val="1"/>
    <w:link w:val="146"/>
    <w:qFormat/>
    <w:uiPriority w:val="0"/>
    <w:pPr>
      <w:tabs>
        <w:tab w:val="right" w:pos="-2120"/>
      </w:tabs>
      <w:snapToGrid w:val="0"/>
      <w:jc w:val="both"/>
      <w:textAlignment w:val="baseline"/>
    </w:pPr>
    <w:rPr>
      <w:rFonts w:ascii="Tahoma" w:hAnsi="Tahoma" w:eastAsia="宋体"/>
      <w:spacing w:val="6"/>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25867</Words>
  <Characters>27316</Characters>
  <Lines>231</Lines>
  <Paragraphs>65</Paragraphs>
  <TotalTime>6</TotalTime>
  <ScaleCrop>false</ScaleCrop>
  <LinksUpToDate>false</LinksUpToDate>
  <CharactersWithSpaces>28583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2024-06-05T02:31:00Z</dcterms:created>
  <dc:creator>微软用户</dc:creator>
  <cp:lastModifiedBy>NTKO</cp:lastModifiedBy>
  <cp:lastPrinted>2025-05-19T00:30:00Z</cp:lastPrinted>
  <dcterms:modified xsi:type="dcterms:W3CDTF">2025-10-09T08:02:59Z</dcterms:modified>
  <dc:title>驻马店市政府采购货物项目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1E2CA57F4C6F4D7D856A55D8ADE10369_13</vt:lpwstr>
  </property>
  <property fmtid="{D5CDD505-2E9C-101B-9397-08002B2CF9AE}" pid="4" name="KSOTemplateDocerSaveRecord">
    <vt:lpwstr>eyJoZGlkIjoiMTE1OGZjNTRmZmFmMGQyNDk1YWY1ZWY5N2ZiYWNmN2YiLCJ1c2VySWQiOiIzNTAwNjI5MjMifQ==</vt:lpwstr>
  </property>
</Properties>
</file>