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EAD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992"/>
        <w:jc w:val="center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采购需求</w:t>
      </w:r>
    </w:p>
    <w:p w14:paraId="1C4466AD">
      <w:pPr>
        <w:pStyle w:val="3"/>
        <w:spacing w:before="27" w:line="350" w:lineRule="auto"/>
        <w:rPr>
          <w:rFonts w:hint="eastAsia" w:ascii="宋体" w:hAnsi="宋体" w:eastAsia="宋体"/>
          <w:b/>
          <w:color w:val="auto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pacing w:val="-2"/>
          <w:sz w:val="24"/>
          <w:szCs w:val="24"/>
          <w:highlight w:val="none"/>
        </w:rPr>
        <w:t>一、</w:t>
      </w:r>
      <w:r>
        <w:rPr>
          <w:rFonts w:ascii="宋体" w:hAnsi="宋体"/>
          <w:b/>
          <w:color w:val="auto"/>
          <w:spacing w:val="-2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color w:val="auto"/>
          <w:spacing w:val="-2"/>
          <w:sz w:val="24"/>
          <w:szCs w:val="24"/>
          <w:highlight w:val="none"/>
          <w:lang w:eastAsia="zh-CN"/>
        </w:rPr>
        <w:t>遂平县2025年玉米单产提升工程项目</w:t>
      </w:r>
    </w:p>
    <w:p w14:paraId="35821392">
      <w:pPr>
        <w:spacing w:line="360" w:lineRule="auto"/>
        <w:rPr>
          <w:rFonts w:hint="eastAsia" w:ascii="宋体" w:hAnsi="宋体" w:cs="仿宋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pacing w:val="-2"/>
          <w:sz w:val="24"/>
          <w:highlight w:val="none"/>
          <w:lang w:eastAsia="zh-CN"/>
        </w:rPr>
        <w:t>二</w:t>
      </w:r>
      <w:r>
        <w:rPr>
          <w:rFonts w:ascii="宋体" w:hAnsi="宋体"/>
          <w:b/>
          <w:color w:val="auto"/>
          <w:spacing w:val="-2"/>
          <w:sz w:val="24"/>
          <w:highlight w:val="none"/>
        </w:rPr>
        <w:t>、招标范围：</w:t>
      </w:r>
      <w:r>
        <w:rPr>
          <w:rFonts w:hint="eastAsia" w:ascii="宋体" w:hAnsi="宋体"/>
          <w:color w:val="auto"/>
          <w:spacing w:val="-2"/>
          <w:sz w:val="24"/>
          <w:highlight w:val="none"/>
          <w:lang w:eastAsia="zh-CN"/>
        </w:rPr>
        <w:t>遂平县农业农村局拟采购</w:t>
      </w:r>
      <w:r>
        <w:rPr>
          <w:rFonts w:hint="eastAsia" w:ascii="宋体" w:hAnsi="宋体" w:cs="宋体"/>
          <w:bCs/>
          <w:sz w:val="24"/>
        </w:rPr>
        <w:t>可移动式水肥一体机</w:t>
      </w:r>
      <w:r>
        <w:rPr>
          <w:rFonts w:hint="eastAsia" w:ascii="宋体" w:hAnsi="宋体"/>
          <w:color w:val="auto"/>
          <w:spacing w:val="-2"/>
          <w:sz w:val="24"/>
          <w:highlight w:val="none"/>
          <w:lang w:eastAsia="zh-CN"/>
        </w:rPr>
        <w:t>一批。</w:t>
      </w:r>
      <w:r>
        <w:rPr>
          <w:rFonts w:hint="eastAsia" w:ascii="宋体" w:hAnsi="宋体" w:cs="仿宋"/>
          <w:sz w:val="24"/>
        </w:rPr>
        <w:t>本项目</w:t>
      </w:r>
      <w:r>
        <w:rPr>
          <w:rFonts w:hint="eastAsia" w:ascii="宋体" w:hAnsi="宋体" w:cs="仿宋"/>
          <w:sz w:val="24"/>
          <w:lang w:eastAsia="zh-CN"/>
        </w:rPr>
        <w:t>共划分一个包</w:t>
      </w:r>
      <w:r>
        <w:rPr>
          <w:rFonts w:hint="eastAsia" w:ascii="宋体" w:hAnsi="宋体" w:cs="仿宋"/>
          <w:color w:val="auto"/>
          <w:sz w:val="24"/>
          <w:highlight w:val="none"/>
        </w:rPr>
        <w:t>，具体内容详见如下；</w:t>
      </w:r>
    </w:p>
    <w:tbl>
      <w:tblPr>
        <w:tblStyle w:val="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585"/>
        <w:gridCol w:w="1256"/>
        <w:gridCol w:w="1856"/>
        <w:gridCol w:w="1959"/>
        <w:gridCol w:w="848"/>
      </w:tblGrid>
      <w:tr w14:paraId="31F7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0" w:type="dxa"/>
            <w:noWrap w:val="0"/>
            <w:vAlign w:val="center"/>
          </w:tcPr>
          <w:p w14:paraId="27C56FAC"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585" w:type="dxa"/>
            <w:noWrap w:val="0"/>
            <w:vAlign w:val="center"/>
          </w:tcPr>
          <w:p w14:paraId="14B2D51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  <w:t>标的物名称</w:t>
            </w:r>
          </w:p>
        </w:tc>
        <w:tc>
          <w:tcPr>
            <w:tcW w:w="1256" w:type="dxa"/>
            <w:noWrap w:val="0"/>
            <w:vAlign w:val="center"/>
          </w:tcPr>
          <w:p w14:paraId="1265229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数量</w:t>
            </w:r>
          </w:p>
        </w:tc>
        <w:tc>
          <w:tcPr>
            <w:tcW w:w="1856" w:type="dxa"/>
            <w:noWrap w:val="0"/>
            <w:vAlign w:val="center"/>
          </w:tcPr>
          <w:p w14:paraId="1160EDF7"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预算单价（元）</w:t>
            </w:r>
          </w:p>
        </w:tc>
        <w:tc>
          <w:tcPr>
            <w:tcW w:w="1959" w:type="dxa"/>
            <w:noWrap w:val="0"/>
            <w:vAlign w:val="center"/>
          </w:tcPr>
          <w:p w14:paraId="014A109C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预算金额（元）</w:t>
            </w:r>
          </w:p>
        </w:tc>
        <w:tc>
          <w:tcPr>
            <w:tcW w:w="848" w:type="dxa"/>
            <w:noWrap w:val="0"/>
            <w:vAlign w:val="center"/>
          </w:tcPr>
          <w:p w14:paraId="3F287D78">
            <w:pPr>
              <w:spacing w:line="56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</w:tr>
      <w:tr w14:paraId="38DD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0" w:type="dxa"/>
            <w:noWrap w:val="0"/>
            <w:vAlign w:val="center"/>
          </w:tcPr>
          <w:p w14:paraId="13154D53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585" w:type="dxa"/>
            <w:noWrap w:val="0"/>
            <w:vAlign w:val="center"/>
          </w:tcPr>
          <w:p w14:paraId="63A11600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可移动式水肥一体机</w:t>
            </w:r>
          </w:p>
        </w:tc>
        <w:tc>
          <w:tcPr>
            <w:tcW w:w="1256" w:type="dxa"/>
            <w:noWrap w:val="0"/>
            <w:vAlign w:val="center"/>
          </w:tcPr>
          <w:p w14:paraId="3D62348C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1500套</w:t>
            </w:r>
          </w:p>
        </w:tc>
        <w:tc>
          <w:tcPr>
            <w:tcW w:w="1856" w:type="dxa"/>
            <w:noWrap w:val="0"/>
            <w:vAlign w:val="center"/>
          </w:tcPr>
          <w:p w14:paraId="7042772F">
            <w:pPr>
              <w:spacing w:line="560" w:lineRule="exact"/>
              <w:jc w:val="center"/>
              <w:rPr>
                <w:rFonts w:hint="default" w:ascii="宋体" w:hAnsi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20000.00</w:t>
            </w:r>
          </w:p>
        </w:tc>
        <w:tc>
          <w:tcPr>
            <w:tcW w:w="1959" w:type="dxa"/>
            <w:noWrap w:val="0"/>
            <w:vAlign w:val="center"/>
          </w:tcPr>
          <w:p w14:paraId="1BD97D52">
            <w:pPr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30000000.00</w:t>
            </w:r>
          </w:p>
        </w:tc>
        <w:tc>
          <w:tcPr>
            <w:tcW w:w="848" w:type="dxa"/>
            <w:noWrap w:val="0"/>
            <w:vAlign w:val="center"/>
          </w:tcPr>
          <w:p w14:paraId="5D610A3F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 w14:paraId="7C140D61">
      <w:pPr>
        <w:spacing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  <w:bookmarkStart w:id="0" w:name="_Hlk82446871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、</w:t>
      </w:r>
      <w:r>
        <w:rPr>
          <w:rFonts w:ascii="宋体" w:hAnsi="宋体" w:cs="宋体"/>
          <w:b/>
          <w:bCs/>
          <w:color w:val="auto"/>
          <w:sz w:val="24"/>
          <w:highlight w:val="none"/>
        </w:rPr>
        <w:t>技术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要求</w:t>
      </w:r>
      <w:r>
        <w:rPr>
          <w:rFonts w:ascii="宋体" w:hAnsi="宋体" w:cs="宋体"/>
          <w:b/>
          <w:bCs/>
          <w:color w:val="auto"/>
          <w:sz w:val="24"/>
          <w:highlight w:val="none"/>
        </w:rPr>
        <w:t>：</w:t>
      </w:r>
    </w:p>
    <w:bookmarkEnd w:id="0"/>
    <w:tbl>
      <w:tblPr>
        <w:tblStyle w:val="8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20"/>
        <w:gridCol w:w="5335"/>
        <w:gridCol w:w="821"/>
        <w:gridCol w:w="886"/>
      </w:tblGrid>
      <w:tr w14:paraId="17F1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37" w:type="dxa"/>
            <w:noWrap w:val="0"/>
            <w:vAlign w:val="center"/>
          </w:tcPr>
          <w:p w14:paraId="4B70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 w14:paraId="0B4F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5335" w:type="dxa"/>
            <w:noWrap w:val="0"/>
            <w:vAlign w:val="center"/>
          </w:tcPr>
          <w:p w14:paraId="40F0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设备参数</w:t>
            </w:r>
          </w:p>
        </w:tc>
        <w:tc>
          <w:tcPr>
            <w:tcW w:w="821" w:type="dxa"/>
            <w:noWrap w:val="0"/>
            <w:vAlign w:val="center"/>
          </w:tcPr>
          <w:p w14:paraId="3F33C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886" w:type="dxa"/>
            <w:noWrap w:val="0"/>
            <w:vAlign w:val="center"/>
          </w:tcPr>
          <w:p w14:paraId="5D17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2A27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37" w:type="dxa"/>
            <w:noWrap w:val="0"/>
            <w:vAlign w:val="top"/>
          </w:tcPr>
          <w:p w14:paraId="2D867A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555" w:type="dxa"/>
            <w:gridSpan w:val="2"/>
            <w:noWrap w:val="0"/>
            <w:vAlign w:val="top"/>
          </w:tcPr>
          <w:p w14:paraId="73A530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可移动式水肥一体机</w:t>
            </w:r>
          </w:p>
        </w:tc>
        <w:tc>
          <w:tcPr>
            <w:tcW w:w="821" w:type="dxa"/>
            <w:noWrap w:val="0"/>
            <w:vAlign w:val="top"/>
          </w:tcPr>
          <w:p w14:paraId="76B4B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4834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1500</w:t>
            </w:r>
          </w:p>
        </w:tc>
      </w:tr>
      <w:tr w14:paraId="3D49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1037" w:type="dxa"/>
            <w:noWrap w:val="0"/>
            <w:vAlign w:val="top"/>
          </w:tcPr>
          <w:p w14:paraId="69FF94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4C0CE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B632E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4639B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3365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7D6DB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EF542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3BCFF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1.1</w:t>
            </w:r>
          </w:p>
          <w:p w14:paraId="3846AA6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 w14:paraId="60CB78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FCEA8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6D14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0F9A1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A453F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76D81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81C9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7F75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移动水肥车主体</w:t>
            </w:r>
          </w:p>
        </w:tc>
        <w:tc>
          <w:tcPr>
            <w:tcW w:w="5335" w:type="dxa"/>
            <w:noWrap w:val="0"/>
            <w:vAlign w:val="top"/>
          </w:tcPr>
          <w:p w14:paraId="37D6EF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1)柜体规格尺寸220*500*800mm，1.5mm厚镀锌钢板，急停按钮，手动开关； </w:t>
            </w:r>
          </w:p>
          <w:p w14:paraId="23C816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2)供电参数：电源AC380V； </w:t>
            </w:r>
          </w:p>
          <w:p w14:paraId="27A131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3)通讯方式：除了传统通讯模块外，支持4G/5G+LoRa无线通讯等无线通讯模式； </w:t>
            </w:r>
          </w:p>
          <w:p w14:paraId="47B27A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4)传输方式：RS485及RS232接口，系统留有通讯接口功能,可作为云计算节点嵌入到物联网平台； </w:t>
            </w:r>
          </w:p>
          <w:p w14:paraId="3968A56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5)施肥灌溉模式：简易分布点操作，自动注水、搅拌、施肥、灌溉一键操作; </w:t>
            </w:r>
          </w:p>
          <w:p w14:paraId="16A4E1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6)可通过指令解析和设备控制等技术，实现用户通过灌溉设备和系统进行交互和控制的功能。为用户提供更加智能、便</w:t>
            </w:r>
          </w:p>
          <w:p w14:paraId="5802E5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捷的操作方式，提高灌溉设备可用性和用户体验； </w:t>
            </w:r>
          </w:p>
          <w:p w14:paraId="518671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7)控制界面集成首部灌溉系统,阀门控制、施肥机控制; </w:t>
            </w:r>
          </w:p>
          <w:p w14:paraId="2FB8320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8)控制方式：本地手动控制、远程电脑控制、手机小程序控制；灌溉模式可选，灌溉流量、灌溉时间可控； </w:t>
            </w:r>
          </w:p>
          <w:p w14:paraId="243795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9)10寸高清触摸屏：中文人机交互界面、简单易学，好操作；</w:t>
            </w:r>
          </w:p>
          <w:p w14:paraId="2FF9E7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10)预留环境数据智能感知管理接口，可通过传感器，智能感知、采集环境数据,为智慧灌溉施肥提供决策依据和管理等功能； </w:t>
            </w:r>
          </w:p>
          <w:p w14:paraId="6F0055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11）支持北斗或GPS定位； </w:t>
            </w:r>
          </w:p>
          <w:p w14:paraId="7E7E85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12）具有故障报警及设备保护功能； </w:t>
            </w:r>
          </w:p>
          <w:p w14:paraId="624FC4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13）支持防盗系统功能；</w:t>
            </w:r>
          </w:p>
          <w:p w14:paraId="62D495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14）移动水肥车最大功率：1.6KW（包含水肥一体机、施肥泵、水肥搅拌电机）</w:t>
            </w:r>
          </w:p>
        </w:tc>
        <w:tc>
          <w:tcPr>
            <w:tcW w:w="821" w:type="dxa"/>
            <w:noWrap w:val="0"/>
            <w:vAlign w:val="top"/>
          </w:tcPr>
          <w:p w14:paraId="1997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0916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4A71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1037" w:type="dxa"/>
            <w:noWrap w:val="0"/>
            <w:vAlign w:val="top"/>
          </w:tcPr>
          <w:p w14:paraId="27B21D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CD7D1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BFF93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55C2A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1.2</w:t>
            </w:r>
          </w:p>
          <w:p w14:paraId="0C58715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 w14:paraId="42615C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E8AD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88540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9621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离心过滤器</w:t>
            </w:r>
          </w:p>
        </w:tc>
        <w:tc>
          <w:tcPr>
            <w:tcW w:w="5335" w:type="dxa"/>
            <w:noWrap w:val="0"/>
            <w:vAlign w:val="top"/>
          </w:tcPr>
          <w:p w14:paraId="4B6206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1)主体材质：增强尼龙PA6 </w:t>
            </w:r>
          </w:p>
          <w:p w14:paraId="665AA0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2)连接尺寸DN80，法兰接口 </w:t>
            </w:r>
          </w:p>
          <w:p w14:paraId="3947C1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3)流量30-50m3/h </w:t>
            </w:r>
          </w:p>
          <w:p w14:paraId="758448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4)工作压力0.8Mpa，进水压力越大清洗越干净 </w:t>
            </w:r>
          </w:p>
          <w:p w14:paraId="586E37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5)除砂效果：砂石去除率92%-98% </w:t>
            </w:r>
          </w:p>
          <w:p w14:paraId="30218E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6）水头损失：2-6米 </w:t>
            </w:r>
          </w:p>
          <w:p w14:paraId="6C59F0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7）具有自动排沙功能</w:t>
            </w:r>
          </w:p>
        </w:tc>
        <w:tc>
          <w:tcPr>
            <w:tcW w:w="821" w:type="dxa"/>
            <w:noWrap w:val="0"/>
            <w:vAlign w:val="top"/>
          </w:tcPr>
          <w:p w14:paraId="73AEE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627F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5B79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  <w:jc w:val="center"/>
        </w:trPr>
        <w:tc>
          <w:tcPr>
            <w:tcW w:w="1037" w:type="dxa"/>
            <w:noWrap w:val="0"/>
            <w:vAlign w:val="top"/>
          </w:tcPr>
          <w:p w14:paraId="677DE8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C79EB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DFBF2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1.3</w:t>
            </w:r>
          </w:p>
          <w:p w14:paraId="5FA0D363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 w14:paraId="52EE8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2EA1A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B7A5E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网式过滤器</w:t>
            </w:r>
          </w:p>
        </w:tc>
        <w:tc>
          <w:tcPr>
            <w:tcW w:w="5335" w:type="dxa"/>
            <w:noWrap w:val="0"/>
            <w:vAlign w:val="top"/>
          </w:tcPr>
          <w:p w14:paraId="1658850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1、最大流量40方； </w:t>
            </w:r>
          </w:p>
          <w:p w14:paraId="3EC92B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2、公称压力0.6Mpa； </w:t>
            </w:r>
          </w:p>
          <w:p w14:paraId="1DF366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3、过滤精度≥100目； </w:t>
            </w:r>
          </w:p>
          <w:p w14:paraId="31C0AF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4、组装拼接，在平台上用专用的模具进行定位拼装；</w:t>
            </w:r>
          </w:p>
          <w:p w14:paraId="23EB4B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5、打压检测，对罐体进行打压检测，确保无漏水， </w:t>
            </w:r>
          </w:p>
          <w:p w14:paraId="2EA52F5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6、表面处理，除锈抛光，采用打磨和喷砂处理， </w:t>
            </w:r>
          </w:p>
          <w:p w14:paraId="23DC6C9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7、表面喷涂，喷漆达到一遍底漆两遍面漆。</w:t>
            </w:r>
          </w:p>
        </w:tc>
        <w:tc>
          <w:tcPr>
            <w:tcW w:w="821" w:type="dxa"/>
            <w:noWrap w:val="0"/>
            <w:vAlign w:val="top"/>
          </w:tcPr>
          <w:p w14:paraId="2B21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165E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223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037" w:type="dxa"/>
            <w:noWrap w:val="0"/>
            <w:vAlign w:val="top"/>
          </w:tcPr>
          <w:p w14:paraId="1CADDD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D8DE3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FEDBC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CFFDF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1.4</w:t>
            </w:r>
          </w:p>
          <w:p w14:paraId="5FA4061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top"/>
          </w:tcPr>
          <w:p w14:paraId="2B7968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FD650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30E074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7C3E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施肥桶及搅拌电机</w:t>
            </w:r>
          </w:p>
        </w:tc>
        <w:tc>
          <w:tcPr>
            <w:tcW w:w="5335" w:type="dxa"/>
            <w:noWrap w:val="0"/>
            <w:vAlign w:val="top"/>
          </w:tcPr>
          <w:p w14:paraId="346079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1)容积300L； </w:t>
            </w:r>
          </w:p>
          <w:p w14:paraId="38FDCD0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2)采用LDPE材质，滚塑工艺。具有抗老化、抗紫外，耐低温； </w:t>
            </w:r>
          </w:p>
          <w:p w14:paraId="7D1BCD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3)桶身全型号外刻容量刻度，方便配料； </w:t>
            </w:r>
          </w:p>
          <w:p w14:paraId="51508F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4）DN25排空阀 </w:t>
            </w:r>
          </w:p>
          <w:p w14:paraId="5E2701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5）搅拌电机0.75kW，不锈钢电机防雨罩，加带304不锈钢搅拌杆,耐腐蚀。</w:t>
            </w:r>
          </w:p>
        </w:tc>
        <w:tc>
          <w:tcPr>
            <w:tcW w:w="821" w:type="dxa"/>
            <w:noWrap w:val="0"/>
            <w:vAlign w:val="top"/>
          </w:tcPr>
          <w:p w14:paraId="3C56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5900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3295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037" w:type="dxa"/>
            <w:noWrap w:val="0"/>
            <w:vAlign w:val="top"/>
          </w:tcPr>
          <w:p w14:paraId="73C33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5BD712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1.5</w:t>
            </w:r>
          </w:p>
          <w:p w14:paraId="1614D83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4E67A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耐磨轮胎、后桥、承载车架</w:t>
            </w:r>
          </w:p>
        </w:tc>
        <w:tc>
          <w:tcPr>
            <w:tcW w:w="5335" w:type="dxa"/>
            <w:noWrap w:val="0"/>
            <w:vAlign w:val="top"/>
          </w:tcPr>
          <w:p w14:paraId="7B49B3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1.四轮：实心轮胎，规格Φ350mm </w:t>
            </w:r>
          </w:p>
          <w:p w14:paraId="46B8575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2.车体尺寸：宽110cm*200cm；钢架材质40*40*2mm,花纹防滑钢板厚度2.5mm，烤漆或者镀锌钢,承重1200kg </w:t>
            </w:r>
          </w:p>
          <w:p w14:paraId="167CAB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3.方向控制：牵引式转向盘设计</w:t>
            </w:r>
          </w:p>
        </w:tc>
        <w:tc>
          <w:tcPr>
            <w:tcW w:w="821" w:type="dxa"/>
            <w:noWrap w:val="0"/>
            <w:vAlign w:val="top"/>
          </w:tcPr>
          <w:p w14:paraId="6097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116A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1BF1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37" w:type="dxa"/>
            <w:noWrap w:val="0"/>
            <w:vAlign w:val="center"/>
          </w:tcPr>
          <w:p w14:paraId="11A92F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1.6</w:t>
            </w:r>
          </w:p>
          <w:p w14:paraId="68E7C60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E028A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进出水口快速接头</w:t>
            </w:r>
          </w:p>
        </w:tc>
        <w:tc>
          <w:tcPr>
            <w:tcW w:w="5335" w:type="dxa"/>
            <w:noWrap w:val="0"/>
            <w:vAlign w:val="top"/>
          </w:tcPr>
          <w:p w14:paraId="7FED3FB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铝合金材质，DN80，工作压力1.0Mpa，DN80转DN65，DN80 快速接头</w:t>
            </w:r>
          </w:p>
        </w:tc>
        <w:tc>
          <w:tcPr>
            <w:tcW w:w="821" w:type="dxa"/>
            <w:noWrap w:val="0"/>
            <w:vAlign w:val="top"/>
          </w:tcPr>
          <w:p w14:paraId="3C98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886" w:type="dxa"/>
            <w:noWrap w:val="0"/>
            <w:vAlign w:val="top"/>
          </w:tcPr>
          <w:p w14:paraId="765F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3000</w:t>
            </w:r>
          </w:p>
        </w:tc>
      </w:tr>
      <w:tr w14:paraId="0B2F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37" w:type="dxa"/>
            <w:noWrap w:val="0"/>
            <w:vAlign w:val="center"/>
          </w:tcPr>
          <w:p w14:paraId="4C5C2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1.7</w:t>
            </w:r>
          </w:p>
        </w:tc>
        <w:tc>
          <w:tcPr>
            <w:tcW w:w="1220" w:type="dxa"/>
            <w:noWrap w:val="0"/>
            <w:vAlign w:val="center"/>
          </w:tcPr>
          <w:p w14:paraId="719727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安全快接装置</w:t>
            </w:r>
          </w:p>
        </w:tc>
        <w:tc>
          <w:tcPr>
            <w:tcW w:w="5335" w:type="dxa"/>
            <w:noWrap w:val="0"/>
            <w:vAlign w:val="top"/>
          </w:tcPr>
          <w:p w14:paraId="43314D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三相、三芯、防水插头、插座</w:t>
            </w:r>
          </w:p>
        </w:tc>
        <w:tc>
          <w:tcPr>
            <w:tcW w:w="821" w:type="dxa"/>
            <w:noWrap w:val="0"/>
            <w:vAlign w:val="top"/>
          </w:tcPr>
          <w:p w14:paraId="1619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</w:p>
        </w:tc>
        <w:tc>
          <w:tcPr>
            <w:tcW w:w="886" w:type="dxa"/>
            <w:noWrap w:val="0"/>
            <w:vAlign w:val="top"/>
          </w:tcPr>
          <w:p w14:paraId="5F35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7460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37" w:type="dxa"/>
            <w:noWrap w:val="0"/>
            <w:vAlign w:val="center"/>
          </w:tcPr>
          <w:p w14:paraId="35A1E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1.8</w:t>
            </w:r>
          </w:p>
        </w:tc>
        <w:tc>
          <w:tcPr>
            <w:tcW w:w="1220" w:type="dxa"/>
            <w:noWrap w:val="0"/>
            <w:vAlign w:val="center"/>
          </w:tcPr>
          <w:p w14:paraId="53680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进出水管</w:t>
            </w:r>
          </w:p>
        </w:tc>
        <w:tc>
          <w:tcPr>
            <w:tcW w:w="5335" w:type="dxa"/>
            <w:noWrap w:val="0"/>
            <w:vAlign w:val="top"/>
          </w:tcPr>
          <w:p w14:paraId="2C984E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涂塑软管3寸（原生料，0.3MPa，含连接等配件）每套设备配置100米及一台水带卷收器</w:t>
            </w:r>
          </w:p>
        </w:tc>
        <w:tc>
          <w:tcPr>
            <w:tcW w:w="821" w:type="dxa"/>
            <w:noWrap w:val="0"/>
            <w:vAlign w:val="top"/>
          </w:tcPr>
          <w:p w14:paraId="126E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</w:p>
        </w:tc>
        <w:tc>
          <w:tcPr>
            <w:tcW w:w="886" w:type="dxa"/>
            <w:noWrap w:val="0"/>
            <w:vAlign w:val="top"/>
          </w:tcPr>
          <w:p w14:paraId="1625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352A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37" w:type="dxa"/>
            <w:noWrap w:val="0"/>
            <w:vAlign w:val="center"/>
          </w:tcPr>
          <w:p w14:paraId="53DDDE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1.9</w:t>
            </w:r>
          </w:p>
        </w:tc>
        <w:tc>
          <w:tcPr>
            <w:tcW w:w="1220" w:type="dxa"/>
            <w:noWrap w:val="0"/>
            <w:vAlign w:val="top"/>
          </w:tcPr>
          <w:p w14:paraId="3F0A2A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管道及辅材</w:t>
            </w:r>
          </w:p>
        </w:tc>
        <w:tc>
          <w:tcPr>
            <w:tcW w:w="5335" w:type="dxa"/>
            <w:noWrap w:val="0"/>
            <w:vAlign w:val="top"/>
          </w:tcPr>
          <w:p w14:paraId="1DE38E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PVC弯头、转接头、手动球阀、连接管件等，抗高压、耐腐蚀，</w:t>
            </w:r>
          </w:p>
        </w:tc>
        <w:tc>
          <w:tcPr>
            <w:tcW w:w="821" w:type="dxa"/>
            <w:noWrap w:val="0"/>
            <w:vAlign w:val="top"/>
          </w:tcPr>
          <w:p w14:paraId="38B1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</w:p>
        </w:tc>
        <w:tc>
          <w:tcPr>
            <w:tcW w:w="886" w:type="dxa"/>
            <w:noWrap w:val="0"/>
            <w:vAlign w:val="top"/>
          </w:tcPr>
          <w:p w14:paraId="45DFF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  <w:tr w14:paraId="04DD1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37" w:type="dxa"/>
            <w:noWrap w:val="0"/>
            <w:vAlign w:val="center"/>
          </w:tcPr>
          <w:p w14:paraId="63F3BE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1.10</w:t>
            </w:r>
          </w:p>
        </w:tc>
        <w:tc>
          <w:tcPr>
            <w:tcW w:w="1220" w:type="dxa"/>
            <w:noWrap w:val="0"/>
            <w:vAlign w:val="top"/>
          </w:tcPr>
          <w:p w14:paraId="1EACE6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阀门及连接件</w:t>
            </w:r>
          </w:p>
        </w:tc>
        <w:tc>
          <w:tcPr>
            <w:tcW w:w="5335" w:type="dxa"/>
            <w:noWrap w:val="0"/>
            <w:vAlign w:val="top"/>
          </w:tcPr>
          <w:p w14:paraId="4A2CA8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排气阀、控制球阀、流量计等</w:t>
            </w:r>
          </w:p>
        </w:tc>
        <w:tc>
          <w:tcPr>
            <w:tcW w:w="821" w:type="dxa"/>
            <w:noWrap w:val="0"/>
            <w:vAlign w:val="top"/>
          </w:tcPr>
          <w:p w14:paraId="3D57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批</w:t>
            </w:r>
          </w:p>
        </w:tc>
        <w:tc>
          <w:tcPr>
            <w:tcW w:w="886" w:type="dxa"/>
            <w:noWrap w:val="0"/>
            <w:vAlign w:val="top"/>
          </w:tcPr>
          <w:p w14:paraId="79E2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</w:tr>
    </w:tbl>
    <w:p w14:paraId="2BDC9C44"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/>
          <w:b/>
          <w:color w:val="auto"/>
          <w:spacing w:val="-2"/>
          <w:sz w:val="24"/>
          <w:highlight w:val="none"/>
          <w:lang w:eastAsia="zh-CN"/>
        </w:rPr>
        <w:t>四</w:t>
      </w:r>
      <w:r>
        <w:rPr>
          <w:b/>
          <w:color w:val="auto"/>
          <w:spacing w:val="-2"/>
          <w:sz w:val="24"/>
          <w:highlight w:val="none"/>
        </w:rPr>
        <w:t>、商务要求</w:t>
      </w:r>
      <w:r>
        <w:rPr>
          <w:rFonts w:hint="eastAsia"/>
          <w:b/>
          <w:color w:val="auto"/>
          <w:spacing w:val="-2"/>
          <w:sz w:val="24"/>
          <w:highlight w:val="none"/>
        </w:rPr>
        <w:t>：</w:t>
      </w:r>
    </w:p>
    <w:tbl>
      <w:tblPr>
        <w:tblStyle w:val="7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6959"/>
      </w:tblGrid>
      <w:tr w14:paraId="6BA3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952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7" w:name="_GoBack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质量标准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002CE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符合国家标准、行业标准、地区标准等，合格。</w:t>
            </w:r>
          </w:p>
        </w:tc>
      </w:tr>
      <w:tr w14:paraId="3E71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B7CB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质量保证期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20AF8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</w:tc>
      </w:tr>
      <w:tr w14:paraId="393E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4BC6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验收标准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FB992">
            <w:pPr>
              <w:spacing w:line="360" w:lineRule="auto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由采购人成立验收小组，按照采购合同的约定对中标人履约情况进行验收，按照采购合同的约定对每一项技术、服务、安全标准的履约情况进行确认.验收合格后，由验收小组组成人员签署验收合格报告，该验收报告将作为付款的主要依据。</w:t>
            </w:r>
          </w:p>
          <w:p w14:paraId="5F5B73F2">
            <w:pPr>
              <w:spacing w:line="360" w:lineRule="auto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验收标准：满足国家、省、市相关规范及其他相关专业现行规范要求，符合招标人验收的有关要求。</w:t>
            </w:r>
          </w:p>
        </w:tc>
      </w:tr>
      <w:tr w14:paraId="4A32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7B41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_Toc103585369"/>
            <w:bookmarkStart w:id="2" w:name="_Toc103092200"/>
            <w:bookmarkStart w:id="3" w:name="_Toc101881256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合同签订时间</w:t>
            </w:r>
            <w:bookmarkEnd w:id="1"/>
            <w:bookmarkEnd w:id="2"/>
            <w:bookmarkEnd w:id="3"/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1E82">
            <w:pPr>
              <w:spacing w:line="360" w:lineRule="auto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中标通知书发出之日起2个工作日内</w:t>
            </w:r>
          </w:p>
        </w:tc>
      </w:tr>
      <w:tr w14:paraId="38F0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475C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交货期及交货地点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1957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交货期：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2026年3月31日前供货安装调试完毕，达到初验标准。</w:t>
            </w:r>
          </w:p>
          <w:p w14:paraId="484FDD46">
            <w:pPr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交货地点：遂平县境内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采购人指定地点</w:t>
            </w:r>
          </w:p>
        </w:tc>
      </w:tr>
      <w:tr w14:paraId="7B33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FEF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合同履行期限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5A7E7A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自合同生效至质量保证期结束。</w:t>
            </w:r>
          </w:p>
        </w:tc>
      </w:tr>
      <w:tr w14:paraId="4257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83E9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4" w:name="_Toc103092204"/>
            <w:bookmarkStart w:id="5" w:name="_Toc101881260"/>
            <w:bookmarkStart w:id="6" w:name="_Toc103585373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付款方式</w:t>
            </w:r>
            <w:bookmarkEnd w:id="4"/>
            <w:bookmarkEnd w:id="5"/>
            <w:bookmarkEnd w:id="6"/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13419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合同签订后支付合同金额的30%作为预付款，货物交付完成后付至合同金额的80%，项目验收合格后付清剩余20%。</w:t>
            </w:r>
          </w:p>
        </w:tc>
      </w:tr>
      <w:tr w14:paraId="3BF0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5E9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售后技术服务要求、售后服务保障或维修响应时间要求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8BCA7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供应商具有完善的售后服务体系及详细的售后服务计划。负责安装、调试，并保证设备正常运行，供应设备全生命周期的零部件，由原厂工程师对需方管理操作人员免费进行一次培训。保修期内，定期回访、巡检客户设备。供方提供12小时电话响应，故障响应时间1小时，若电话或远程技术支持不能解决问题，供方技术人员30分钟到达需方现场并解决问题。如果12小时不能及时解决问题，由供方提供备用设备，保证不因为供方设备问题影响需方使用。保修期结束后，仍负责提供维修服务，只能收取成本费。</w:t>
            </w:r>
          </w:p>
        </w:tc>
      </w:tr>
      <w:tr w14:paraId="08BE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E22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备品备件及耗材</w:t>
            </w:r>
          </w:p>
          <w:p w14:paraId="7F5EEB4D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等要求</w:t>
            </w:r>
          </w:p>
        </w:tc>
        <w:tc>
          <w:tcPr>
            <w:tcW w:w="6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7B35E3">
            <w:pPr>
              <w:widowControl/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highlight w:val="none"/>
              </w:rPr>
              <w:t>投标人须确保货物及所有配套件的完整性。对于招标文件没有列出，对货物的正常安装调试、使用和维护必不可少的且应属于货物需求配带的部件、配件等，投标人有责任给予补充。</w:t>
            </w:r>
          </w:p>
        </w:tc>
      </w:tr>
      <w:bookmarkEnd w:id="7"/>
    </w:tbl>
    <w:p w14:paraId="58B52F1E">
      <w:pPr>
        <w:spacing w:line="360" w:lineRule="auto"/>
        <w:rPr>
          <w:rFonts w:hint="eastAsia"/>
          <w:b/>
          <w:color w:val="auto"/>
          <w:spacing w:val="-2"/>
          <w:sz w:val="24"/>
          <w:highlight w:val="none"/>
        </w:rPr>
      </w:pPr>
      <w:r>
        <w:rPr>
          <w:rFonts w:hint="eastAsia"/>
          <w:b/>
          <w:color w:val="auto"/>
          <w:spacing w:val="-2"/>
          <w:sz w:val="24"/>
          <w:highlight w:val="none"/>
          <w:lang w:eastAsia="zh-CN"/>
        </w:rPr>
        <w:t>五</w:t>
      </w:r>
      <w:r>
        <w:rPr>
          <w:rFonts w:hint="eastAsia"/>
          <w:b/>
          <w:color w:val="auto"/>
          <w:spacing w:val="-2"/>
          <w:sz w:val="24"/>
          <w:highlight w:val="none"/>
        </w:rPr>
        <w:t>、采购人对项目的特殊要求及说明</w:t>
      </w:r>
    </w:p>
    <w:tbl>
      <w:tblPr>
        <w:tblStyle w:val="7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476"/>
      </w:tblGrid>
      <w:tr w14:paraId="08A6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3BC8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采购人的特殊要求及说明</w:t>
            </w:r>
          </w:p>
        </w:tc>
        <w:tc>
          <w:tcPr>
            <w:tcW w:w="7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DEEF"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zCs w:val="24"/>
                <w:highlight w:val="none"/>
              </w:rPr>
            </w:pPr>
            <w:r>
              <w:rPr>
                <w:rFonts w:hint="eastAsia"/>
                <w:color w:val="auto"/>
                <w:szCs w:val="24"/>
                <w:highlight w:val="none"/>
              </w:rPr>
              <w:t>1、依据《政府采购促进中小企业发展管理办法》(财库〔2020〕46号)的规定享受扶持政策获得政府采购合同的，小微企业不得将合同分包给大中型企业，中型企业不得将合同分包给大型企业。</w:t>
            </w:r>
          </w:p>
          <w:p w14:paraId="0DA7493B"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zCs w:val="24"/>
                <w:highlight w:val="none"/>
              </w:rPr>
            </w:pPr>
            <w:r>
              <w:rPr>
                <w:rFonts w:hint="eastAsia"/>
                <w:color w:val="auto"/>
                <w:szCs w:val="24"/>
                <w:highlight w:val="none"/>
              </w:rPr>
              <w:t>2、商品包装和快递包装应符合《商品包装政府采购需求标准（试行）》和《快递包装政府采购需求标准（试行）》规定，商品的包装和快递包装验收标准应符合《商品包装政府采购需求标准（试行）》和《快递包装政府采购需求标准（试行）》规定。</w:t>
            </w:r>
          </w:p>
          <w:p w14:paraId="0C12A89C">
            <w:pPr>
              <w:pStyle w:val="10"/>
              <w:snapToGrid w:val="0"/>
              <w:spacing w:line="360" w:lineRule="auto"/>
              <w:rPr>
                <w:rFonts w:hint="eastAsia"/>
                <w:color w:val="auto"/>
                <w:spacing w:val="1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14"/>
                <w:szCs w:val="24"/>
                <w:highlight w:val="none"/>
              </w:rPr>
              <w:t>3、供应商应根据招标文件的要求提供技术响应表、商务响应表等内容以对招标文件作出响应。</w:t>
            </w:r>
          </w:p>
          <w:p w14:paraId="5714C459">
            <w:pPr>
              <w:pStyle w:val="10"/>
              <w:snapToGrid w:val="0"/>
              <w:spacing w:line="360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pacing w:val="14"/>
                <w:szCs w:val="24"/>
                <w:highlight w:val="none"/>
                <w:lang w:val="en-US" w:eastAsia="zh-CN"/>
              </w:rPr>
              <w:t>4、供应商需提供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供货及安装方案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紧急情况处理预案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08B693C">
      <w:pPr>
        <w:pStyle w:val="3"/>
        <w:rPr>
          <w:rFonts w:hint="eastAsia" w:ascii="宋体" w:hAnsi="宋体"/>
          <w:color w:val="auto"/>
          <w:sz w:val="24"/>
          <w:highlight w:val="none"/>
        </w:rPr>
      </w:pPr>
    </w:p>
    <w:p w14:paraId="1E9EB568">
      <w:pPr>
        <w:pStyle w:val="3"/>
        <w:rPr>
          <w:rFonts w:hint="eastAsia" w:ascii="宋体" w:hAnsi="宋体"/>
          <w:color w:val="auto"/>
          <w:sz w:val="24"/>
          <w:highlight w:val="none"/>
        </w:rPr>
      </w:pPr>
    </w:p>
    <w:p w14:paraId="38C7467E">
      <w:pPr>
        <w:pStyle w:val="3"/>
        <w:rPr>
          <w:rFonts w:hint="eastAsia" w:ascii="宋体" w:hAnsi="宋体"/>
          <w:color w:val="auto"/>
          <w:sz w:val="24"/>
          <w:highlight w:val="none"/>
        </w:rPr>
      </w:pPr>
    </w:p>
    <w:p w14:paraId="1015F6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47E6"/>
    <w:rsid w:val="0ED1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szCs w:val="20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Body Text First Indent 2"/>
    <w:basedOn w:val="4"/>
    <w:next w:val="1"/>
    <w:qFormat/>
    <w:uiPriority w:val="0"/>
    <w:pPr>
      <w:ind w:firstLine="420" w:firstLineChars="200"/>
    </w:pPr>
    <w:rPr>
      <w:szCs w:val="21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next w:val="11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大标题"/>
    <w:basedOn w:val="1"/>
    <w:next w:val="6"/>
    <w:qFormat/>
    <w:uiPriority w:val="0"/>
    <w:pPr>
      <w:jc w:val="center"/>
    </w:pPr>
    <w:rPr>
      <w:rFonts w:ascii="Arial" w:hAnsi="Arial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2025-11-04T06:45:00Z</dcterms:created>
  <dc:creator>NTKO</dc:creator>
  <cp:lastModifiedBy>NTKO</cp:lastModifiedBy>
  <dcterms:modified xsi:type="dcterms:W3CDTF">2025-11-04T06:46:53Z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E6176C4618E44E12BAD679EA7574E3C0_11</vt:lpwstr>
  </property>
  <property fmtid="{D5CDD505-2E9C-101B-9397-08002B2CF9AE}" pid="4" name="KSOTemplateDocerSaveRecord">
    <vt:lpwstr>eyJoZGlkIjoiZjhlYjBhZmExYmMwYWMyOWI5NTBiM2EzMTg4YmJkZTEiLCJ1c2VySWQiOiI0NjIzMjUxNjkifQ==</vt:lpwstr>
  </property>
</Properties>
</file>